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cs="宋体"/>
          <w:sz w:val="44"/>
          <w:szCs w:val="44"/>
        </w:rPr>
      </w:pPr>
    </w:p>
    <w:p>
      <w:pPr>
        <w:spacing w:after="156" w:afterLines="50" w:line="360" w:lineRule="auto"/>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国家税务总局罗山县税务局权力和责任清单</w:t>
      </w:r>
    </w:p>
    <w:p>
      <w:pPr>
        <w:spacing w:after="156" w:afterLines="50" w:line="360" w:lineRule="auto"/>
        <w:jc w:val="center"/>
        <w:rPr>
          <w:rFonts w:ascii="黑体" w:hAnsi="黑体" w:eastAsia="黑体" w:cs="宋体"/>
          <w:sz w:val="36"/>
          <w:szCs w:val="32"/>
        </w:rPr>
      </w:pPr>
      <w:r>
        <w:rPr>
          <w:rFonts w:hint="eastAsia" w:ascii="黑体" w:hAnsi="黑体" w:eastAsia="黑体" w:cs="宋体"/>
          <w:sz w:val="36"/>
          <w:szCs w:val="32"/>
        </w:rPr>
        <w:t>一、总  则</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根据法律、行政法规、中共中央办公厅、国务院办公厅印发的《国税地税征管体制改革方案》和“三定”规定，国家税务总局罗山县税务局主要履行以下职责：</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（一）贯彻执行税收、社会保险费和有关非税收入法律、法规、规章和规范性文件，研究制定具体实施办法。组织落实国家规定的税费优惠政策。</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（二）依法组织实施税收、社会保险费和有关非税收入预算目标。</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（三）开展税收、社会保险费和有关非税收入的经济分析及政策效应分析，为上级税务机关和本级党委、政府提供决策参考。</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（四）负责所辖区域内各项税收、社会保险费和有关非税收入征收管理。组织实施税（费）源监控和风险管理，加强大企业和自然人税收管理。</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五）组织实施本系统（本单位）税收、社会保险费和有关非税收入服务体系建设。组织开展纳税服务、税收宣传工作，保护纳税人、缴费人合法权益。承担涉及税收、社会保险费和有关非税收入的行政处罚听证、行政复议和行政诉讼事项。</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（六）负责所辖区域内国际税收和进出口税收管理工作，组织反避税调查和出口退税事项办理。</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（七）负责组织实施所辖区域内税务检查和社会保险费、有关非税收入检查工作。</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（八）负责增值税专用发票、普通发票和其他各类发票管理。负责税收、社会保险费和有关非税收入票证管理。</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（九）组织实施本系统（本单位）各项税收、社会保险费和有关非税收入征管信息化建设和数据治理工作。</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（十）完成上级税务机关和本级党委、政府交办的其他工作。</w:t>
      </w:r>
    </w:p>
    <w:p>
      <w:pPr>
        <w:jc w:val="center"/>
        <w:rPr>
          <w:rFonts w:ascii="黑体" w:hAnsi="黑体" w:eastAsia="黑体" w:cs="黑体"/>
          <w:sz w:val="36"/>
          <w:szCs w:val="32"/>
        </w:rPr>
      </w:pPr>
    </w:p>
    <w:p>
      <w:pPr>
        <w:jc w:val="center"/>
        <w:rPr>
          <w:rFonts w:ascii="黑体" w:hAnsi="黑体" w:eastAsia="黑体" w:cs="黑体"/>
          <w:sz w:val="36"/>
          <w:szCs w:val="32"/>
        </w:rPr>
      </w:pPr>
    </w:p>
    <w:p>
      <w:pPr>
        <w:jc w:val="center"/>
        <w:rPr>
          <w:rFonts w:ascii="黑体" w:hAnsi="黑体" w:eastAsia="黑体" w:cs="黑体"/>
          <w:sz w:val="36"/>
          <w:szCs w:val="32"/>
        </w:rPr>
      </w:pPr>
    </w:p>
    <w:p>
      <w:pPr>
        <w:jc w:val="center"/>
        <w:rPr>
          <w:rFonts w:ascii="黑体" w:hAnsi="黑体" w:eastAsia="黑体" w:cs="黑体"/>
          <w:sz w:val="36"/>
          <w:szCs w:val="32"/>
        </w:rPr>
      </w:pPr>
    </w:p>
    <w:p>
      <w:pPr>
        <w:jc w:val="center"/>
        <w:rPr>
          <w:rFonts w:ascii="黑体" w:hAnsi="黑体" w:eastAsia="黑体" w:cs="黑体"/>
          <w:sz w:val="36"/>
          <w:szCs w:val="32"/>
        </w:rPr>
      </w:pPr>
    </w:p>
    <w:p>
      <w:pPr>
        <w:jc w:val="center"/>
        <w:rPr>
          <w:rFonts w:ascii="黑体" w:hAnsi="黑体" w:eastAsia="黑体" w:cs="黑体"/>
          <w:sz w:val="36"/>
          <w:szCs w:val="32"/>
        </w:rPr>
      </w:pPr>
      <w:r>
        <w:rPr>
          <w:rFonts w:hint="eastAsia" w:ascii="黑体" w:hAnsi="黑体" w:eastAsia="黑体" w:cs="宋体"/>
          <w:sz w:val="36"/>
          <w:szCs w:val="32"/>
        </w:rPr>
        <w:t>二、</w:t>
      </w:r>
      <w:r>
        <w:rPr>
          <w:rFonts w:hint="eastAsia" w:ascii="黑体" w:hAnsi="黑体" w:eastAsia="黑体" w:cs="黑体"/>
          <w:sz w:val="36"/>
          <w:szCs w:val="32"/>
        </w:rPr>
        <w:t>权责事项表</w:t>
      </w:r>
    </w:p>
    <w:p>
      <w:pPr>
        <w:jc w:val="center"/>
        <w:rPr>
          <w:rFonts w:ascii="楷体_GB2312" w:hAnsi="楷体" w:eastAsia="楷体_GB2312" w:cs="楷体"/>
          <w:b/>
          <w:bCs/>
          <w:sz w:val="32"/>
          <w:szCs w:val="32"/>
        </w:rPr>
      </w:pPr>
      <w:r>
        <w:rPr>
          <w:rFonts w:hint="eastAsia" w:ascii="楷体_GB2312" w:hAnsi="楷体" w:eastAsia="楷体_GB2312" w:cs="楷体"/>
          <w:b/>
          <w:bCs/>
          <w:sz w:val="32"/>
          <w:szCs w:val="32"/>
        </w:rPr>
        <w:t>（一）行政征收</w:t>
      </w:r>
    </w:p>
    <w:tbl>
      <w:tblPr>
        <w:tblStyle w:val="5"/>
        <w:tblW w:w="20669" w:type="dxa"/>
        <w:tblInd w:w="0" w:type="dxa"/>
        <w:tblLayout w:type="fixed"/>
        <w:tblCellMar>
          <w:top w:w="0" w:type="dxa"/>
          <w:left w:w="0" w:type="dxa"/>
          <w:bottom w:w="0" w:type="dxa"/>
          <w:right w:w="0" w:type="dxa"/>
        </w:tblCellMar>
      </w:tblPr>
      <w:tblGrid>
        <w:gridCol w:w="10"/>
        <w:gridCol w:w="777"/>
        <w:gridCol w:w="1175"/>
        <w:gridCol w:w="1037"/>
        <w:gridCol w:w="3063"/>
        <w:gridCol w:w="11242"/>
        <w:gridCol w:w="3358"/>
        <w:gridCol w:w="7"/>
      </w:tblGrid>
      <w:tr>
        <w:tblPrEx>
          <w:tblCellMar>
            <w:top w:w="0" w:type="dxa"/>
            <w:left w:w="0" w:type="dxa"/>
            <w:bottom w:w="0" w:type="dxa"/>
            <w:right w:w="0" w:type="dxa"/>
          </w:tblCellMar>
        </w:tblPrEx>
        <w:trPr>
          <w:gridBefore w:val="1"/>
          <w:gridAfter w:val="1"/>
          <w:wBefore w:w="10" w:type="dxa"/>
          <w:wAfter w:w="7" w:type="dxa"/>
          <w:trHeight w:val="600" w:hRule="atLeast"/>
          <w:tblHeader/>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序号</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职权名称</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子项</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设定依据</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履责方式</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追责情形</w:t>
            </w:r>
          </w:p>
        </w:tc>
      </w:tr>
      <w:tr>
        <w:tblPrEx>
          <w:tblCellMar>
            <w:top w:w="0" w:type="dxa"/>
            <w:left w:w="0" w:type="dxa"/>
            <w:bottom w:w="0" w:type="dxa"/>
            <w:right w:w="0" w:type="dxa"/>
          </w:tblCellMar>
        </w:tblPrEx>
        <w:trPr>
          <w:gridBefore w:val="1"/>
          <w:gridAfter w:val="1"/>
          <w:wBefore w:w="10" w:type="dxa"/>
          <w:wAfter w:w="7" w:type="dxa"/>
          <w:trHeight w:val="9167"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增值税征收管理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1.1.1增值税征收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2.《中华人民共和国增值税暂行条例》第二十条第一款。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2.主管税务机关根据纳税人应纳税额的大小核定纳税人的具体纳税期限、扣缴义务人解缴税款的期限；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3.纳税人、扣缴义务人直接到税务机关或采取邮寄、数据电文等其他方式办理申报、报送事项的，税务机关应当依法办理，接收相关资料；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4.税务机关征收税款应当开具完税凭证；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1.增值税由税务机关征收，进口货物的增值税由海关代征；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pPr>
              <w:widowControl/>
              <w:jc w:val="left"/>
              <w:textAlignment w:val="center"/>
              <w:rPr>
                <w:rFonts w:ascii="宋体" w:hAnsi="宋体" w:eastAsia="宋体" w:cs="宋体"/>
                <w:color w:val="000000"/>
                <w:kern w:val="0"/>
                <w:sz w:val="24"/>
              </w:rPr>
            </w:pP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7.未按照规定为纳税人、扣缴义务人、检举人保密的；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CellMar>
            <w:top w:w="0" w:type="dxa"/>
            <w:left w:w="0" w:type="dxa"/>
            <w:bottom w:w="0" w:type="dxa"/>
            <w:right w:w="0" w:type="dxa"/>
          </w:tblCellMar>
        </w:tblPrEx>
        <w:trPr>
          <w:gridBefore w:val="1"/>
          <w:gridAfter w:val="1"/>
          <w:wBefore w:w="10" w:type="dxa"/>
          <w:wAfter w:w="7" w:type="dxa"/>
          <w:trHeight w:val="6442"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增值税征收管理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1.1.2增值税减免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Style w:val="7"/>
                <w:rFonts w:hint="default"/>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Style w:val="8"/>
                <w:rFonts w:hint="default"/>
              </w:rPr>
              <w:t>2.《中华人民共和国增值税暂行条例》第二十条第一款。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w:t>
            </w:r>
            <w:r>
              <w:rPr>
                <w:rFonts w:hint="eastAsia"/>
              </w:rPr>
              <w:t xml:space="preserve"> </w:t>
            </w:r>
            <w:r>
              <w:rPr>
                <w:rFonts w:hint="eastAsia" w:ascii="宋体" w:hAnsi="宋体" w:eastAsia="宋体" w:cs="宋体"/>
                <w:color w:val="000000"/>
                <w:kern w:val="0"/>
                <w:sz w:val="24"/>
              </w:rPr>
              <w:t>纳税人申报享受税收减免，需要报送附列资料的，如资料齐全、符合法定形式，应当予以受理；需要纳税人补正有关材料、手续的，应当一次性告知需要补正的内容；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4.纳税人办理税收减免备案的，税务机关应当接收纳税人提交的备案资料。资料齐全、符合法定形式的，当场备案；需要纳税人补正有关材料、手续的，应当一次性告知需要补正的内容。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5797"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w:t>
            </w:r>
            <w:r>
              <w:rPr>
                <w:rStyle w:val="8"/>
                <w:rFonts w:hint="default"/>
              </w:rPr>
              <w:t>3农产品增值税进项税额核定扣除试点纳税人的扣除标准核定</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1.《中华人民共和国增值税暂行条例》第八条第二款。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2.《财政部 国家税务总局关于在部分行业试行农产品增值税进项税额核定扣除办法的通知》（财税〔2012〕38号）附件1第十二条第三项。</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1.税务机关应当通过官方网站、办税服务场所等渠道公开核定主体、权限、依据、程序、报送资料、救济渠道、服务指南、流程图等；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2.试点纳税人以农产品为原料生产货物的扣除标准核定程序：</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(1)主管税务机关接收以农产品为原料生产货物的试点纳税人按规定时间提交的扣除标准核定申请及有关资料；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(2)主管税务机关对试点纳税人的申请资料进行审核，并逐级上报给省级税务机关；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(3)省级税务机关组成扣除标准核定小组进行核定，并下达核定结果；</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(4)主管税务机关通过网站、报刊等多种方式及时向社会公告核定结果，未经公告的扣除标准无效；</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(5)省级税务机关尚未下达核定结果前，试点纳税人可按上年确定的核定扣除标准计算申报农产品进项税额。</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3.试点纳税人购进农产品直接销售、购进农产品用于生产经营且不构成货物实体扣除标准的核定采取备案制，备案资料的范围和要求由省级税务机关确定；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税务机关应加强对试点纳税人农产品增值税进项税额计算扣除情况的监管，防范和打击虚开发票行为，定期进行纳税评估，及时发现申报纳税中存在的问题。</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增值税征收管理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w:t>
            </w:r>
            <w:r>
              <w:rPr>
                <w:rStyle w:val="8"/>
                <w:rFonts w:hint="default"/>
              </w:rPr>
              <w:t>4对逾期增值税扣税凭证继续抵扣的核准</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1.《中华人民共和国增值税暂行条例》第九条。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2.《国家税务总局关于逾期增值税扣税凭证抵扣问题的公告》（国家税务总局公告2011年第50号发布，国家税务总局公告2017年第36号、2018年第31号修改）。</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1.税务机关应当通过官方网站、办税服务场所等渠道公开逾期增值税扣税凭证继续抵扣的核准</w:t>
            </w:r>
            <w:r>
              <w:rPr>
                <w:rFonts w:hint="eastAsia" w:ascii="宋体" w:hAnsi="宋体" w:cs="宋体"/>
                <w:color w:val="000000"/>
                <w:kern w:val="0"/>
                <w:sz w:val="24"/>
              </w:rPr>
              <w:t>主体、权限、依据、程序、报送资料、救济渠道、服务指南、流程图</w:t>
            </w:r>
            <w:r>
              <w:rPr>
                <w:rFonts w:hint="eastAsia" w:ascii="宋体" w:hAnsi="宋体" w:eastAsia="宋体" w:cs="宋体"/>
                <w:color w:val="000000"/>
                <w:kern w:val="0"/>
                <w:sz w:val="24"/>
              </w:rPr>
              <w:t>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2.税务机关应当接收纳税人提交的相关资料。资料齐全、符合法定形式的，应当予以受理；需要纳税人补正有关材料、手续的，应当一次性告知需要补正的内容；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4.主管税务机关核实无误后，应向上级税务机关上报，并将增值税扣税凭证逾期情况说明、第三方证明或说明、逾期增值税扣税凭证电子信息、逾期增值税扣税凭证复印件逐级上报至省税务局；</w:t>
            </w:r>
          </w:p>
          <w:p>
            <w:pPr>
              <w:widowControl/>
              <w:jc w:val="left"/>
              <w:textAlignment w:val="center"/>
              <w:rPr>
                <w:rFonts w:ascii="宋体" w:hAnsi="宋体" w:cs="宋体"/>
                <w:color w:val="000000"/>
                <w:kern w:val="0"/>
                <w:sz w:val="24"/>
              </w:rPr>
            </w:pPr>
            <w:r>
              <w:rPr>
                <w:rFonts w:hint="eastAsia" w:ascii="宋体" w:hAnsi="宋体" w:eastAsia="宋体" w:cs="宋体"/>
                <w:color w:val="000000"/>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r>
              <w:rPr>
                <w:rFonts w:hint="eastAsia" w:ascii="宋体" w:hAnsi="宋体" w:cs="宋体"/>
                <w:color w:val="000000"/>
                <w:kern w:val="0"/>
                <w:sz w:val="24"/>
              </w:rPr>
              <w:t>；</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5889"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增值税征收管理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w:t>
            </w:r>
            <w:r>
              <w:rPr>
                <w:rStyle w:val="8"/>
                <w:rFonts w:hint="default"/>
              </w:rPr>
              <w:t>5对未按期申报抵扣增值税扣税凭证申请继续抵扣的核准</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1.《中华人民共和国增值税暂行条例》第九条。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2.《国家税务总局关于未按期申报抵扣增值税扣税凭证有关问题的公告》（国家税务总局公告2011年第78号发布，国家税务总局公告2018年第31号修改）。</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1.税务机关应当通过官方网站、办税服务场所等渠道公开未按期申报抵扣增值税扣税凭证申请继续抵扣的核准</w:t>
            </w:r>
            <w:r>
              <w:rPr>
                <w:rFonts w:hint="eastAsia" w:ascii="宋体" w:hAnsi="宋体" w:cs="宋体"/>
                <w:color w:val="000000"/>
                <w:kern w:val="0"/>
                <w:sz w:val="24"/>
              </w:rPr>
              <w:t>主体、权限、依据、程序、报送资料、救济渠道、服务指南、流程图</w:t>
            </w:r>
            <w:r>
              <w:rPr>
                <w:rFonts w:hint="eastAsia" w:ascii="宋体" w:hAnsi="宋体" w:eastAsia="宋体" w:cs="宋体"/>
                <w:color w:val="000000"/>
                <w:kern w:val="0"/>
                <w:sz w:val="24"/>
              </w:rPr>
              <w:t>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2.税务机关应当接收纳税人提交的相关资料。资料齐全、符合法定形式的，应当予以受理；需要纳税人补正有关材料、手续的，应当一次性告知需要补正的内容；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pPr>
              <w:widowControl/>
              <w:jc w:val="left"/>
              <w:textAlignment w:val="center"/>
              <w:rPr>
                <w:rFonts w:ascii="宋体" w:hAnsi="宋体" w:cs="宋体"/>
                <w:color w:val="000000"/>
                <w:kern w:val="0"/>
                <w:sz w:val="24"/>
              </w:rPr>
            </w:pPr>
            <w:r>
              <w:rPr>
                <w:rFonts w:hint="eastAsia" w:ascii="宋体" w:hAnsi="宋体" w:eastAsia="宋体" w:cs="宋体"/>
                <w:color w:val="000000"/>
                <w:kern w:val="0"/>
                <w:sz w:val="24"/>
              </w:rPr>
              <w:t>4.主管税务机关审核无误后，发送《未按期申报抵扣增值税扣税凭证允许继续抵扣通知单》，企业凭《通知单》进行申报抵扣</w:t>
            </w:r>
            <w:r>
              <w:rPr>
                <w:rFonts w:hint="eastAsia" w:ascii="宋体" w:hAnsi="宋体" w:cs="宋体"/>
                <w:color w:val="000000"/>
                <w:kern w:val="0"/>
                <w:sz w:val="24"/>
              </w:rPr>
              <w:t>；</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6337"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w:t>
            </w:r>
            <w:r>
              <w:rPr>
                <w:rStyle w:val="8"/>
                <w:rFonts w:hint="default"/>
              </w:rPr>
              <w:t>6对汇总缴纳增值税的核准</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1.《中华人民共和国增值税暂行条例》第二十二条第一项。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2.《财政部 国家税务总局关于连锁经营企业增值税纳税地点问题的通知》（财税字〔1997〕97号）。</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3.《财政部 国家税务总局关于固定业户总分支机构增值税汇总纳税有关政策的通知》（财税〔2012〕9号）。</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4.《财政部 国家税务总局关于全面推开营业税改征增值税试点的通知》（财税〔2016〕36号）附件1第四十六条。</w:t>
            </w:r>
          </w:p>
          <w:p>
            <w:pPr>
              <w:widowControl/>
              <w:jc w:val="left"/>
              <w:textAlignment w:val="center"/>
              <w:rPr>
                <w:rFonts w:ascii="宋体" w:hAnsi="宋体" w:eastAsia="宋体" w:cs="宋体"/>
                <w:color w:val="000000"/>
                <w:sz w:val="24"/>
              </w:rPr>
            </w:pPr>
            <w:r>
              <w:rPr>
                <w:rFonts w:hint="eastAsia" w:ascii="宋体" w:hAnsi="宋体" w:cs="宋体"/>
                <w:kern w:val="0"/>
                <w:sz w:val="24"/>
              </w:rPr>
              <w:t>5.《财政部 国家税务总局关于全面推开营业税改征增值税试点的通知》（财税〔2016〕36号）附件2第一条第十二项。</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1.税务机关应当通过官方网站、办税服务场所等渠道公开汇总缴纳增值税的核准</w:t>
            </w:r>
            <w:r>
              <w:rPr>
                <w:rFonts w:hint="eastAsia" w:ascii="宋体" w:hAnsi="宋体" w:cs="宋体"/>
                <w:color w:val="000000"/>
                <w:kern w:val="0"/>
                <w:sz w:val="24"/>
              </w:rPr>
              <w:t>主体、权限、依据、程序、报送资料、救济渠道、服务指南、流程图</w:t>
            </w:r>
            <w:r>
              <w:rPr>
                <w:rFonts w:hint="eastAsia" w:ascii="宋体" w:hAnsi="宋体" w:eastAsia="宋体" w:cs="宋体"/>
                <w:color w:val="000000"/>
                <w:kern w:val="0"/>
                <w:sz w:val="24"/>
              </w:rPr>
              <w:t>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2.固定业户的总分支机构不在同一县（市），但在同一省（区、市）范围内的，由省（区、市）财政厅（局）、税务局核准；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在直辖市范围内连锁经营的企业，由直辖市税务局会同市财政局核准；在计划单列市范围内连锁经营的企业，由计划单列市税务局会同市财政局核准；在省（自治区）范围内连锁经营的企业，由省（自治区）税务局会同省财政厅核准；在同一县（市）范围内连锁经营的企业，由县（市）税务局会同县（市）财政局核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纳税人总机构所在地主管税务机关接到纳税人汇总纳税申请后，应在20个工作日内完成材料核查工作，核查无误的，上报上级税务机关；纳税人申请材料不齐全或者不符合规定形式的，应当及时告知纳税人补正材料。补正通知应当载明需要补正的事项和合理的补正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有权批准税务机关接到汇总纳税申请材料后，应于10个工作日内提交同级财政部门研究。经财政、税务部门研究并取得一致意见，允许纳税人汇总缴纳增值税的，制发文件通知下级税务机关及纳税人；不允许纳税人汇总缴纳的，及时通知纳税人，并说明原因。</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经国务院财政、税务主管部门或者其授权的财政、税务机关批准，可以由总机构汇总向总机构所在地的主管税务机关申报纳税。</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10141"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增值税征收管理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w:t>
            </w:r>
            <w:r>
              <w:rPr>
                <w:rStyle w:val="8"/>
                <w:rFonts w:hint="default"/>
              </w:rPr>
              <w:t>7增值税留抵税额退税</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1.《中华人民共和国增值税暂行条例》第二十七条。</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2.《国务院关于印发进一步鼓励软件产业和集成电路产业发展若干政策的通知》（国发〔2011〕4号）第一条第五项。</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3.《财政部 国家税务总局关于退还集成电路企业采购设备增值税期末留抵税额的通知》（财税〔2011〕107号）第三条。</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4.《财政部 国家税务总局关于利用石脑油和燃料油生产乙烯芳烃类产品有关增值税政策的通知》（财税〔2014〕17号）第三条。</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5.《财政部 税务总局 海关总署关于深化增值税改革有关政策的公告》（财政部 税务总局 海关总署公告2019年第39号）第八条。</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6.《财政部 税务总局关于明确部分先进制造业增值税期末留抵退税政策的公告》（财政部 税务总局公告2019年第84号）第一条。</w:t>
            </w:r>
          </w:p>
          <w:p>
            <w:pPr>
              <w:widowControl/>
              <w:textAlignment w:val="center"/>
              <w:rPr>
                <w:rFonts w:ascii="宋体" w:hAnsi="宋体" w:eastAsia="宋体" w:cs="宋体"/>
                <w:color w:val="000000"/>
                <w:sz w:val="24"/>
              </w:rPr>
            </w:pPr>
            <w:r>
              <w:rPr>
                <w:rFonts w:hint="eastAsia" w:ascii="宋体" w:hAnsi="宋体" w:eastAsia="宋体" w:cs="宋体"/>
                <w:color w:val="000000"/>
                <w:sz w:val="24"/>
              </w:rPr>
              <w:t>7</w:t>
            </w:r>
            <w:r>
              <w:rPr>
                <w:rFonts w:ascii="宋体" w:hAnsi="宋体" w:eastAsia="宋体" w:cs="宋体"/>
                <w:color w:val="000000"/>
                <w:sz w:val="24"/>
              </w:rPr>
              <w:t>.</w:t>
            </w:r>
            <w:r>
              <w:rPr>
                <w:rFonts w:hint="eastAsia" w:ascii="宋体" w:hAnsi="宋体" w:eastAsia="宋体" w:cs="宋体"/>
                <w:color w:val="000000"/>
                <w:sz w:val="24"/>
              </w:rPr>
              <w:t>《财政部 税务总局关于民用航空发动机、新支线飞机和大型客机税收政策的公告》（财政部 税务总局公告2019年第88号）第五条。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1.税务机关应当通过官方网站、办税服务场所等渠道公开增值税留抵税额退税主体、权限、依据、程序、报送资料、救济渠道、服务指南、流程图等；</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2.主管税务机关接收国家批准的集成电路重大项目企业提出的退还因购进设备形成的增值税期末留抵税额申请后，应审核企业提供的增值税专用发票或海关进口增值税专用缴款书是否符合现行政策规定，其注明的设备名称与企业实际购进的设备是否一致，申请退还的购进设备留抵税额是否正确。审核无误后，由县（区、市）级主管税务机关核准；</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3.主管税务机关接收符合财税〔2014〕17号文件第一条规定的企业提出的退税申请后，应认真审核企业提供的相关资料和申请退还的增值税额的正确与否。审核无误后，由县（区、市）级主管税务机关核准；</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4.2019年4月1日起，主管税务机关接收纳税人在增值税纳税申报期提出的退还增量留抵税额申请，符合条件的，按规定为其办理增量留抵税额退税；</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5.2019年6月1日起，主管税务机关接收部分先进制造业纳税人在2019年7月及以后纳税申报期提出的退还增量留抵税额申请，符合条件的，按规定为其办理增量留抵税额退税；</w:t>
            </w:r>
          </w:p>
          <w:p>
            <w:pPr>
              <w:widowControl/>
              <w:textAlignment w:val="center"/>
              <w:rPr>
                <w:rFonts w:ascii="宋体" w:hAnsi="宋体" w:cs="宋体"/>
                <w:color w:val="000000"/>
                <w:kern w:val="0"/>
                <w:sz w:val="24"/>
              </w:rPr>
            </w:pPr>
            <w:r>
              <w:rPr>
                <w:rFonts w:hint="eastAsia" w:ascii="宋体" w:hAnsi="宋体" w:eastAsia="宋体" w:cs="宋体"/>
                <w:color w:val="000000"/>
                <w:kern w:val="0"/>
                <w:sz w:val="24"/>
              </w:rPr>
              <w:t>6.</w:t>
            </w:r>
            <w:r>
              <w:rPr>
                <w:rFonts w:hint="eastAsia" w:ascii="宋体" w:hAnsi="宋体" w:cs="宋体"/>
                <w:color w:val="000000"/>
                <w:kern w:val="0"/>
                <w:sz w:val="24"/>
              </w:rPr>
              <w:t>主管税务机关接收符合《财政部 税务总局关于民用航空发动机、新支线飞机和大型客机税收政策的公告》（财政部 税务总局公告2019年第88号）规定的企业提出的退税申请后，符合条件的，按规定为其办理留抵税额退税。</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在办理增量留抵税额退税期间，发现符合留抵退税条件的纳税人存在增值税涉税风险疑点等情形，暂停为其办理留抵退税；税务机关对增值税涉税风险疑点进行排查时，发现纳税人涉嫌骗取出口退税、虚开增值税专用发票等增值税重大税收违法行为的，终止为其办理留抵退税，并自作出终止办理留抵退税决定之日起5个工作日内，向纳税人出具终止办理留抵退税的《税务事项通知书》；税务机关发现纳税人以虚增进项、虚假申报或其他欺骗手段，骗取留抵退税款的，追缴其骗取的退税款，并按照《中华人民共和国税收征收管理法》等有关规定处理。</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符合《财政部 税务总局 海关总署关于深化增值税改革有关政策的公告》（财政部 税务总局 海关总署公告2019年第39号）和《财政部 税务总局关于明确部分先进制造业增值税期末留抵退税政策的公告》（财政部 税务总局公告2019年第84号）规定的纳税人向其主管税务机关提交留抵退税申请，对符合留抵退税条件的，税务机关在完成退税审核后，开具税收收入退还书，直接送交同级国库办理退库。税务机关按期将退税清单送交同级财政部门。各部门应加强配合，密切协作，确保留抵退税工作稳妥有序。</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1.违反法律、行政法规的规定，擅自作出退税决定的；</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2.违反法定程序为纳税人办理退税手续的；</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3.利用职务上的便利，收受或者索取纳税人、扣缴义务人财物或者谋取其他不正当利益的；</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5.滥用职权，故意刁难纳税人、扣缴义务人的；</w:t>
            </w: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r>
              <w:rPr>
                <w:rFonts w:hint="eastAsia" w:ascii="宋体" w:hAnsi="宋体" w:eastAsia="宋体" w:cs="宋体"/>
                <w:color w:val="000000"/>
                <w:sz w:val="24"/>
              </w:rPr>
              <w:t>1.2</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r>
              <w:rPr>
                <w:rFonts w:hint="eastAsia" w:ascii="宋体" w:hAnsi="宋体" w:eastAsia="宋体" w:cs="宋体"/>
                <w:color w:val="000000"/>
                <w:kern w:val="0"/>
                <w:sz w:val="24"/>
              </w:rPr>
              <w:t>消费税征收管理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1.2.1消费税征收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2.《中华人民共和国消费税暂行条例》第十二条第一款。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hint="eastAsia"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rPr>
              <w:t>2.主管税务机关根据纳税人应纳税额的大小核定纳税人具体纳税期限</w:t>
            </w:r>
            <w:r>
              <w:rPr>
                <w:rFonts w:hint="eastAsia" w:ascii="宋体" w:hAnsi="宋体" w:eastAsia="宋体" w:cs="宋体"/>
                <w:color w:val="000000"/>
                <w:kern w:val="0"/>
                <w:sz w:val="24"/>
                <w:lang w:val="en-US" w:eastAsia="zh-CN"/>
              </w:rPr>
              <w:t>;</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3</w:t>
            </w:r>
            <w:r>
              <w:rPr>
                <w:rFonts w:hint="eastAsia" w:ascii="宋体" w:hAnsi="宋体" w:eastAsia="宋体" w:cs="宋体"/>
                <w:color w:val="000000"/>
                <w:kern w:val="0"/>
                <w:sz w:val="24"/>
              </w:rPr>
              <w:t>.纳税人、扣缴义务人直接到税务机关或采取邮寄、数据电文等其他方式办理申报、报送事项的，税务机关应当依法办理，接收相关资料；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4</w:t>
            </w:r>
            <w:r>
              <w:rPr>
                <w:rFonts w:hint="eastAsia" w:ascii="宋体" w:hAnsi="宋体" w:eastAsia="宋体" w:cs="宋体"/>
                <w:color w:val="000000"/>
                <w:kern w:val="0"/>
                <w:sz w:val="24"/>
              </w:rPr>
              <w:t>.税务机关应当开具完税凭证；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5</w:t>
            </w:r>
            <w:r>
              <w:rPr>
                <w:rFonts w:hint="eastAsia" w:ascii="宋体" w:hAnsi="宋体" w:eastAsia="宋体" w:cs="宋体"/>
                <w:color w:val="000000"/>
                <w:kern w:val="0"/>
                <w:sz w:val="24"/>
              </w:rPr>
              <w:t>.税务机关应当按照国家规定的税款入库预算级次，将征收的税款缴入国库。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消费税由税务机关征收，进口的应税消费品的消费税由海关代征。</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7.未按照规定为纳税人、扣缴义务人、检举人保密的；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CellMar>
            <w:top w:w="0" w:type="dxa"/>
            <w:left w:w="0" w:type="dxa"/>
            <w:bottom w:w="0" w:type="dxa"/>
            <w:right w:w="0" w:type="dxa"/>
          </w:tblCellMar>
        </w:tblPrEx>
        <w:trPr>
          <w:gridBefore w:val="1"/>
          <w:gridAfter w:val="1"/>
          <w:wBefore w:w="10" w:type="dxa"/>
          <w:wAfter w:w="7" w:type="dxa"/>
          <w:trHeight w:val="6584"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r>
              <w:rPr>
                <w:rFonts w:hint="eastAsia" w:ascii="宋体" w:hAnsi="宋体" w:eastAsia="宋体" w:cs="宋体"/>
                <w:color w:val="000000"/>
                <w:sz w:val="24"/>
              </w:rPr>
              <w:t>1.2</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r>
              <w:rPr>
                <w:rFonts w:hint="eastAsia" w:ascii="宋体" w:hAnsi="宋体" w:eastAsia="宋体" w:cs="宋体"/>
                <w:color w:val="000000"/>
                <w:kern w:val="0"/>
                <w:sz w:val="24"/>
              </w:rPr>
              <w:t>消费税征收管理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1.2.2消费税减免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2.《中华人民共和国消费税暂行条例》第十二条第一款。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5515"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1.2.</w:t>
            </w:r>
            <w:r>
              <w:rPr>
                <w:rStyle w:val="8"/>
                <w:rFonts w:hint="default"/>
              </w:rPr>
              <w:t>3对汇总缴纳消费税的核准</w:t>
            </w:r>
          </w:p>
        </w:tc>
        <w:tc>
          <w:tcPr>
            <w:tcW w:w="3063" w:type="dxa"/>
            <w:tcBorders>
              <w:top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1.《中华人民共和国消费税暂行条例》第十三条。</w:t>
            </w:r>
          </w:p>
          <w:p>
            <w:pPr>
              <w:widowControl/>
              <w:jc w:val="left"/>
              <w:textAlignment w:val="center"/>
              <w:rPr>
                <w:rFonts w:ascii="宋体" w:hAnsi="宋体" w:cs="宋体"/>
                <w:kern w:val="0"/>
                <w:sz w:val="24"/>
              </w:rPr>
            </w:pPr>
            <w:r>
              <w:rPr>
                <w:rFonts w:hint="eastAsia" w:ascii="宋体" w:hAnsi="宋体" w:cs="宋体"/>
                <w:kern w:val="0"/>
                <w:sz w:val="24"/>
              </w:rPr>
              <w:t>2.《中华人民共和国消费税暂行条例实施细则》（财政部 国家税务总局令第51号）第二十四条第二款。</w:t>
            </w:r>
          </w:p>
          <w:p>
            <w:pPr>
              <w:widowControl/>
              <w:jc w:val="left"/>
              <w:textAlignment w:val="center"/>
              <w:rPr>
                <w:rFonts w:ascii="宋体" w:hAnsi="宋体" w:eastAsia="宋体" w:cs="宋体"/>
                <w:color w:val="000000"/>
                <w:sz w:val="24"/>
              </w:rPr>
            </w:pPr>
            <w:r>
              <w:rPr>
                <w:rFonts w:hint="eastAsia" w:ascii="宋体" w:hAnsi="宋体" w:cs="宋体"/>
                <w:kern w:val="0"/>
                <w:sz w:val="24"/>
              </w:rPr>
              <w:t>3.《财政部 国家税务总局关于消费税纳税人总分支机构汇总缴纳消费税有关政策的通知》（财税〔2012〕42号）。</w:t>
            </w:r>
          </w:p>
        </w:tc>
        <w:tc>
          <w:tcPr>
            <w:tcW w:w="11242" w:type="dxa"/>
            <w:tcBorders>
              <w:top w:val="single" w:color="000000" w:sz="4" w:space="0"/>
              <w:left w:val="single" w:color="000000" w:sz="4" w:space="0"/>
              <w:bottom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1.税务机关应当通过官方网站、办税服务场所等渠道公开汇总缴纳消费税的核准主体、权限、依据、程序、报送资料、救济渠道、服务指南、流程图等；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2.纳税人的总机构与分支机构不在同一县（市），但在同一省（自治区、直辖市）范围内的，由省（自治区、直辖市）财政厅（局）、税务局核准；</w:t>
            </w:r>
          </w:p>
          <w:p>
            <w:pPr>
              <w:widowControl/>
              <w:jc w:val="left"/>
              <w:textAlignment w:val="center"/>
              <w:rPr>
                <w:rFonts w:ascii="宋体" w:hAnsi="宋体" w:cs="宋体"/>
                <w:kern w:val="0"/>
                <w:sz w:val="24"/>
              </w:rPr>
            </w:pPr>
            <w:r>
              <w:rPr>
                <w:rFonts w:hint="eastAsia" w:ascii="宋体" w:hAnsi="宋体" w:cs="宋体"/>
                <w:kern w:val="0"/>
                <w:sz w:val="24"/>
              </w:rPr>
              <w:t>3.纳税人总机构所在地主管税务机关接到纳税人汇总纳税申请后，应在20个工作日内完成材料核查工作，核查无误的，上报上级税务机关；纳税人申请材料不齐全或者不符合规定形式的，应当及时告知纳税人补正材料。补正通知应当载明需要补正的事项和合理的补正期限；</w:t>
            </w:r>
          </w:p>
          <w:p>
            <w:pPr>
              <w:widowControl/>
              <w:jc w:val="left"/>
              <w:textAlignment w:val="center"/>
              <w:rPr>
                <w:rFonts w:ascii="宋体" w:hAnsi="宋体" w:cs="宋体"/>
                <w:kern w:val="0"/>
                <w:sz w:val="24"/>
              </w:rPr>
            </w:pPr>
            <w:r>
              <w:rPr>
                <w:rFonts w:hint="eastAsia" w:ascii="宋体" w:hAnsi="宋体" w:cs="宋体"/>
                <w:kern w:val="0"/>
                <w:sz w:val="24"/>
              </w:rPr>
              <w:t>4.有权批准税务机关接到汇总纳税申请材料后，应于10个工作日内提交同级财政部门研究。经财政、税务部门研究并取得一致意见，允许纳税人汇总缴纳消费税的，制发文件通知下级税务机关及纳税人；不允许纳税人汇总缴纳的，及时通知纳税人，并说明原因。</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eastAsia="宋体" w:cs="宋体"/>
                <w:color w:val="000000"/>
                <w:sz w:val="24"/>
              </w:rPr>
            </w:pPr>
            <w:r>
              <w:rPr>
                <w:rFonts w:hint="eastAsia" w:ascii="宋体" w:hAnsi="宋体" w:cs="宋体"/>
                <w:kern w:val="0"/>
                <w:sz w:val="24"/>
              </w:rPr>
              <w:t>经财政部、国家税务总局或者其授权的财政、税务机关批准，可以由总机构汇总向总机构所在地的主管税务机关申报纳税。</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1.3</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车辆购置税征收管理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1.3.1车辆购置税征收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2.《中华人民共和国车辆购置税法》第十条。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3.纳税人需要纸质车辆购置税完税证明的，主管税务机关为其打印《车辆购置税完税证明（电子版）》，或纳税人通过电子税务局等官方互联网平台查询和打印；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1.公安机关交通管理部门办理车辆注册登记，应当根据税务机关提供的应税车辆完税或者免税电子信息对纳税人申请登记的车辆信息进行核对，核对无误后依法办理车辆注册登记；</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2.税务机关和公安、商务、海关、工业和信息化等部门应当建立应税车辆信息共享和工作配合机制，及时交换应税车辆和纳税信息资料。</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1.3</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车辆购置税征收管理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1.3.2车辆购置税减免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2.《中华人民共和国车辆购置税法》第十条。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w:t>
            </w:r>
            <w:r>
              <w:rPr>
                <w:rFonts w:hint="eastAsia" w:ascii="宋体" w:hAnsi="宋体" w:cs="宋体"/>
                <w:color w:val="000000"/>
                <w:kern w:val="0"/>
                <w:sz w:val="24"/>
              </w:rPr>
              <w:t>纳税人申报享受税收减免，需要报送附列资料的，如资料齐全、符合法定形式，应当予以受理；需要纳税人补正有关材料、手续的，应当一次性告知需要补正的内容</w:t>
            </w:r>
            <w:r>
              <w:rPr>
                <w:rFonts w:hint="eastAsia" w:ascii="宋体" w:hAnsi="宋体" w:eastAsia="宋体" w:cs="宋体"/>
                <w:color w:val="000000"/>
                <w:kern w:val="0"/>
                <w:sz w:val="24"/>
              </w:rPr>
              <w:t>。</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1.4</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企业所得税征收管理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1.4.1企业所得税征收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《中华人民共和国税收征收管理法》第五条第一款。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hint="eastAsia"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hint="default"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2.税务机关核定纳税人分月或者分季预缴;</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3</w:t>
            </w:r>
            <w:r>
              <w:rPr>
                <w:rFonts w:hint="eastAsia" w:ascii="宋体" w:hAnsi="宋体" w:eastAsia="宋体" w:cs="宋体"/>
                <w:color w:val="000000"/>
                <w:kern w:val="0"/>
                <w:sz w:val="24"/>
              </w:rPr>
              <w:t>.纳税人、扣缴义务人直接到税务机关或采取邮寄、数据电文等其他方式办理申报、报送事项的，税务机关应当依法办理，接收相关资料；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4</w:t>
            </w:r>
            <w:r>
              <w:rPr>
                <w:rFonts w:hint="eastAsia" w:ascii="宋体" w:hAnsi="宋体" w:eastAsia="宋体" w:cs="宋体"/>
                <w:color w:val="000000"/>
                <w:kern w:val="0"/>
                <w:sz w:val="24"/>
              </w:rPr>
              <w:t>.税务机关应当开具完税凭证；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5</w:t>
            </w:r>
            <w:r>
              <w:rPr>
                <w:rFonts w:hint="eastAsia" w:ascii="宋体" w:hAnsi="宋体" w:eastAsia="宋体" w:cs="宋体"/>
                <w:color w:val="000000"/>
                <w:kern w:val="0"/>
                <w:sz w:val="24"/>
              </w:rPr>
              <w:t>.税务机关应当按照国家规定的税款入库预算级次，将征收的税款缴入国库；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.对非居民企业在中国境内取得工程作业和劳务所得应缴纳的所得税，税务机关可以指定工程价款或者劳务费的支付人为扣缴义务人。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3.税务机关发现纳税人多缴税款的，应当自发现之日起10日内办理退还手续；纳税人发现多缴税款，要求退还的，税务机关应当自接到纳税人退还申请之日起30日内查实并办理退还手续；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pPr>
              <w:widowControl/>
              <w:jc w:val="left"/>
              <w:textAlignment w:val="center"/>
              <w:rPr>
                <w:rFonts w:ascii="宋体" w:hAnsi="宋体" w:eastAsia="宋体" w:cs="宋体"/>
                <w:color w:val="000000"/>
                <w:sz w:val="24"/>
              </w:rPr>
            </w:pP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8.法律、行政法规等规定的其他不履行或者不正确履行行政职责的情形。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6456"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1.4</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企业所得税征收管理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1.4.2企业所得税减免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《中华人民共和国税收征收管理法》第三条、第五条、第三十三条。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w:t>
            </w:r>
          </w:p>
          <w:p>
            <w:pPr>
              <w:widowControl/>
              <w:jc w:val="left"/>
              <w:textAlignment w:val="center"/>
              <w:rPr>
                <w:rStyle w:val="8"/>
                <w:rFonts w:hint="default"/>
              </w:rPr>
            </w:pPr>
            <w:r>
              <w:rPr>
                <w:rFonts w:hint="eastAsia" w:ascii="宋体" w:hAnsi="宋体" w:eastAsia="宋体" w:cs="宋体"/>
                <w:color w:val="000000"/>
                <w:kern w:val="0"/>
                <w:sz w:val="24"/>
              </w:rPr>
              <w:t>3.纳税人</w:t>
            </w:r>
            <w:r>
              <w:rPr>
                <w:rStyle w:val="9"/>
                <w:rFonts w:hint="default"/>
                <w:color w:val="000000" w:themeColor="text1"/>
                <w14:textFill>
                  <w14:solidFill>
                    <w14:schemeClr w14:val="tx1"/>
                  </w14:solidFill>
                </w14:textFill>
              </w:rPr>
              <w:t>按照财税〔2018〕102号文件规定</w:t>
            </w:r>
            <w:r>
              <w:rPr>
                <w:rStyle w:val="8"/>
                <w:rFonts w:hint="default"/>
              </w:rPr>
              <w:t>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Style w:val="8"/>
                <w:rFonts w:hint="default"/>
              </w:rPr>
            </w:pPr>
            <w:r>
              <w:rPr>
                <w:rStyle w:val="8"/>
                <w:rFonts w:hint="default"/>
              </w:rPr>
              <w:t>二、事中事后监管措施</w:t>
            </w:r>
          </w:p>
          <w:p>
            <w:pPr>
              <w:widowControl/>
              <w:jc w:val="left"/>
              <w:textAlignment w:val="center"/>
              <w:rPr>
                <w:rStyle w:val="8"/>
                <w:rFonts w:hint="default"/>
              </w:rPr>
            </w:pPr>
            <w:r>
              <w:rPr>
                <w:rStyle w:val="8"/>
                <w:rFonts w:hint="default"/>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pPr>
              <w:widowControl/>
              <w:jc w:val="left"/>
              <w:textAlignment w:val="center"/>
              <w:rPr>
                <w:rStyle w:val="8"/>
                <w:rFonts w:hint="default"/>
              </w:rPr>
            </w:pPr>
            <w:r>
              <w:rPr>
                <w:rStyle w:val="8"/>
                <w:rFonts w:hint="default"/>
              </w:rPr>
              <w:t>2.税务机关应当以“信用＋风险”动态管理为基础，完善分级分类管理，推进“互联网＋监管”，着力构建和完善信用评价、监控预警、风险应对全流程管理体系，加强公正监管，促进共管共治。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Style w:val="8"/>
                <w:rFonts w:hint="default"/>
              </w:rPr>
            </w:pPr>
            <w:r>
              <w:rPr>
                <w:rStyle w:val="8"/>
                <w:rFonts w:hint="default"/>
              </w:rPr>
              <w:t>三、部门间职责衔接</w:t>
            </w:r>
          </w:p>
          <w:p>
            <w:pPr>
              <w:widowControl/>
              <w:jc w:val="left"/>
              <w:textAlignment w:val="center"/>
              <w:rPr>
                <w:rFonts w:ascii="宋体" w:hAnsi="宋体" w:eastAsia="宋体" w:cs="宋体"/>
                <w:color w:val="000000"/>
                <w:sz w:val="24"/>
              </w:rPr>
            </w:pPr>
            <w:r>
              <w:rPr>
                <w:rStyle w:val="8"/>
                <w:rFonts w:hint="default"/>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5889"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1.4.3居民企业所得税核定</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1.《中华人民共和国税收征收管理法》第三十五条。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2.《中华人民共和国企业所得税法》第四十四条。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1.税务机关应当通过官方网站、办税服务场所等渠道公开核定主体、权限、依据、程序、救济渠道、流程图等；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2.主管税务机关应及时向纳税人送达《企业所得税核定征收鉴定表》，及时完成对其核定征收企业所得税的鉴定工作；</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纳税人应在收到《企业所得税核定征收鉴定表》后10个工作日内，填好该表并报送主管税务机关；主管税务机关应在受理《企业所得税核定征收鉴定表》后20个工作日内，分类逐户审查核实，提出鉴定意见，并报县税务机关复核、认定；县税务机关应在收到《企业所得税核定征收鉴定表》后30个工作日内，完成复核、认定工作；</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4.主管税务机关应当分类逐户公示核定的应纳所得税额或应税所得率。主管税务机关应当按照便于纳税人及社会各界了解、监督的原则确定公示地点、方式。</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应在每年6月底前对上年度实行核定征收企业所得税的纳税人进行重新鉴定。重新鉴定工作完成前，纳税人可暂按上年度的核定征收方式预缴企业所得税；重新鉴定工作完成后，按重新鉴定的结果进行调整。</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2.违反规定核定应纳税额，导致纳税人税负水平明显不合理的；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6204"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1.4</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企业所得税征收管理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1.4.4非居民企业所得税核定</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1.《中华人民共和国税收征收管理法》第三十五条。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2.《中华人民共和国企业所得税法》第四十四条。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3.《非居民企业所得税核定征收管理办法》（国税发〔2010〕19号印发，国家税务总局公告2015年第22号、2016年第28号、2018年第31号修改）第四条。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1.税务机关应当通过官方网站、办税服务场所等渠道公开核定主体、权限、依据、程序、救济渠道、流程图等；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非居民企业因会计账簿不健全，资料残缺难以查账，或者其他原因不能准确计算并据实申报其应纳税所得额的，税务机关有权采取《非居民企业所得税核定征收管理办法》第四条规定的方法核定其应纳税所得额；</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主管税务机关应及时向非居民企业送达《非居民企业所得税征收方式鉴定表》，非居民企业应在收到后10个工作日内，完成填写并送达主管税务机关，主管税务机关在受理后20个工作日内，完成该项征收方式的确认工作。</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税务机关发现非居民企业采用核定征收方式计算申报的应纳税所得额不真实，或者明显与其承担的功能风险不相匹配的，有权予以调整。</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2.违反规定核定应纳税额，导致纳税人税负水平明显不合理的；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5605"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1.4.5房地产开发产品视同销售的收入（或利润）确定</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1.《中华人民共和国企业所得税法》第二十条。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2.《中华人民共和国企业所得税法实施条例》第二十五条。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3.《房地产开发经营业务企业所得税处理办法》（国税发〔2009〕31号印发，国家税务总局公告2018年第31号修改）第七条。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1.税务机关应当通过官方网站、办税服务场所等渠道公开房地产开发产品视同销售的收入（或利润）确定主体、权限、依据、程序、救济渠道、服务指南、流程图等；</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企业将开发产品用于捐赠、赞助、职工福利、奖励、对外投资、分配给股东或投资人、抵偿债务、换取其他企事业单位和个人的非货币性资产等行为，应视同销售，于开发产品所有权或使用权转移，或于实际取得利益权利时确认收入（或利润）的实现。确认收入（或利润）的方法和顺序为：（1）按本企业近期或本年度最近月份同类开发产品市场销售价格确定；（2）由主管税务机关参照当地同类开发产品市场公允价值确定；（3）按开发产品的成本利润率确定。开发产品的成本利润率不得低于15%，具体比例由主管税务机关确定。</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66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1.4</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企业所得税征收管理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1.4.6单边预约定价安排谈签（含续签）</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1.《中华人民共和国企业所得税法》第四十二条。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2.《中华人民共和国税收征收管理法实施细则》第五十三条。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企业申请单边预约定价安排的，主管税务机关应当按规定组织与企业开展预备会谈；单边预约定价安排涉及一个省、自治区、直辖市和计划单列市内两个或者两个以上主管税务机关的，由省、自治区、直辖市和计划单列市相应税务机关统一组织协调；预约定价安排同时涉及两个或者两个以上省、自治区、直辖市和计划单列市税务机关的，由国家税务总局统一组织协调；</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2</w:t>
            </w:r>
            <w:r>
              <w:rPr>
                <w:rFonts w:hint="eastAsia" w:ascii="宋体" w:hAnsi="宋体" w:eastAsia="宋体" w:cs="宋体"/>
                <w:color w:val="000000"/>
                <w:kern w:val="0"/>
                <w:sz w:val="24"/>
              </w:rPr>
              <w:t>.税务机关应当按规定分析评估单边预约定价安排申请；</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3</w:t>
            </w:r>
            <w:r>
              <w:rPr>
                <w:rFonts w:hint="eastAsia" w:ascii="宋体" w:hAnsi="宋体" w:eastAsia="宋体" w:cs="宋体"/>
                <w:color w:val="000000"/>
                <w:kern w:val="0"/>
                <w:sz w:val="24"/>
              </w:rPr>
              <w:t>.税务机关应当按规定签署单边预约定价安排。</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预约定价安排执行期间，主管税务机关应当每年监控企业执行预约定价安排的情况。监控内容主要包括：企业是否遵守预约定价安排条款及要求；年度报告是否反映企业的实际经营情况；预约定价安排所描述的假设条件是否仍然有效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预约定价安排执行期间，企业发生影响预约定价安排的实质性变化，应当在发生变化之日起30日内书面报告主管税务机关，税务机关应当在收到企业书面报告后，分析企业实质性变化情况，根据实质性变化对预约定价安排的影响程度，修订或者终止预约定价安排。签署的预约定价安排终止执行的，税务机关可以和企业按照本公告规定的程序和要求，重新谈签预约定价安排；</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预约定价安排采用四分位法确定价格或者利润水平，在预约定价安排执行期间，如果企业当年实际经营结果在四分位区间之外，税务机关可以将实际经营结果调整到四分位区间中位值。预约定价安排执行期满，企业各年度经营结果的加权平均值低于区间中位值，且未调整至中位值的，税务机关不再受理续签申请；</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预约定价安排执行期间，主管税务机关与企业发生分歧的，双方应当进行协商。协商不能解决的，可以报上一级税务机关协调；对上一级税务机关的决定，下一级税务机关应当予以执行。企业仍不能接受的，可以终止预约定价安排的执行；</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没有按照规定的权限和程序签署预约定价安排，或者税务机关发现企业隐瞒事实的，应当认定预约定价安排自始无效，并向企业送达《税务事项通知书》，说明原因；发现企业拒不执行预约定价安排或者存在违反预约定价安排的其他情况，可以视情况进行处理，直至终止预约定价安排。</w:t>
            </w:r>
          </w:p>
          <w:p>
            <w:pPr>
              <w:widowControl/>
              <w:jc w:val="left"/>
              <w:textAlignment w:val="center"/>
              <w:rPr>
                <w:rFonts w:ascii="宋体" w:hAnsi="宋体" w:eastAsia="宋体" w:cs="宋体"/>
                <w:color w:val="000000"/>
                <w:sz w:val="24"/>
              </w:rPr>
            </w:pP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税务机关及其工作人员履行行政职责存在以下情形的，应当承担相应责任：</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1.利用职务上的便利，收受或者索取纳税人、扣缴义务人财物或者谋取其他不正当利益的；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2.徇私舞弊或者玩忽职守，不征或者少征应征税款，致使国家税收遭受重大损失的；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3.滥用职权，故意刁难纳税人、扣缴义务人的；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5.法律、行政法规等规定的其他不履行或者不正确履行行政职责的情形。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r>
              <w:rPr>
                <w:rFonts w:hint="eastAsia" w:ascii="宋体" w:hAnsi="宋体" w:eastAsia="宋体" w:cs="宋体"/>
                <w:color w:val="000000"/>
                <w:sz w:val="24"/>
              </w:rPr>
              <w:t>1.5</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r>
              <w:rPr>
                <w:rFonts w:hint="eastAsia" w:ascii="宋体" w:hAnsi="宋体" w:eastAsia="宋体" w:cs="宋体"/>
                <w:color w:val="000000"/>
                <w:sz w:val="24"/>
              </w:rPr>
              <w:t>个人所得税征收管理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1.5.1个人所得税征收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《中华人民共和国税收征收管理法》第五条第一款。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2.纳税人、扣缴义务人直接到税务机关或采取邮寄、数据电文等其他方式办理申报、报送事项的，税务机关应当依法办理，接收相关资料；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3.税务机关征收税款应当开具完税凭证或纳税记录；</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1.公安、人民银行、金融监督管理等相关部门应当协助税务机关确认纳税人的身份、金融账户信息；</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7.未按照规定为纳税人、扣缴义务人、检举人保密的；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CellMar>
            <w:top w:w="0" w:type="dxa"/>
            <w:left w:w="0" w:type="dxa"/>
            <w:bottom w:w="0" w:type="dxa"/>
            <w:right w:w="0" w:type="dxa"/>
          </w:tblCellMar>
        </w:tblPrEx>
        <w:trPr>
          <w:gridBefore w:val="1"/>
          <w:gridAfter w:val="1"/>
          <w:wBefore w:w="10" w:type="dxa"/>
          <w:wAfter w:w="7" w:type="dxa"/>
          <w:trHeight w:val="6314"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r>
              <w:rPr>
                <w:rFonts w:hint="eastAsia" w:ascii="宋体" w:hAnsi="宋体" w:eastAsia="宋体" w:cs="宋体"/>
                <w:color w:val="000000"/>
                <w:sz w:val="24"/>
              </w:rPr>
              <w:t>1.5</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r>
              <w:rPr>
                <w:rFonts w:hint="eastAsia" w:ascii="宋体" w:hAnsi="宋体" w:eastAsia="宋体" w:cs="宋体"/>
                <w:color w:val="000000"/>
                <w:sz w:val="24"/>
              </w:rPr>
              <w:t>个人所得税征收管理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1.5.2个人所得税减免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《中华人民共和国税收征收管理法》第三条、第五条、第三十三条。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3.纳税人办理税收减免备案的，税务机关应当接收纳税人提交的备案资料，资料齐全、符合法定形式的，当场备案；需要纳税人补正有关材料、手续的，应当一次性告知需要补正的内容；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6031"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1.5.3个人独资企业和合伙企业投资者个人所得税核定</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1.《中华人民共和国税收征收管理法》第三十五条。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2.《关于个人独资企业和合伙企业投资者征收个人所得税的规定》（财税〔2000〕91号印发，财税〔2006〕44号、财税〔2008〕65号、财税〔2011〕62号修改）。</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1.税务机关应当通过官方网站、办税服务场所等渠道公开核定主体、权限、依据、程序、救济渠道、流程图等；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2.税务机关发现存在《关于个人独资企业和合伙企业投资者征收个人所得税的规定》第七条情形的，由税务机关采取核定征收方式征收个人所得税。</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主管税务机关应督促纳税人依照法律、行政法规的规定设置账簿。对不能设置账簿的，应按照税收征管法及其实施细则和《关于个人独资企业和合伙企业投资者征收个人所得税的规定》的有关规定，核定其应税所得率。对律师事务所、会计师事务所、税务师事务所、资产评估和房地产估价等鉴证类中介机构，不得实行核定征收个人所得税。</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1.违反规定核定应纳税额，导致纳税人税负水平明显不合理的；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1.6</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土地增值税征收管理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1.6.1土地增值税征收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2.《中华人民共和国土地增值税暂行条例》第十一条。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hint="eastAsia" w:ascii="宋体" w:hAnsi="宋体" w:eastAsia="宋体" w:cs="宋体"/>
                <w:color w:val="000000"/>
                <w:kern w:val="0"/>
                <w:sz w:val="24"/>
              </w:rPr>
            </w:pPr>
            <w:r>
              <w:rPr>
                <w:rFonts w:hint="eastAsia" w:ascii="宋体" w:hAnsi="宋体" w:eastAsia="宋体" w:cs="宋体"/>
                <w:color w:val="000000"/>
                <w:kern w:val="0"/>
                <w:sz w:val="24"/>
              </w:rPr>
              <w:t>2.纳税人直接到税务机关或采取邮寄、数据电文等其他方式办理申报、报送事项的，税务机关应当依法办理，接收相关资料；</w:t>
            </w:r>
          </w:p>
          <w:p>
            <w:pPr>
              <w:widowControl/>
              <w:jc w:val="left"/>
              <w:textAlignment w:val="center"/>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rPr>
              <w:t>3.在纳税人办理纳税申报后，主管税务机关核定缴纳土地增值税的期限</w:t>
            </w:r>
            <w:r>
              <w:rPr>
                <w:rFonts w:hint="eastAsia" w:ascii="宋体" w:hAnsi="宋体" w:eastAsia="宋体" w:cs="宋体"/>
                <w:color w:val="000000"/>
                <w:kern w:val="0"/>
                <w:sz w:val="24"/>
                <w:lang w:val="en-US" w:eastAsia="zh-CN"/>
              </w:rPr>
              <w:t>;</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4</w:t>
            </w:r>
            <w:r>
              <w:rPr>
                <w:rFonts w:hint="eastAsia" w:ascii="宋体" w:hAnsi="宋体" w:eastAsia="宋体" w:cs="宋体"/>
                <w:color w:val="000000"/>
                <w:kern w:val="0"/>
                <w:sz w:val="24"/>
              </w:rPr>
              <w:t>.税务机关应当开具完税凭证；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5</w:t>
            </w:r>
            <w:r>
              <w:rPr>
                <w:rFonts w:hint="eastAsia" w:ascii="宋体" w:hAnsi="宋体" w:eastAsia="宋体" w:cs="宋体"/>
                <w:color w:val="000000"/>
                <w:kern w:val="0"/>
                <w:sz w:val="24"/>
              </w:rPr>
              <w:t>.税务机关应当按照国家规定的税款入库预算级次，将征收的税款缴入国库。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1.自然资源管理部门应当向税务机关提供有关资料，并协助税务机关依法征收土地增值税；</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2.纳税人未按照《中华人民共和国土地增值税暂行条例》缴纳土地增值税的，自然资源管理部门不得办理有关的权属变更手续。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CellMar>
            <w:top w:w="0" w:type="dxa"/>
            <w:left w:w="0" w:type="dxa"/>
            <w:bottom w:w="0" w:type="dxa"/>
            <w:right w:w="0" w:type="dxa"/>
          </w:tblCellMar>
        </w:tblPrEx>
        <w:trPr>
          <w:gridBefore w:val="1"/>
          <w:gridAfter w:val="1"/>
          <w:wBefore w:w="10" w:type="dxa"/>
          <w:wAfter w:w="7" w:type="dxa"/>
          <w:trHeight w:val="6314"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1.6</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土地增值税征收管理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1.6.2土地增值税减免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2.《中华人民共和国土地增值税暂行条例》第十一条。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3.纳税人办理税收减免备案的，税务机关应当接收纳税人提交的备案资料。资料齐全、符合法定形式的，当场备案；需要纳税人补正有关材料、手续的，应当一次性告知需要补正的内容；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4.纳税人办理税收减免需要核准的，税务机关应当接收纳税人提交的相关资料。资料齐全、符合法定形式的，应当受理申请；需要纳税人补正有关材料、手续的，应当一次性告知需要补正的内容。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5889"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1.6.3土地增值税清算核定</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1.《中华人民共和国税收征收管理法》第三十五条。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2.《土地增值税清算管理规程》（国税发〔2009〕91号印发）第三十三条、第三十四条。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1.税务机关应当通过官方网站、办税服务场所等渠道公开核定主体、权限、依据、程序、救济渠道、流程图等；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2.主管税务机关发出核定征收的税务事项告知书后，税务人员对房地产项目开展土地增值税核定征收核查，主管税务机关审核合议；</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3.税务机关制作相关文书送达给纳税人，通知纳税人申报缴纳应补缴税款或办理退税。</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1.违反规定核定应纳税额，导致纳税人税负水平明显不合理的；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3.利用职务上的便利，收受或者索取纳税人财物或谋取其他不正当利益的；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5.未按照规定为纳税人、检举人保密的；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1.7</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房产税征收管理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1.7.1房产税征收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2.《中华人民共和国房产税暂行条例》第九条。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税务机关及其工作人员履行行政职责存在以下情形的，应当承担相应责任：</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1.违反规定擅自改变税收征收管理范围和税款入库预算级次的；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2.违反规定提前征收、延缓征收或者摊派税款的；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4.徇私舞弊或者玩忽职守，不征或者少征应征税款，致使国家税收遭受重大损失的；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5.滥用职权，故意刁难纳税人的；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6.利用职务上的便利，收受或者索取纳税人财物或者谋取其他不正当利益的；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7.未按照规定为纳税人、检举人保密的；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1.7</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房产税征收管理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1.7.2房产税减免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2.《中华人民共和国房产税暂行条例》第九条。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1.8</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城镇土地使用税征收管理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1.8.1城镇土地使用税征收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2.《中华人民共和国城镇土地使用税暂行条例》第十条。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自然资源管理部门应当向土地所在地的税务机关提供土地使用权属资料。</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1.8</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城镇土地使用税征收管理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1.8.2城镇土地使用税减免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2.《中华人民共和国城镇土地使用税暂行条例》第七条、第十条。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1.9</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耕地占用税征收管理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1.9.1耕地占用税征收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2.《中华人民共和国耕地占用税法》第九条。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1.自然资源主管部门凭耕地占用税完税凭证或者免税凭证和其他有关文件发放建设用地批准书；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1.9</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耕地占用税征收管理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1.9.2耕地占用税减免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2.《中华人民共和国耕地占用税法》第九条。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1.自然资源主管部门凭耕地占用税完税凭证或者免税凭证和其他有关文件发放建设用地批准书；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1.10</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契税征收管理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1.10.1契税征收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2.《中华人民共和国契税暂行条例》第十二条第一款。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hint="eastAsia" w:ascii="宋体" w:hAnsi="宋体" w:eastAsia="宋体" w:cs="宋体"/>
                <w:color w:val="000000"/>
                <w:kern w:val="0"/>
                <w:sz w:val="24"/>
              </w:rPr>
            </w:pPr>
            <w:r>
              <w:rPr>
                <w:rFonts w:hint="eastAsia" w:ascii="宋体" w:hAnsi="宋体" w:eastAsia="宋体" w:cs="宋体"/>
                <w:color w:val="000000"/>
                <w:kern w:val="0"/>
                <w:sz w:val="24"/>
              </w:rPr>
              <w:t>2.纳税人直接到税务机关或采取邮寄、数据电文等其他方式办理申报、报送事项的，税务机关应当依法办理，接收相关资料；</w:t>
            </w:r>
          </w:p>
          <w:p>
            <w:pPr>
              <w:widowControl/>
              <w:jc w:val="left"/>
              <w:textAlignment w:val="center"/>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rPr>
              <w:t>3.在纳税人向契税征收机关申报后，契税征收机关核定缴纳契税的期限</w:t>
            </w:r>
            <w:r>
              <w:rPr>
                <w:rFonts w:hint="eastAsia" w:ascii="宋体" w:hAnsi="宋体" w:eastAsia="宋体" w:cs="宋体"/>
                <w:color w:val="000000"/>
                <w:kern w:val="0"/>
                <w:sz w:val="24"/>
                <w:lang w:val="en-US" w:eastAsia="zh-CN"/>
              </w:rPr>
              <w:t>;</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4</w:t>
            </w:r>
            <w:r>
              <w:rPr>
                <w:rFonts w:hint="eastAsia" w:ascii="宋体" w:hAnsi="宋体" w:eastAsia="宋体" w:cs="宋体"/>
                <w:color w:val="000000"/>
                <w:kern w:val="0"/>
                <w:sz w:val="24"/>
              </w:rPr>
              <w:t>.税务机关应当开具完税凭证；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lang w:val="en-US" w:eastAsia="zh-CN"/>
              </w:rPr>
              <w:t>5</w:t>
            </w:r>
            <w:r>
              <w:rPr>
                <w:rFonts w:hint="eastAsia" w:ascii="宋体" w:hAnsi="宋体" w:eastAsia="宋体" w:cs="宋体"/>
                <w:color w:val="000000"/>
                <w:kern w:val="0"/>
                <w:sz w:val="24"/>
              </w:rPr>
              <w:t>.税务机关应当按照国家规定的税款入库预算级次，将征收的税款缴入国库。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1.自然资源管理部门、房产管理部门应当向契税征收机关提供有关资料，并协助契税征收机关依法征收契税；</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2.各级税务、财政和自然资源主管部门，要共同研究强化土地税收征管的办法和措施，通过信息共享、情况通报、联合办公、联席会议等多种形式沟通情况和信息，加强部门间的协作配合；</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4.各级税务、财政部门在征管工作中，如发现纳税人没有办理用地手续或未进行土地登记的，应及时将有关信息告知当地自然资源主管部门。</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2.违反法律、行政法规的规定提前征收、延缓征收或者摊派税款的；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1.10</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契税征收管理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1.10.2契税减免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2.《中华人民共和国契税暂行条例》第十二条第一款。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w:t>
            </w:r>
            <w:r>
              <w:rPr>
                <w:rFonts w:hint="eastAsia" w:ascii="宋体" w:hAnsi="宋体" w:cs="宋体"/>
                <w:color w:val="000000"/>
                <w:kern w:val="0"/>
                <w:sz w:val="24"/>
              </w:rPr>
              <w:t>纳税人申报享受税收减免，需要报送附列资料的，如资料齐全、符合法定形式，应当予以受理；需要纳税人补正有关材料、手续的，应当一次性告知需要补正的内容</w:t>
            </w:r>
            <w:r>
              <w:rPr>
                <w:rFonts w:hint="eastAsia" w:ascii="宋体" w:hAnsi="宋体" w:eastAsia="宋体" w:cs="宋体"/>
                <w:color w:val="000000"/>
                <w:kern w:val="0"/>
                <w:sz w:val="24"/>
              </w:rPr>
              <w:t>。</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各级税务机关根据国家税收法律、法规、规章、规范性文件等规定对自行申报的契税减免情况进行后续管理。对不应当享受减免税的，依法追缴已享受的减免税款，并予以相应处理。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1.11</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资源税征收管理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1.11.1资源税征收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2.《中华人民共和国资源税暂行条例》第十条。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税务机关应当加强与矿业管理部门、行业协会等有关部门沟通协作，实现信息共享。</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2.违反法律、行政法规的规定提前征收、延缓征收或者摊派税款的；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1.11</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资源税征收管理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1.11.2资源税减免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2.《中华人民共和国资源税暂行条例》第十条。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2.纳税人申报享受税收减免的，无需报送附列资料，税务机关应当依法办理，接收相关资料；需要纳税人补正有关资料、手续的，应当一次性告知需要补正的内容；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3.纳税人办理税收减免需要核准的，纳税人向主管税务机关提出，由省、自治区、直辖市人民政府决定，税务机关根据省、自治区、直辖市人民政府的决定，减征或免征资源税。</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1.12</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车船税征收管理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1.12.1车船税征收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1.《中华人民共和国税收征收管理法》第五条第一款。</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2.《中华人民共和国车船税法》第十一条、第十二条。</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3.《中华人民共和国车船税法实施条例》第十一条。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2.纳税人、扣缴义务人直接到税务机关或采取邮寄、数据电文等其他方式办理申报、报送事项的，税务机关应当依法办理，接收相关资料；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三、部门间职责衔接</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1.税务机关可以在车船登记管理部门、车船检验机构的办公场所集中办理车船税征收事宜；</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2.公安、交通运输、农业、渔业等车船登记管理部门、船舶检验机构和车船税扣缴义务人的行业主管部门应当在提供车船有关信息等方面，协助税务机关加强车船税的征收管理；</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3.车辆所有人或者管理人在申请办理车辆相关登记、定期检验手续时，应当向公安机关交通管理部门提交依法纳税或者免税证明。公安机关交通管理部门核查后办理相关手续。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2.违反法律、行政法规的规定提前征收、延缓征收或者摊派税款的；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7.未按照规定为纳税人、扣缴义务人、检举人保密的；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1.12</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车船税征收管理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1.12.2车船税减免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1.《中华人民共和国税收征收管理法》第三条、第五条、第三十三条。</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2.《中华人民共和国车船税法》第十一条、第十二条。</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3.《中华人民共和国车船税法实施条例》第十一条。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2.纳税人申报享受税收减免，无需报送附列资料的，税务机关应当依法办理，接收相关资料；需要纳税人补正有关材料、手续的，应当一次性告知需要补正的内容。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1.税务机关可以在车船登记管理部门、车船检验机构的办公场所集中办理车船税征收事宜；</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2.公安机关交通管理部门在办理车辆相关登记和定期检验手续时，经核查，对没有提供依法纳税或者免税证明的，不予办理相关手续。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1.13</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印花税征收管理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1.13.1印花税征收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2.《中华人民共和国印花税暂行条例》第十条。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2.违反法律、行政法规的规定提前征收、延缓征收或者摊派税款的；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7.未按照规定为纳税人、扣缴义务人、检举人保密的；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CellMar>
            <w:top w:w="0" w:type="dxa"/>
            <w:left w:w="0" w:type="dxa"/>
            <w:bottom w:w="0" w:type="dxa"/>
            <w:right w:w="0" w:type="dxa"/>
          </w:tblCellMar>
        </w:tblPrEx>
        <w:trPr>
          <w:gridBefore w:val="1"/>
          <w:gridAfter w:val="1"/>
          <w:wBefore w:w="10" w:type="dxa"/>
          <w:wAfter w:w="7" w:type="dxa"/>
          <w:trHeight w:val="6598"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1.13</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印花税征收管理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1.13.2印花税减免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2.《中华人民共和国印花税暂行条例》第十条。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1.14</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城市维护建设税征收管理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1.14.1城市维护建设税征收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2.《中华人民共和国城市维护建设税暂行条例》第五条。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2.税务机关应当受理纳税人、扣缴义务人直接申报、邮寄申报、数据电文申报或者其他方式申报，接收相关资料；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2.违反法律、行政法规的规定提前征收、延缓征收或者摊派税款的；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7.未按照规定为纳税人、扣缴义务人、检举人保密的；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1.14</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城市维护建设税征收管理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1.14.2城市维护建设税减免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2.《中华人民共和国城市维护建设税暂行条例》第五条。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各级税务机关根据国家税收法律、法规、规章、规范性文件等规定对自行申报的城市维护建设税减免情况进行后续管理。对不应当享受减免税的，依法追缴已享受的减免税款，并予以相应处理。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税务机关及其工作人员履行行政职责存在以下情形的，应当承担相应责任：</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1.违反法律、行政法规的规定，擅自作出减税、免税决定的；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2.违反法定程序为纳税人办理减税、免税手续的；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3.徇私舞弊或者玩忽职守，不征或者少征应征税款，致使国家税收遭受重大损失的；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4.利用职务上的便利，收受或者索取纳税人、扣缴义务人财物或者谋取其他不正当利益的；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5.滥用职权，故意刁难纳税人、扣缴义务人的；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7.法律、行政法规等规定的其他不履行或者不正确履行行政职责的情形。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1.15</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烟叶税征收管理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eastAsia="宋体" w:cs="宋体"/>
                <w:color w:val="000000"/>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2.《中华人民共和国烟叶税法》第六条。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2.纳税人、扣缴义务人直接到税务机关或采取邮寄、数据电文等其他方式办理申报、报送事项的，税务机关应当依法办理，接收相关资料；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2.违反法律、行政法规的规定提前征收、延缓征收或者摊派税款的；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1.16</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环境保护税征收管理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1.16.1环境保护税征收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2.《中华人民共和国环境保护税法》第十四条第一款。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3.税务机关应当开具完税凭证；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4.税务机关应当按照国家规定的税款入库预算级次，将征收的税款缴入国库。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4.税务机关应当将纳税人的纳税申报数据资料与生态环境主管部门交送的相关数据资料进行比对；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2.县级以上地方人民政府应当建立税务机关、环境保护主管部门和其他相关单位分工协作工作机制，加强环境保护税征收管理，保障税款及时足额入库；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3.环境保护主管部门和税务机关应当建立涉税信息共享和工作配合机制。</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（1）环境保护主管部门应当将排污单位的排污许可、污染物排放数据、环境违法和受行政处罚情况等环境保护相关信息，定期交送税务机关；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（2）税务机关应当将纳税人的纳税申报、税款入库、减免税额、欠缴税款以及风险疑点等环境保护税涉税信息，定期交送环境保护主管部门。</w:t>
            </w:r>
          </w:p>
          <w:p>
            <w:pPr>
              <w:widowControl/>
              <w:jc w:val="left"/>
              <w:textAlignment w:val="center"/>
              <w:rPr>
                <w:rFonts w:ascii="宋体" w:hAnsi="宋体" w:eastAsia="宋体" w:cs="宋体"/>
                <w:color w:val="000000"/>
                <w:sz w:val="24"/>
              </w:rPr>
            </w:pP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2.违反法律、行政法规的规定提前征收、延缓征收或者摊派税款的；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8.法律、行政法规等规定的其他不履行或者不正确履行行政职责的情形。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6598"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1.16</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环境保护税征收管理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1.16.2环境保护税减免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1.《中华人民共和国税收征收管理法》第三条、第五条、第三十三条。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2.《中华人民共和国环境保护税法》第十二条、第十三条。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2.纳税人申报享受税收减免，无需报送附列资料的，税务机关应当依法办理，接收相关资料；需要纳税人补正有关材料、手续的，应当一次性告知需要补正的内容。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1.税务机关应当将纳税人的纳税申报数据资料与生态环境主管部门交送的相关数据资料进行比对；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税务机关应当通过涉税信息共享平台将纳税人的减免税额信息，定期交送生态环境主管部门。</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1.违反法律、行政法规的规定，擅自作出减税、免税决定的；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2.违反法定程序为纳税人办理减税、免税手续的；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5785"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1.16.3环境保护税核定</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《中华人民共和国环境保护税法》第十条、第二十一条。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1.税务机关应当通过官方网站、办税服务场所等渠道公开核定主体、权限、依据、程序、救济渠道、流程图等；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2.依照《中华人民共和国环境保护税法》第十条第四项的规定核定计算污染物排放量的，由税务机关会同生态环境主管部门核定污染物排放种类、数量和应纳税额。</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1.违反规定核定应纳税额，导致纳税人税负水平明显不合理的；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3.利用职务上的便利，收受或者索取纳税人财物或谋取其他不正当利益的；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1.17</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非居民纳税人享受协定待遇管理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rPr>
                <w:rFonts w:ascii="宋体" w:hAnsi="宋体" w:eastAsia="宋体" w:cs="宋体"/>
                <w:color w:val="000000"/>
                <w:sz w:val="22"/>
                <w:szCs w:val="22"/>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1.《中华人民共和国税收征收管理法》第九十一条。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2.《中华人民共和国企业所得税法》第五十八条。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1.税务机关应当通过官方网站、办税服务场所等渠道公开非居民享受协定待遇的依据、程序、报送资料、救济渠道、服务指南、流程图等；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非居民纳税人享受协定待遇，采取“自行判断、申报享受、相关资料留存备查”的方式办理。非居民纳税人自行判断符合享受协定待遇条件的，可在纳税申报时，或通过扣缴义务人在扣缴申报时，自行享受协定待遇，同时按照《非居民纳税人享受协定待遇管理办法》的规定归集和留存相关资料备查，并接受税务机关后续管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主管税务机关在后续管理时，可要求非居民纳税人限期提供留存备查资料。主管税务机关在后续管理或税款退还查实工作过程中，发现依据《非居民纳税人享受协定待遇管理办法》第七条规定的资料不足以证明非居民纳税人符合享受协定待遇条件，或非居民纳税人存在逃避税嫌疑的，可要求非居民纳税人或扣缴义务人限期提供相关资料并配合调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非居民纳税人、扣缴义务人应配合主管税务机关进行非居民纳税人享受协定待遇的后续管理与调查。非居民纳税人、扣缴义务人均未按照税务机关要求提供相关资料，或逃避、拒绝、阻挠税务机关进行后续调查，主管税务机关无法查实其是否符合享受协定待遇条件的，应视为不符合享受协定待遇条件；</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非居民纳税人不符合享受协定待遇条件而享受了协定待遇且未缴或少缴税款的，除因扣缴义务人未按《非居民纳税人享受协定待遇管理办法》第六条规定扣缴申报外，视为非居民纳税人未按照规定申报缴纳税款，主管税务机关依法追缴税款并追究非居民纳税人延迟纳税责任。在扣缴情况下，税款延迟缴纳期限自扣缴申报享受协定待遇之日起计算；</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扣缴义务人未按《非居民纳税人享受协定待遇管理办法》第六条规定扣缴申报，或者未按《非居民纳税人享受协定待遇管理办法》第十三条规定提供相关资料，发生不符合享受协定待遇条件的非居民纳税人享受协定待遇且未缴或少缴税款情形的，主管税务机关依据有关规定追究扣缴义务人责任，并责令非居民纳税人限期缴纳税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7.依据企业所得税法第三十九条规定，非居民纳税人未依法缴纳税款的，主管税务机关可以从该非居民纳税人在中国境内其他收入项目的支付人应付的款项中，追缴该非居民纳税人的应纳税款；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8.主管税务机关在后续管理或税款退还查实工作过程中，发现不能准确判定非居民纳税人是否可以享受协定待遇的，应当向上级税务机关报告；需要启动相互协商或情报交换程序的，按有关规定启动相应程序；</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9.主管税务机关应当对非居民纳税人不当享受协定待遇情况建立信用档案，并采取相应后续管理措施。</w:t>
            </w:r>
          </w:p>
          <w:p>
            <w:pPr>
              <w:widowControl/>
              <w:jc w:val="left"/>
              <w:textAlignment w:val="center"/>
              <w:rPr>
                <w:rFonts w:ascii="宋体" w:hAnsi="宋体" w:eastAsia="宋体" w:cs="宋体"/>
                <w:color w:val="000000"/>
                <w:sz w:val="24"/>
              </w:rPr>
            </w:pP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2.利用职务上的便利，收受或者索取纳税人财物或谋取其他不正当利益的；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 xml:space="preserve">3.滥用职权，故意刁难纳税人的； </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4755"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1.18</w:t>
            </w: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1.18</w:t>
            </w: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出口退（免）税</w:t>
            </w: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出口退（免）税</w:t>
            </w: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1.18.1出口货物劳务及应税服务退（免）税办理</w:t>
            </w: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textAlignment w:val="center"/>
              <w:rPr>
                <w:rFonts w:ascii="宋体" w:hAnsi="宋体" w:eastAsia="宋体" w:cs="宋体"/>
                <w:color w:val="000000"/>
                <w:kern w:val="0"/>
                <w:sz w:val="24"/>
              </w:rPr>
            </w:pPr>
            <w:r>
              <w:rPr>
                <w:rFonts w:hint="eastAsia" w:ascii="宋体" w:hAnsi="宋体" w:eastAsia="宋体" w:cs="宋体"/>
                <w:color w:val="000000"/>
                <w:kern w:val="0"/>
                <w:sz w:val="24"/>
              </w:rPr>
              <w:t>1.18.1出口货物劳务及应税服务退（免）税办理</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1.《中华人民共和国税收征收管理法实施细则》第三十八条第三款。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2.《中华人民共和国增值税暂行条例》第二十五条。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3.《中华人民共和国消费税暂行条例》第十一条。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w:t>
            </w:r>
            <w:r>
              <w:rPr>
                <w:rFonts w:hint="eastAsia" w:ascii="宋体" w:hAnsi="宋体" w:cs="宋体"/>
                <w:color w:val="000000"/>
                <w:kern w:val="0"/>
                <w:sz w:val="24"/>
              </w:rPr>
              <w:t xml:space="preserve"> 《出口货物劳务增值税和消费税管理办法》（国家税务总局公告2012年第24号发布</w:t>
            </w:r>
            <w:r>
              <w:rPr>
                <w:rFonts w:hint="eastAsia" w:ascii="宋体" w:hAnsi="宋体" w:eastAsia="宋体" w:cs="宋体"/>
                <w:color w:val="000000"/>
                <w:kern w:val="0"/>
                <w:sz w:val="24"/>
              </w:rPr>
              <w:t>）第四条、第五条、第六条、第七条、第九条。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5.《国家税务总局关于〈出口货物劳务增值税和消费税管理办法〉有关问题的公告》（国家税务总局公告2013年第12号）第二条第十项。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6.《国家税务总局关于出口货物劳务增值税和消费税有关问题的公告》（国家税务总局公告2013年第65号发布，国家税务总局公告2018年第31号修改）第三条。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7.《适用增值税零税率应税服务退（免）税管理办法》（国家税务总局公告2014年第11号）第十二条。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8.《横琴、平潭开发有关增值税和消费税退税管理办法（试行）》（国家税务总局2014年第70号公告发布，国家税务总局公告2018年第31号修改）第五条、第六条。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9.《国家税务总局关于出口退（免）税有关问题的公告》（国家税务总局公告2015年第29号发布，国家税务总局公告2018年第31号修改）第六条。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10.《境外旅客购物离境退税管理办法（试行）》（国家税务总局公告2015年第41号发布，国家税务总局公告2018年第31号修改）第二十四条。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11.《国家税务总局关于调整完善外贸综合服务企业办理出口货物退（免）税有关事项的公告》（国家税务总局公告2017年第35号发布，国家税务总局公告2018年第31号修改）第八条。</w:t>
            </w:r>
          </w:p>
          <w:p>
            <w:pPr>
              <w:widowControl/>
              <w:jc w:val="left"/>
              <w:textAlignment w:val="center"/>
              <w:rPr>
                <w:rFonts w:hint="eastAsia" w:ascii="宋体" w:hAnsi="宋体" w:eastAsia="宋体" w:cs="宋体"/>
                <w:color w:val="000000"/>
                <w:kern w:val="0"/>
                <w:sz w:val="24"/>
              </w:rPr>
            </w:pPr>
            <w:r>
              <w:rPr>
                <w:rFonts w:hint="eastAsia" w:ascii="宋体" w:hAnsi="宋体" w:eastAsia="宋体" w:cs="宋体"/>
                <w:color w:val="000000"/>
                <w:kern w:val="0"/>
                <w:sz w:val="24"/>
              </w:rPr>
              <w:t>12.《国家税务总局关于出口退（免）税申报有关问题的公告》（国家税务总局公告2018年第16号）第七条、第九条。</w:t>
            </w:r>
          </w:p>
          <w:p>
            <w:pPr>
              <w:widowControl/>
              <w:jc w:val="left"/>
              <w:textAlignment w:val="center"/>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rPr>
              <w:t>13.《国家税务总局关于支持个体工商户复工复业等税收征收管理事项的公告》（国家税务总局公告2020年第5号）第六条</w:t>
            </w:r>
            <w:r>
              <w:rPr>
                <w:rFonts w:hint="eastAsia" w:ascii="宋体" w:hAnsi="宋体" w:eastAsia="宋体" w:cs="宋体"/>
                <w:color w:val="000000"/>
                <w:kern w:val="0"/>
                <w:sz w:val="24"/>
                <w:lang w:val="en-US" w:eastAsia="zh-CN"/>
              </w:rPr>
              <w:t>;</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纳税人提供的出口退（免）税备案资料齐全，《出口退（免）税备案表》填写内容符合要求，签字、印章完整的，主管税务机关应当场予以备案。对不符合上述要求的，主管税务机关应一次性告知出口企业或其他单位，待其补正后备案；</w:t>
            </w:r>
          </w:p>
          <w:p>
            <w:pPr>
              <w:widowControl/>
              <w:jc w:val="left"/>
              <w:textAlignment w:val="center"/>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rPr>
              <w:t>3.放弃适用退（免）税政策的出口企业，应向主管税务机关办理备案手续。自备案次日起36个月内，其出口的适用增值税退（免）税政策的出口货物劳务，适用增值税免税政策或征税政策。已放弃适用出口退（免）税政策未满36个月的纳税人符合规定条件的，可以向主管税务机关声明恢复适用出口退（免）税政策，按照现行规定申报出口退（免）税</w:t>
            </w:r>
            <w:r>
              <w:rPr>
                <w:rFonts w:hint="eastAsia" w:ascii="宋体" w:hAnsi="宋体" w:eastAsia="宋体" w:cs="宋体"/>
                <w:color w:val="000000"/>
                <w:kern w:val="0"/>
                <w:sz w:val="24"/>
                <w:lang w:eastAsia="zh-CN"/>
              </w:rPr>
              <w:t>。</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对骗取国家出口退税款的，由省级以上（含本级）税务机关批准，停止其出口退（免）税资格。</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1.违反法律、行政法规的规定，擅自作出免税、退税决定的；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2.违反规定为纳税人、扣缴义务人提供银行账户、发票、证明或者便利条件，导致未缴、少缴税款或者骗取国家出口退税款的；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3.违反法定程序为纳税人办理免税、退税手续的；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8.法律、行政法规等规定的其他不履行或者不正确履行行政职责的情形。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8724"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r>
              <w:rPr>
                <w:rFonts w:hint="eastAsia" w:ascii="宋体" w:hAnsi="宋体" w:eastAsia="宋体" w:cs="宋体"/>
                <w:color w:val="000000"/>
                <w:sz w:val="24"/>
              </w:rPr>
              <w:t>1.18</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出口退（免）税</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1.18.2出口退（免）税相关证明的办理</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1.《中华人民共和国税收征收管理法实施细则》第三十八条第三款。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2.《出口货物劳务增值税和消费税管理办法》（国家税务总局公告2012年第24号发布）第十条。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3.《国家税务总局关于&lt;出口货物劳务增值税和消费税管理办法&gt;有关问题的公告》（国家税务总局公告2013年第12号）第四条。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4.《国家税务总局关于出口货物劳务增值税和消费税有关问题的公告》（国家税务总局公告2013年第65号发布，国家税务总局公告2018年第31号修改）第十一条。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5.《国家税务总局关于出口退（免）税有关问题的公告》（国家税务总局公告2015年第29号发布，国家税务总局公告2018年第31号修改）第三条。</w:t>
            </w:r>
          </w:p>
          <w:p>
            <w:pPr>
              <w:widowControl/>
              <w:jc w:val="left"/>
              <w:textAlignment w:val="center"/>
              <w:rPr>
                <w:rFonts w:ascii="宋体" w:hAnsi="宋体" w:eastAsia="宋体" w:cs="宋体"/>
                <w:color w:val="000000"/>
                <w:sz w:val="24"/>
              </w:rPr>
            </w:pPr>
            <w:r>
              <w:rPr>
                <w:rFonts w:ascii="宋体" w:hAnsi="宋体" w:eastAsia="宋体" w:cs="宋体"/>
                <w:color w:val="000000"/>
                <w:kern w:val="0"/>
                <w:sz w:val="24"/>
              </w:rPr>
              <w:t>6</w:t>
            </w:r>
            <w:r>
              <w:rPr>
                <w:rFonts w:hint="eastAsia" w:ascii="宋体" w:hAnsi="宋体" w:eastAsia="宋体" w:cs="宋体"/>
                <w:color w:val="000000"/>
                <w:kern w:val="0"/>
                <w:sz w:val="24"/>
              </w:rPr>
              <w:t>.《启运港退（免）税管理办法（2018年12月28日修订）》（国家税务总局公告2018年第66号发布）第十一条。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出口企业为办理出口货物劳务及服务退（免）税业务或其他涉税业务，提供相关资料，申请开具出口退（免）税相关证明或办理证明的作废与补办事项，经主管税务机关审核通过的，申报受理人员向出口企业出具相关证明或办结核销手续；审核不通过的，出具税务事项通知书，一次性告知出口企业不予办理的原因。</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对骗取国家出口退税款的，由省级以上（含本级）税务机关批准，停止其出口退（免）税资格。</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1.违反规定为纳税人、扣缴义务人提供银行账户、发票、证明或者便利条件，导致未缴、少缴税款或者骗取国家出口退税款的；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2.出具虚假涉税证明的；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1.19</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个体工商户税收定期定额核定</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1.《中华人民共和国税收征收管理法》第三十五条第一款。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2.《个体工商户税收定期定额征收管理办法》（国家税务总局令第16号公布，国家税务总局令第44号修改）第二条。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1.税务机关应当通过官方网站、办税服务场所等渠道公开核定主体、权限、依据、程序、救济渠道、流程图等；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3.主管税务机关应当将核定定额的初步结果进行公示，公示期限为五个工作日；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4.主管税务机关根据公示意见结果修改定额，并将核定情况报经县以上税务机关审核批准后，填制《核定定额通知书》；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5.主管税务机关应当将《核定定额通知书》送达定期定额户执行；</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6.主管税务机关将最终确定的定额和应纳税额情况在原公示范围内进行公布；</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7.税务机关停止定期定额户实行定期定额征收方式，应当书面通知定期定额户。</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1.违反规定核定应纳税额、调整税收定额，导致纳税人税负水平明显不合理的；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2.利用职务上的便利，收受或者索取纳税人财物或谋取其他不正当利益的；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5.对控告、检举税收违法违纪行为的纳税人、扣缴义务人以及其他检举人进行打击报复的；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6031"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1.20</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核定应纳税额</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eastAsia="宋体" w:cs="宋体"/>
                <w:color w:val="000000"/>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1.《中华人民共和国税收征收管理法》第三十五条、第三十七条。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2.《中华人民共和国税收征收管理法实施细则》第四十七条。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1.税务机关应当通过官方网站、办税服务场所等渠道公开核定主体、权限、依据、程序、救济渠道、流程图等；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3.税务机关制作《税务事项通知书》或《税务处理决定书》，将相关文书送达纳税人。</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1.违反规定核定应纳税额，导致纳税人税负水平明显不合理的；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3.利用职务上的便利，收受或者索取纳税人财物或谋取其他不正当利益的；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6357"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1.21</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多缴税款退（抵）</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eastAsia="宋体" w:cs="宋体"/>
                <w:color w:val="000000"/>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1.《中华人民共和国税收征收管理法》第五十一条。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2.《中华人民共和国税收征收管理法实施细则》第七十八条、第七十九条。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1.税务机关应当通过官方网站、办税服务场所等渠道公开多缴税款退（抵）的依据、程序、报送资料、救济渠道、服务指南、流程图等；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2.税务机关发现纳税人多缴税款的，应当自发现之日起10日内办理退还手续；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3.纳税人自结算缴纳税款之日起三年内发现的，可以向税务机关要求退还多缴的税款并加算银行同期存款利息，税务机关应当自接到纳税人退还申请之日起30日内查实并办理退还手续；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4.当纳税人既有应退税款又有欠缴税款的，税务机关可以将应退税款和利息先抵扣欠缴税款；抵扣后有余额的，退还纳税人；</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5.税务机关应当核实纳税人提供的材料，按规定办理，涉及从国库中退库的，依照法律、行政法规有关国库管理的规定退还。</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1.违反法定程序为纳税人办理退税手续的；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2.违反法律、行政法规的规定，擅自作出退税决定的；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5605"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1.22</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税款追征追缴</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1.《中华人民共和国税收征收管理法》第五十二条、第六十四条、第六十八条、第六十九条。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2.《中华人民共和国税收征收管理法实施细则》第九十四条。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2.纳税人拒绝代扣、代收税款的，扣缴义务人应当向税务机关报告，由税务机关直接向纳税人追缴税款、滞纳金。纳税人拒不缴纳的，依照税收征管法第六十八条的规定执行；</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3.税务机关追征追缴税款、滞纳金，应当按规定出具《税务事项通知书》或《税务处理决定书》；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5.税务机关征收税款应当开具完税凭证；</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6.税务机关应当按照国家规定的税款入库预算级次，将征收的税款缴入国库。</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1.违反规定擅自改变税收征收管理范围和税款入库预算级次的；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4.滥用职权，故意刁难纳税人、扣缴义务人的；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5938"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1.23</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委托代征</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eastAsia="宋体" w:cs="宋体"/>
                <w:color w:val="000000"/>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1.《中华人民共和国税收征收管理法》第二十九条。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2.《中华人民共和国税收征收管理法实施细则》第四十四条。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1.税务机关应当通过官方网站、办税服务场所等渠道公开委托代征的主体、权限、依据、程序、救济渠道、流程图等；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2.税务机关应当审查代征人资格，确定、登记代征人的相关信息，与代征人签订委托代征协议书，明确委托代征相关事宜；</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3.税务机关应当发放委托代征证书，并在广播、电视、报纸、期刊、网络等新闻媒体或者代征范围内纳税人相对集中的场所公告代征人的委托代征资格和《委托代征协议书》；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4.税务机关应当依照规定，办理代征手续费支付手续；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符合《委托代征管理办法》第十三条规定情形，税务机关提前终止委托代征协议，或委托代征协议期限届满，代征人向税务机关提出终止协议的，税务机关应当与代征人结清代征税款，缴销代征业务所需的税收票证和发票，收回委托代征证书，结清代征手续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6.税务机关应当自委托代征协议终止之日起10个工作日内，在广播、电视、报纸、期刊、网络等新闻媒体或者代征范围内纳税人相对集中的场所，公告代征人委托代征资格终止和《委托代征协议书》主要内容。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1.税务机关应当监督、管理、检查委托代征业务，应当定期核查代征人的管户信息，了解代征户籍变化情况；</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2.税务机关应当及时采集委托代征的征收信息、纳税人欠税信息、税收票证管理情况等，督促代征人按时解缴代征税款，并对代征情况进行检查。</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1.玩忽职守，不按照规定对代征人履行管理职责，给委托代征工作造成损害的；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5322"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1.24</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税收优先权</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eastAsia="宋体" w:cs="宋体"/>
                <w:color w:val="000000"/>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《中华人民共和国税收征收管理法》第四十五条第一款、第二款。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1.税务机关应当通过官方网站、办税服务场所等渠道公开执法主体、权限、依据、程序、救济渠道、流程图等；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2.对于欠缴税款的纳税人，税务机关应当依法行使税收优先权；</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征收税款，税收优先于无担保债权，法律另有规定的除外；纳税人欠缴的税款发生在纳税人以其财产设定抵押、质押或者纳税人的财产被留置之前的，税收应当先于抵押权、质权、留置权执行。纳税人欠缴税款，同时又被行政机关决定处以罚款、没收违法所得的，税收优先于罚款、没收违法所得；</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4.税款滞纳金在征缴时视同税款管理，税收优先权执行时应当包括税款及其滞纳金。</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5747"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1.25</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代位权、撤销权</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eastAsia="宋体" w:cs="宋体"/>
                <w:color w:val="000000"/>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1.《中华人民共和国税收征收管理法》第五十条。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2.《中华人民共和国合同法》第七十三条、七十四条、七十五条。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1.税务机关应当通过官方网站、办税服务场所等渠道公开执法主体、权限、依据、程序、救济渠道、流程图等；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发现欠缴税款的纳税人怠于行使到期债权，对国家税收造成损害的，可以向人民法院请求以自己的名义代位行使该纳税人的债权，但该债权专属于纳税人自身的除外。代位权的行使范围以纳税人的欠缴税款为限。税务机关行使代位权的必要费用，由欠缴税款的纳税人负担；</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发现欠缴税款的纳税人放弃到期债权，或者无偿转让财产，或者以明显不合理的低价转让财产而受让人知道该情形，对国家税收造成损害的，可以依法行使撤销权。撤销权的行使范围以纳税人的欠缴税款为限。税务机关行使撤销权的必要费用，由欠缴税款的纳税人负担；</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4.税务机关行使代位权、撤销权，不免除欠缴税款的纳税人尚未履行的纳税义务和应承担的法律责任。</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1.26</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未开具税收票证损失核销</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eastAsia="宋体" w:cs="宋体"/>
                <w:color w:val="000000"/>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1.《中华人民共和国税收征收管理法实施细则》第四十五条第三款。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2.《税收票证管理办法》（国家税务总局令第28号公布，国家税务总局令第48号修改）第四十二条。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1.税务机关应当通过官方网站、办税服务场所等渠道公开核销主体、权限、依据、程序、报送资料、救济渠道、流程图等；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未开具税收票证（含未销售印花税票）发生毁损或丢失、被盗、被抢等损失的，受损单位应当及时组织清点核查，并由各级税务机关按照权限进行损失核销。《税收缴款书（出口货物劳务专用）》《出口货物完税分割单》、印花税票发生损失的，由省税务机关核销；《税收缴款书（税务收现专用）》《税收缴款书（代扣代收专用）》发生损失的，由市税务机关审批核销；其他各种税收票证发生损失的，由县税务机关审批核销；</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视同现金管理的未开具税收票证（含未销售印花税票）丢失、被盗、被抢的，受损单位为扣缴义务人、代征代售人或税收票证印制企业的，扣缴义务人、代征代售人或税收票证印制企业应当立即报告基层税务机关或委托印制的税务机关，由税务机关向当地公安机关报案并报告上级或所属税务机关；经查不能追回的税收票证，除印花税票外，应当及时在办税场所和广播、电视、报纸、期刊、网络等新闻媒体上公告作废。</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对丢失印花税票和印有固定金额的《税收缴款书（税务收现专用）》负有责任的相关人员，税务机关应当要求其按照面额赔偿；对丢失其他视同现金管理的税收票证负有责任的相关人员，税务机关应当要求其适当赔偿；</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未填用的《税收缴款书（出口货物劳务专用）》《出口货物完税分割单》、印花税票需要销毁的，应当由两人以上共同清点，编制销毁清册，逐级上缴省税务机关销毁；未填用的《税收缴款书（税务收现专用）》《税收缴款书（代扣代收专用）》需要销毁的，应当有两人以上共同清点，编制销毁清册，报经市税务机关批准，指派专人到县税务机关复核并监督销毁；其他各种税收票证、账簿和税收票证资料需要销毁的，由税收票证主管人员清点并编制销毁清册，报经县或市税务机关批准，由两人以上监督销毁；税收票证专用章戳需要销毁的，由刻制税收票证专用章戳的税务机关销毁；</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3.税务机关应当定期对本级及下级税务机关、税收票证印制企业、扣缴义务人、代征代售人、自行填开税收票证的纳税人税收票证管理工作进行检查。</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2.滥用职权，故意刁难扣缴义务人的；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210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1.27</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社会保险费征收</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Style w:val="8"/>
                <w:rFonts w:hint="default"/>
              </w:rPr>
            </w:pPr>
            <w:r>
              <w:rPr>
                <w:rFonts w:ascii="宋体" w:hAnsi="宋体" w:cs="宋体"/>
                <w:color w:val="000000"/>
                <w:kern w:val="0"/>
                <w:sz w:val="24"/>
              </w:rPr>
              <w:t>1.27.1</w:t>
            </w:r>
            <w:r>
              <w:rPr>
                <w:rFonts w:hint="eastAsia" w:ascii="宋体" w:hAnsi="宋体" w:cs="宋体"/>
                <w:color w:val="000000"/>
                <w:kern w:val="0"/>
                <w:sz w:val="24"/>
              </w:rPr>
              <w:t>养老</w:t>
            </w:r>
            <w:r>
              <w:rPr>
                <w:rFonts w:ascii="宋体" w:hAnsi="宋体" w:cs="宋体"/>
                <w:color w:val="000000"/>
                <w:kern w:val="0"/>
                <w:sz w:val="24"/>
              </w:rPr>
              <w:t>保险征收</w:t>
            </w:r>
          </w:p>
          <w:p>
            <w:pPr>
              <w:widowControl/>
              <w:jc w:val="left"/>
              <w:textAlignment w:val="center"/>
              <w:rPr>
                <w:rFonts w:ascii="宋体" w:hAnsi="宋体" w:eastAsia="宋体" w:cs="宋体"/>
                <w:color w:val="000000"/>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r>
              <w:rPr>
                <w:rFonts w:ascii="宋体" w:hAnsi="宋体" w:cs="宋体"/>
                <w:color w:val="000000"/>
                <w:sz w:val="24"/>
              </w:rPr>
              <w:t>《</w:t>
            </w:r>
            <w:r>
              <w:rPr>
                <w:rFonts w:hint="eastAsia" w:ascii="宋体" w:hAnsi="宋体" w:cs="宋体"/>
                <w:color w:val="000000"/>
                <w:sz w:val="24"/>
              </w:rPr>
              <w:t>中华人民共和国社会保险法</w:t>
            </w:r>
            <w:r>
              <w:rPr>
                <w:rFonts w:ascii="宋体" w:hAnsi="宋体" w:cs="宋体"/>
                <w:color w:val="000000"/>
                <w:sz w:val="24"/>
              </w:rPr>
              <w:t>》</w:t>
            </w:r>
            <w:r>
              <w:rPr>
                <w:rFonts w:hint="eastAsia" w:ascii="宋体" w:hAnsi="宋体" w:cs="宋体"/>
                <w:color w:val="000000"/>
                <w:sz w:val="24"/>
              </w:rPr>
              <w:t>第六十条、六十一条、六十三条、九十、九十二、九十三条，《</w:t>
            </w:r>
            <w:r>
              <w:rPr>
                <w:rFonts w:hint="eastAsia" w:ascii="宋体" w:hAnsi="宋体"/>
                <w:bCs/>
                <w:color w:val="000000"/>
                <w:sz w:val="24"/>
                <w:shd w:val="clear" w:color="auto" w:fill="FFFFFF"/>
              </w:rPr>
              <w:t>河南省人民政府关于改革社会保险费征缴体制加强社会保险费征缴管理的通知</w:t>
            </w:r>
            <w:r>
              <w:rPr>
                <w:rFonts w:hint="eastAsia" w:ascii="宋体" w:hAnsi="宋体" w:cs="宋体"/>
                <w:color w:val="000000"/>
                <w:sz w:val="24"/>
              </w:rPr>
              <w:t>》（豫政</w:t>
            </w:r>
            <w:r>
              <w:rPr>
                <w:rFonts w:hint="eastAsia" w:ascii="仿宋_GB2312" w:hAnsi="仿宋_GB2312" w:eastAsia="仿宋_GB2312" w:cs="仿宋_GB2312"/>
                <w:color w:val="000000"/>
                <w:sz w:val="24"/>
              </w:rPr>
              <w:t>〔</w:t>
            </w:r>
            <w:r>
              <w:rPr>
                <w:rFonts w:hint="eastAsia" w:ascii="宋体" w:hAnsi="宋体" w:cs="宋体"/>
                <w:color w:val="000000"/>
                <w:sz w:val="24"/>
              </w:rPr>
              <w:t>2016</w:t>
            </w:r>
            <w:r>
              <w:rPr>
                <w:rFonts w:hint="eastAsia" w:ascii="仿宋_GB2312" w:hAnsi="仿宋_GB2312" w:eastAsia="仿宋_GB2312" w:cs="仿宋_GB2312"/>
                <w:color w:val="000000"/>
                <w:sz w:val="24"/>
              </w:rPr>
              <w:t>〕</w:t>
            </w:r>
            <w:r>
              <w:rPr>
                <w:rFonts w:hint="eastAsia" w:ascii="宋体" w:hAnsi="宋体" w:cs="宋体"/>
                <w:color w:val="000000"/>
                <w:sz w:val="24"/>
              </w:rPr>
              <w:t>77号）</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1.税务机关应当通过官方网站、办税服务场所等渠道公开征收主体、权限、依据、程序、报送资料、救济渠道、服务指南、流程图等；</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2.税务机关按照社保部门</w:t>
            </w:r>
            <w:r>
              <w:rPr>
                <w:rFonts w:hint="eastAsia" w:ascii="宋体" w:hAnsi="宋体"/>
                <w:color w:val="000000"/>
                <w:sz w:val="24"/>
                <w:shd w:val="clear" w:color="auto" w:fill="FFFFFF"/>
              </w:rPr>
              <w:t>核定的用人单位和个人应缴费额，</w:t>
            </w:r>
            <w:r>
              <w:rPr>
                <w:rFonts w:hint="eastAsia" w:ascii="宋体" w:hAnsi="宋体" w:cs="宋体"/>
                <w:color w:val="000000"/>
                <w:kern w:val="0"/>
                <w:sz w:val="24"/>
              </w:rPr>
              <w:t>依法足额征收社会保险费；</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3.税务机关应当按照国家规定的费款入库预算级次，将征收的费款缴入国库；</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4．税务机关及时</w:t>
            </w:r>
            <w:r>
              <w:rPr>
                <w:rFonts w:hint="eastAsia" w:ascii="宋体" w:hAnsi="宋体"/>
                <w:color w:val="000000"/>
                <w:sz w:val="24"/>
                <w:shd w:val="clear" w:color="auto" w:fill="FFFFFF"/>
              </w:rPr>
              <w:t>向社会保险经办机构反馈用人单位和个人缴纳社会保险费相关情况。</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ind w:firstLine="480" w:firstLineChars="200"/>
              <w:jc w:val="left"/>
              <w:textAlignment w:val="center"/>
              <w:rPr>
                <w:rFonts w:ascii="宋体" w:hAnsi="宋体"/>
                <w:color w:val="000000"/>
                <w:sz w:val="24"/>
              </w:rPr>
            </w:pPr>
            <w:r>
              <w:rPr>
                <w:rFonts w:hint="eastAsia" w:ascii="宋体" w:hAnsi="宋体" w:cs="宋体"/>
                <w:color w:val="000000"/>
                <w:kern w:val="0"/>
                <w:sz w:val="24"/>
              </w:rPr>
              <w:t>1.</w:t>
            </w:r>
            <w:r>
              <w:rPr>
                <w:rFonts w:hint="eastAsia" w:ascii="宋体" w:hAnsi="宋体"/>
                <w:color w:val="000000"/>
                <w:sz w:val="24"/>
              </w:rPr>
              <w:t>缴费单位未按规定的期限足额缴纳和代扣代缴社会保险费的，税务机关除责令限期缴纳外，从滞纳之日起，按日加收万分之五的滞纳金。</w:t>
            </w:r>
          </w:p>
          <w:p>
            <w:pPr>
              <w:widowControl/>
              <w:ind w:firstLine="480" w:firstLineChars="200"/>
              <w:jc w:val="left"/>
              <w:textAlignment w:val="center"/>
              <w:rPr>
                <w:rFonts w:ascii="宋体" w:hAnsi="宋体"/>
                <w:color w:val="000000"/>
                <w:sz w:val="24"/>
              </w:rPr>
            </w:pPr>
            <w:r>
              <w:rPr>
                <w:rFonts w:hint="eastAsia" w:ascii="宋体" w:hAnsi="宋体"/>
                <w:color w:val="000000"/>
                <w:sz w:val="24"/>
              </w:rPr>
              <w:t>2．税务机关发现纳税人多缴费款的，与人社、医保等部门协作，按规定予以退费。</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三、部门间职责衔接</w:t>
            </w:r>
          </w:p>
          <w:p>
            <w:pPr>
              <w:widowControl/>
              <w:ind w:firstLine="480" w:firstLineChars="200"/>
              <w:jc w:val="left"/>
              <w:textAlignment w:val="center"/>
              <w:rPr>
                <w:rFonts w:ascii="宋体" w:hAnsi="宋体"/>
                <w:color w:val="000000"/>
                <w:sz w:val="24"/>
              </w:rPr>
            </w:pPr>
            <w:r>
              <w:rPr>
                <w:rFonts w:hint="eastAsia" w:ascii="宋体" w:hAnsi="宋体"/>
                <w:color w:val="000000"/>
                <w:sz w:val="24"/>
              </w:rPr>
              <w:t>税务机关根据开展社会保险费征收和减免事项的监管要求，加强与人社等相关部门的信息共享和协同共治。</w:t>
            </w:r>
          </w:p>
          <w:p>
            <w:pPr>
              <w:ind w:firstLine="480" w:firstLineChars="200"/>
              <w:jc w:val="left"/>
              <w:rPr>
                <w:rFonts w:ascii="宋体" w:hAnsi="宋体" w:eastAsia="宋体" w:cs="宋体"/>
                <w:color w:val="000000"/>
                <w:sz w:val="24"/>
              </w:rPr>
            </w:pP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480" w:firstLineChars="200"/>
              <w:jc w:val="left"/>
              <w:rPr>
                <w:rFonts w:ascii="宋体" w:hAnsi="宋体" w:cs="宋体"/>
                <w:color w:val="000000"/>
                <w:kern w:val="0"/>
                <w:sz w:val="24"/>
              </w:rPr>
            </w:pPr>
            <w:r>
              <w:rPr>
                <w:rFonts w:hint="eastAsia" w:ascii="宋体" w:hAnsi="宋体" w:cs="宋体"/>
                <w:color w:val="000000"/>
                <w:kern w:val="0"/>
                <w:sz w:val="24"/>
              </w:rPr>
              <w:t>税务机关及其工作人员履行行政职责存在以下情形的，应当承担相应责任：</w:t>
            </w:r>
          </w:p>
          <w:p>
            <w:pPr>
              <w:ind w:firstLine="480" w:firstLineChars="200"/>
              <w:jc w:val="left"/>
              <w:rPr>
                <w:rFonts w:ascii="宋体" w:hAnsi="宋体"/>
                <w:color w:val="000000"/>
                <w:sz w:val="24"/>
                <w:shd w:val="clear" w:color="auto" w:fill="FFFFFF"/>
              </w:rPr>
            </w:pPr>
            <w:r>
              <w:rPr>
                <w:rFonts w:hint="eastAsia" w:ascii="宋体" w:hAnsi="宋体"/>
                <w:color w:val="000000"/>
                <w:sz w:val="24"/>
                <w:shd w:val="clear" w:color="auto" w:fill="FFFFFF"/>
              </w:rPr>
              <w:t>1．擅自更改社会保险费缴费基数、费率，导致少收或者多收社会保险费的，由有关行政部门责令其追缴应当缴纳的社会保险费或者退还不应当缴纳的社会保险费;对直接负责的主管人员和其他直接责任人员依法给予处分。</w:t>
            </w:r>
          </w:p>
          <w:p>
            <w:pPr>
              <w:ind w:firstLine="480" w:firstLineChars="200"/>
              <w:jc w:val="left"/>
              <w:rPr>
                <w:rFonts w:ascii="宋体" w:hAnsi="宋体"/>
                <w:color w:val="000000"/>
                <w:sz w:val="24"/>
                <w:shd w:val="clear" w:color="auto" w:fill="FFFFFF"/>
              </w:rPr>
            </w:pPr>
            <w:r>
              <w:rPr>
                <w:rFonts w:hint="eastAsia" w:ascii="宋体" w:hAnsi="宋体"/>
                <w:color w:val="000000"/>
                <w:sz w:val="24"/>
                <w:shd w:val="clear" w:color="auto" w:fill="FFFFFF"/>
              </w:rPr>
              <w:t>2．泄露用人单位和个人信息的，对直接负责的主管人员和其他直接责任人员依法给予处分;给用人单位或者个人造成损失的，应当承担赔偿责任。</w:t>
            </w:r>
          </w:p>
          <w:p>
            <w:pPr>
              <w:ind w:firstLine="480" w:firstLineChars="200"/>
              <w:jc w:val="left"/>
              <w:rPr>
                <w:rFonts w:ascii="宋体" w:hAnsi="宋体"/>
                <w:color w:val="000000"/>
                <w:sz w:val="24"/>
                <w:shd w:val="clear" w:color="auto" w:fill="FFFFFF"/>
              </w:rPr>
            </w:pPr>
            <w:r>
              <w:rPr>
                <w:rFonts w:hint="eastAsia" w:ascii="宋体" w:hAnsi="宋体"/>
                <w:color w:val="000000"/>
                <w:sz w:val="24"/>
                <w:shd w:val="clear" w:color="auto" w:fill="FFFFFF"/>
              </w:rPr>
              <w:t>3．在社会保险管理、监督工作中滥用职权、玩忽职守、徇私舞弊的，依法给予处分。</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4．法律、行政法规等规定的其他不履行或者不正确履行行政职责的情形。</w:t>
            </w:r>
          </w:p>
          <w:p>
            <w:pPr>
              <w:ind w:firstLine="480" w:firstLineChars="200"/>
              <w:jc w:val="left"/>
              <w:rPr>
                <w:rFonts w:ascii="宋体" w:hAnsi="宋体" w:eastAsia="宋体" w:cs="宋体"/>
                <w:color w:val="000000"/>
                <w:sz w:val="24"/>
              </w:rPr>
            </w:pPr>
          </w:p>
        </w:tc>
      </w:tr>
      <w:tr>
        <w:tblPrEx>
          <w:tblCellMar>
            <w:top w:w="0" w:type="dxa"/>
            <w:left w:w="0" w:type="dxa"/>
            <w:bottom w:w="0" w:type="dxa"/>
            <w:right w:w="0" w:type="dxa"/>
          </w:tblCellMar>
        </w:tblPrEx>
        <w:trPr>
          <w:gridBefore w:val="1"/>
          <w:gridAfter w:val="1"/>
          <w:wBefore w:w="10" w:type="dxa"/>
          <w:wAfter w:w="7" w:type="dxa"/>
          <w:trHeight w:val="210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cs="宋体"/>
                <w:color w:val="000000"/>
                <w:kern w:val="0"/>
                <w:sz w:val="24"/>
              </w:rPr>
              <w:t>1.27</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cs="宋体"/>
                <w:color w:val="000000"/>
                <w:kern w:val="0"/>
                <w:sz w:val="24"/>
              </w:rPr>
              <w:t>社会保险费征收</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Style w:val="8"/>
                <w:rFonts w:hint="default"/>
              </w:rPr>
            </w:pPr>
            <w:r>
              <w:rPr>
                <w:rFonts w:ascii="宋体" w:hAnsi="宋体" w:cs="宋体"/>
                <w:color w:val="000000"/>
                <w:kern w:val="0"/>
                <w:sz w:val="24"/>
              </w:rPr>
              <w:t>1.27.2</w:t>
            </w:r>
            <w:r>
              <w:rPr>
                <w:rFonts w:hint="eastAsia" w:ascii="宋体" w:hAnsi="宋体" w:cs="宋体"/>
                <w:color w:val="000000"/>
                <w:kern w:val="0"/>
                <w:sz w:val="24"/>
              </w:rPr>
              <w:t>医疗</w:t>
            </w:r>
            <w:r>
              <w:rPr>
                <w:rFonts w:ascii="宋体" w:hAnsi="宋体" w:cs="宋体"/>
                <w:color w:val="000000"/>
                <w:kern w:val="0"/>
                <w:sz w:val="24"/>
              </w:rPr>
              <w:t>保险</w:t>
            </w:r>
            <w:r>
              <w:rPr>
                <w:rFonts w:hint="eastAsia" w:ascii="宋体" w:hAnsi="宋体" w:cs="宋体"/>
                <w:color w:val="000000"/>
                <w:kern w:val="0"/>
                <w:sz w:val="24"/>
              </w:rPr>
              <w:t>（生育</w:t>
            </w:r>
            <w:r>
              <w:rPr>
                <w:rFonts w:ascii="宋体" w:hAnsi="宋体" w:cs="宋体"/>
                <w:color w:val="000000"/>
                <w:kern w:val="0"/>
                <w:sz w:val="24"/>
              </w:rPr>
              <w:t>保险</w:t>
            </w:r>
            <w:r>
              <w:rPr>
                <w:rFonts w:hint="eastAsia" w:ascii="宋体" w:hAnsi="宋体" w:cs="宋体"/>
                <w:color w:val="000000"/>
                <w:kern w:val="0"/>
                <w:sz w:val="24"/>
              </w:rPr>
              <w:t>）</w:t>
            </w:r>
            <w:r>
              <w:rPr>
                <w:rFonts w:ascii="宋体" w:hAnsi="宋体" w:cs="宋体"/>
                <w:color w:val="000000"/>
                <w:kern w:val="0"/>
                <w:sz w:val="24"/>
              </w:rPr>
              <w:t>征收</w:t>
            </w:r>
          </w:p>
          <w:p>
            <w:pPr>
              <w:widowControl/>
              <w:jc w:val="left"/>
              <w:textAlignment w:val="center"/>
              <w:rPr>
                <w:rFonts w:ascii="宋体" w:hAnsi="宋体" w:eastAsia="宋体" w:cs="宋体"/>
                <w:color w:val="000000"/>
                <w:kern w:val="0"/>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r>
              <w:rPr>
                <w:rFonts w:ascii="宋体" w:hAnsi="宋体" w:cs="宋体"/>
                <w:color w:val="000000"/>
                <w:sz w:val="24"/>
              </w:rPr>
              <w:t>《</w:t>
            </w:r>
            <w:r>
              <w:rPr>
                <w:rFonts w:hint="eastAsia" w:ascii="宋体" w:hAnsi="宋体" w:cs="宋体"/>
                <w:color w:val="000000"/>
                <w:sz w:val="24"/>
              </w:rPr>
              <w:t>中华人民共和国社会保险法</w:t>
            </w:r>
            <w:r>
              <w:rPr>
                <w:rFonts w:ascii="宋体" w:hAnsi="宋体" w:cs="宋体"/>
                <w:color w:val="000000"/>
                <w:sz w:val="24"/>
              </w:rPr>
              <w:t>》</w:t>
            </w:r>
            <w:r>
              <w:rPr>
                <w:rFonts w:hint="eastAsia" w:ascii="宋体" w:hAnsi="宋体" w:cs="宋体"/>
                <w:color w:val="000000"/>
                <w:sz w:val="24"/>
              </w:rPr>
              <w:t>第六十条、六十一条、六十三条、九十、九十二、九十三条，《</w:t>
            </w:r>
            <w:r>
              <w:rPr>
                <w:rFonts w:hint="eastAsia" w:ascii="宋体" w:hAnsi="宋体"/>
                <w:bCs/>
                <w:color w:val="000000"/>
                <w:sz w:val="24"/>
                <w:shd w:val="clear" w:color="auto" w:fill="FFFFFF"/>
              </w:rPr>
              <w:t>河南省人民政府关于改革社会保险费征缴体制加强社会保险费征缴管理的通知</w:t>
            </w:r>
            <w:r>
              <w:rPr>
                <w:rFonts w:hint="eastAsia" w:ascii="宋体" w:hAnsi="宋体" w:cs="宋体"/>
                <w:color w:val="000000"/>
                <w:sz w:val="24"/>
              </w:rPr>
              <w:t>》（豫政</w:t>
            </w:r>
            <w:r>
              <w:rPr>
                <w:rFonts w:hint="eastAsia" w:ascii="仿宋_GB2312" w:hAnsi="仿宋_GB2312" w:eastAsia="仿宋_GB2312" w:cs="仿宋_GB2312"/>
                <w:color w:val="000000"/>
                <w:sz w:val="24"/>
              </w:rPr>
              <w:t>〔</w:t>
            </w:r>
            <w:r>
              <w:rPr>
                <w:rFonts w:hint="eastAsia" w:ascii="宋体" w:hAnsi="宋体" w:cs="宋体"/>
                <w:color w:val="000000"/>
                <w:sz w:val="24"/>
              </w:rPr>
              <w:t>2016</w:t>
            </w:r>
            <w:r>
              <w:rPr>
                <w:rFonts w:hint="eastAsia" w:ascii="仿宋_GB2312" w:hAnsi="仿宋_GB2312" w:eastAsia="仿宋_GB2312" w:cs="仿宋_GB2312"/>
                <w:color w:val="000000"/>
                <w:sz w:val="24"/>
              </w:rPr>
              <w:t>〕</w:t>
            </w:r>
            <w:r>
              <w:rPr>
                <w:rFonts w:hint="eastAsia" w:ascii="宋体" w:hAnsi="宋体" w:cs="宋体"/>
                <w:color w:val="000000"/>
                <w:sz w:val="24"/>
              </w:rPr>
              <w:t>77号）</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1.税务机关应当通过官方网站、办税服务场所等渠道公开征收主体、权限、依据、程序、报送资料、救济渠道、服务指南、流程图等；</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2.税务机关按照社保部门</w:t>
            </w:r>
            <w:r>
              <w:rPr>
                <w:rFonts w:hint="eastAsia" w:ascii="宋体" w:hAnsi="宋体"/>
                <w:color w:val="000000"/>
                <w:sz w:val="24"/>
                <w:shd w:val="clear" w:color="auto" w:fill="FFFFFF"/>
              </w:rPr>
              <w:t>核定的用人单位和个人应缴费额，</w:t>
            </w:r>
            <w:r>
              <w:rPr>
                <w:rFonts w:hint="eastAsia" w:ascii="宋体" w:hAnsi="宋体" w:cs="宋体"/>
                <w:color w:val="000000"/>
                <w:kern w:val="0"/>
                <w:sz w:val="24"/>
              </w:rPr>
              <w:t>依法足额征收社会保险费；</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3.税务机关应当按照国家规定的费款入库预算级次，将征收的费款缴入国库；</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4．税务机关及时</w:t>
            </w:r>
            <w:r>
              <w:rPr>
                <w:rFonts w:hint="eastAsia" w:ascii="宋体" w:hAnsi="宋体"/>
                <w:color w:val="000000"/>
                <w:sz w:val="24"/>
                <w:shd w:val="clear" w:color="auto" w:fill="FFFFFF"/>
              </w:rPr>
              <w:t>向社会保险经办机构反馈用人单位和个人缴纳社会保险费相关情况。</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ind w:firstLine="480" w:firstLineChars="200"/>
              <w:jc w:val="left"/>
              <w:textAlignment w:val="center"/>
              <w:rPr>
                <w:rFonts w:ascii="宋体" w:hAnsi="宋体"/>
                <w:color w:val="000000"/>
                <w:sz w:val="24"/>
              </w:rPr>
            </w:pPr>
            <w:r>
              <w:rPr>
                <w:rFonts w:hint="eastAsia" w:ascii="宋体" w:hAnsi="宋体" w:cs="宋体"/>
                <w:color w:val="000000"/>
                <w:kern w:val="0"/>
                <w:sz w:val="24"/>
              </w:rPr>
              <w:t>1.</w:t>
            </w:r>
            <w:r>
              <w:rPr>
                <w:rFonts w:hint="eastAsia" w:ascii="宋体" w:hAnsi="宋体"/>
                <w:color w:val="000000"/>
                <w:sz w:val="24"/>
              </w:rPr>
              <w:t>缴费单位未按规定的期限足额缴纳和代扣代缴社会保险费的，税务机关除责令限期缴纳外，从滞纳之日起，按日加收万分之五的滞纳金。</w:t>
            </w:r>
          </w:p>
          <w:p>
            <w:pPr>
              <w:widowControl/>
              <w:ind w:firstLine="480" w:firstLineChars="200"/>
              <w:jc w:val="left"/>
              <w:textAlignment w:val="center"/>
              <w:rPr>
                <w:rFonts w:ascii="宋体" w:hAnsi="宋体"/>
                <w:color w:val="000000"/>
                <w:sz w:val="24"/>
              </w:rPr>
            </w:pPr>
            <w:r>
              <w:rPr>
                <w:rFonts w:hint="eastAsia" w:ascii="宋体" w:hAnsi="宋体"/>
                <w:color w:val="000000"/>
                <w:sz w:val="24"/>
              </w:rPr>
              <w:t>2．税务机关发现纳税人多缴费款的，与人社、医保等部门协作，按规定予以退费。</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三、部门间职责衔接</w:t>
            </w:r>
          </w:p>
          <w:p>
            <w:pPr>
              <w:widowControl/>
              <w:ind w:firstLine="480" w:firstLineChars="200"/>
              <w:jc w:val="left"/>
              <w:textAlignment w:val="center"/>
              <w:rPr>
                <w:rFonts w:ascii="宋体" w:hAnsi="宋体"/>
                <w:color w:val="000000"/>
                <w:sz w:val="24"/>
              </w:rPr>
            </w:pPr>
            <w:r>
              <w:rPr>
                <w:rFonts w:hint="eastAsia" w:ascii="宋体" w:hAnsi="宋体"/>
                <w:color w:val="000000"/>
                <w:sz w:val="24"/>
              </w:rPr>
              <w:t>税务机关根据开展社会保险费征收和减免事项的监管要求，加强与医保等相关部门的信息共享和协同共治。</w:t>
            </w:r>
          </w:p>
          <w:p>
            <w:pPr>
              <w:widowControl/>
              <w:ind w:firstLine="480" w:firstLineChars="200"/>
              <w:jc w:val="left"/>
              <w:rPr>
                <w:rFonts w:ascii="宋体" w:hAnsi="宋体" w:eastAsia="宋体" w:cs="宋体"/>
                <w:color w:val="000000"/>
                <w:sz w:val="24"/>
              </w:rPr>
            </w:pP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480" w:firstLineChars="200"/>
              <w:jc w:val="left"/>
              <w:rPr>
                <w:rFonts w:ascii="宋体" w:hAnsi="宋体" w:cs="宋体"/>
                <w:color w:val="000000"/>
                <w:kern w:val="0"/>
                <w:sz w:val="24"/>
              </w:rPr>
            </w:pPr>
            <w:r>
              <w:rPr>
                <w:rFonts w:hint="eastAsia" w:ascii="宋体" w:hAnsi="宋体" w:cs="宋体"/>
                <w:color w:val="000000"/>
                <w:kern w:val="0"/>
                <w:sz w:val="24"/>
              </w:rPr>
              <w:t>税务机关及其工作人员履行行政职责存在以下情形的，应当承担相应责任：</w:t>
            </w:r>
          </w:p>
          <w:p>
            <w:pPr>
              <w:ind w:firstLine="480" w:firstLineChars="200"/>
              <w:jc w:val="left"/>
              <w:rPr>
                <w:rFonts w:ascii="宋体" w:hAnsi="宋体" w:cs="宋体"/>
                <w:color w:val="000000"/>
                <w:kern w:val="0"/>
                <w:sz w:val="24"/>
              </w:rPr>
            </w:pPr>
            <w:r>
              <w:rPr>
                <w:rFonts w:hint="eastAsia" w:ascii="宋体" w:hAnsi="宋体" w:cs="宋体"/>
                <w:color w:val="000000"/>
                <w:kern w:val="0"/>
                <w:sz w:val="24"/>
              </w:rPr>
              <w:t>1.擅自减免基本医疗保险（生育保险）费或者改变基本医疗保险（生育保险）费征收范围、对象和标准的；</w:t>
            </w:r>
          </w:p>
          <w:p>
            <w:pPr>
              <w:ind w:firstLine="480" w:firstLineChars="200"/>
              <w:jc w:val="left"/>
              <w:rPr>
                <w:rFonts w:ascii="宋体" w:hAnsi="宋体" w:cs="宋体"/>
                <w:color w:val="000000"/>
                <w:kern w:val="0"/>
                <w:sz w:val="24"/>
              </w:rPr>
            </w:pPr>
            <w:r>
              <w:rPr>
                <w:rFonts w:hint="eastAsia" w:ascii="宋体" w:hAnsi="宋体" w:cs="宋体"/>
                <w:color w:val="000000"/>
                <w:kern w:val="0"/>
                <w:sz w:val="24"/>
              </w:rPr>
              <w:t>2.隐瞒、坐支应当上缴的基本医疗保险（生育保险）费的；</w:t>
            </w:r>
          </w:p>
          <w:p>
            <w:pPr>
              <w:ind w:firstLine="480" w:firstLineChars="200"/>
              <w:jc w:val="left"/>
              <w:rPr>
                <w:rFonts w:ascii="宋体" w:hAnsi="宋体" w:cs="宋体"/>
                <w:color w:val="000000"/>
                <w:kern w:val="0"/>
                <w:sz w:val="24"/>
              </w:rPr>
            </w:pPr>
            <w:r>
              <w:rPr>
                <w:rFonts w:hint="eastAsia" w:ascii="宋体" w:hAnsi="宋体" w:cs="宋体"/>
                <w:color w:val="000000"/>
                <w:kern w:val="0"/>
                <w:sz w:val="24"/>
              </w:rPr>
              <w:t>3.不按照规定的预算级次、预算科目将基本医疗保险（生育保险）费缴入国库的；</w:t>
            </w:r>
          </w:p>
          <w:p>
            <w:pPr>
              <w:ind w:firstLine="480" w:firstLineChars="200"/>
              <w:jc w:val="left"/>
              <w:rPr>
                <w:rFonts w:ascii="宋体" w:hAnsi="宋体" w:cs="宋体"/>
                <w:color w:val="000000"/>
                <w:kern w:val="0"/>
                <w:sz w:val="24"/>
              </w:rPr>
            </w:pPr>
            <w:r>
              <w:rPr>
                <w:rFonts w:hint="eastAsia" w:ascii="宋体" w:hAnsi="宋体" w:cs="宋体"/>
                <w:color w:val="000000"/>
                <w:kern w:val="0"/>
                <w:sz w:val="24"/>
              </w:rPr>
              <w:t>4.在基本医疗保险（生育保险）征收和使用管理工作中滥用职权、玩忽职守、徇私舞弊的；</w:t>
            </w:r>
          </w:p>
          <w:p>
            <w:pPr>
              <w:ind w:firstLine="480" w:firstLineChars="200"/>
              <w:jc w:val="left"/>
              <w:rPr>
                <w:rFonts w:ascii="宋体" w:hAnsi="宋体" w:eastAsia="宋体" w:cs="宋体"/>
                <w:color w:val="000000"/>
                <w:sz w:val="24"/>
              </w:rPr>
            </w:pPr>
            <w:r>
              <w:rPr>
                <w:rFonts w:hint="eastAsia" w:ascii="宋体" w:hAnsi="宋体" w:cs="宋体"/>
                <w:color w:val="000000"/>
                <w:kern w:val="0"/>
                <w:sz w:val="24"/>
              </w:rPr>
              <w:t>5.法律、行政法规等规定的其他不履行或者不正确履行行政职责的情形。</w:t>
            </w:r>
          </w:p>
        </w:tc>
      </w:tr>
      <w:tr>
        <w:tblPrEx>
          <w:tblCellMar>
            <w:top w:w="0" w:type="dxa"/>
            <w:left w:w="0" w:type="dxa"/>
            <w:bottom w:w="0" w:type="dxa"/>
            <w:right w:w="0" w:type="dxa"/>
          </w:tblCellMar>
        </w:tblPrEx>
        <w:trPr>
          <w:gridBefore w:val="1"/>
          <w:gridAfter w:val="1"/>
          <w:wBefore w:w="10" w:type="dxa"/>
          <w:wAfter w:w="7" w:type="dxa"/>
          <w:trHeight w:val="210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cs="宋体"/>
                <w:color w:val="000000"/>
                <w:kern w:val="0"/>
                <w:sz w:val="24"/>
              </w:rPr>
              <w:t>1.27</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cs="宋体"/>
                <w:color w:val="000000"/>
                <w:kern w:val="0"/>
                <w:sz w:val="24"/>
              </w:rPr>
              <w:t>社会保险费征收</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Style w:val="8"/>
                <w:rFonts w:hint="default"/>
              </w:rPr>
            </w:pPr>
            <w:r>
              <w:rPr>
                <w:rFonts w:ascii="宋体" w:hAnsi="宋体" w:cs="宋体"/>
                <w:color w:val="000000"/>
                <w:kern w:val="0"/>
                <w:sz w:val="24"/>
              </w:rPr>
              <w:t>1.27.3</w:t>
            </w:r>
            <w:r>
              <w:rPr>
                <w:rFonts w:hint="eastAsia" w:ascii="宋体" w:hAnsi="宋体" w:cs="宋体"/>
                <w:color w:val="000000"/>
                <w:kern w:val="0"/>
                <w:sz w:val="24"/>
              </w:rPr>
              <w:t>工伤</w:t>
            </w:r>
            <w:r>
              <w:rPr>
                <w:rFonts w:ascii="宋体" w:hAnsi="宋体" w:cs="宋体"/>
                <w:color w:val="000000"/>
                <w:kern w:val="0"/>
                <w:sz w:val="24"/>
              </w:rPr>
              <w:t>保险征收</w:t>
            </w:r>
          </w:p>
          <w:p>
            <w:pPr>
              <w:widowControl/>
              <w:jc w:val="left"/>
              <w:textAlignment w:val="center"/>
              <w:rPr>
                <w:rFonts w:ascii="宋体" w:hAnsi="宋体" w:eastAsia="宋体" w:cs="宋体"/>
                <w:color w:val="000000"/>
                <w:kern w:val="0"/>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r>
              <w:rPr>
                <w:rFonts w:ascii="宋体" w:hAnsi="宋体" w:cs="宋体"/>
                <w:color w:val="000000"/>
                <w:sz w:val="24"/>
              </w:rPr>
              <w:t>《</w:t>
            </w:r>
            <w:r>
              <w:rPr>
                <w:rFonts w:hint="eastAsia" w:ascii="宋体" w:hAnsi="宋体" w:cs="宋体"/>
                <w:color w:val="000000"/>
                <w:sz w:val="24"/>
              </w:rPr>
              <w:t>中华人民共和国社会保险法</w:t>
            </w:r>
            <w:r>
              <w:rPr>
                <w:rFonts w:ascii="宋体" w:hAnsi="宋体" w:cs="宋体"/>
                <w:color w:val="000000"/>
                <w:sz w:val="24"/>
              </w:rPr>
              <w:t>》</w:t>
            </w:r>
            <w:r>
              <w:rPr>
                <w:rFonts w:hint="eastAsia" w:ascii="宋体" w:hAnsi="宋体" w:cs="宋体"/>
                <w:color w:val="000000"/>
                <w:sz w:val="24"/>
              </w:rPr>
              <w:t>第六十条、六十一条、六十三条、九十、九十二、九十三条，《</w:t>
            </w:r>
            <w:r>
              <w:rPr>
                <w:rFonts w:hint="eastAsia" w:ascii="宋体" w:hAnsi="宋体"/>
                <w:bCs/>
                <w:color w:val="000000"/>
                <w:sz w:val="24"/>
                <w:shd w:val="clear" w:color="auto" w:fill="FFFFFF"/>
              </w:rPr>
              <w:t>河南省人民政府关于改革社会保险费征缴体制加强社会保险费征缴管理的通知</w:t>
            </w:r>
            <w:r>
              <w:rPr>
                <w:rFonts w:hint="eastAsia" w:ascii="宋体" w:hAnsi="宋体" w:cs="宋体"/>
                <w:color w:val="000000"/>
                <w:sz w:val="24"/>
              </w:rPr>
              <w:t>》（豫政</w:t>
            </w:r>
            <w:r>
              <w:rPr>
                <w:rFonts w:hint="eastAsia" w:ascii="仿宋_GB2312" w:hAnsi="仿宋_GB2312" w:eastAsia="仿宋_GB2312" w:cs="仿宋_GB2312"/>
                <w:color w:val="000000"/>
                <w:sz w:val="24"/>
              </w:rPr>
              <w:t>〔</w:t>
            </w:r>
            <w:r>
              <w:rPr>
                <w:rFonts w:hint="eastAsia" w:ascii="宋体" w:hAnsi="宋体" w:cs="宋体"/>
                <w:color w:val="000000"/>
                <w:sz w:val="24"/>
              </w:rPr>
              <w:t>2016</w:t>
            </w:r>
            <w:r>
              <w:rPr>
                <w:rFonts w:hint="eastAsia" w:ascii="仿宋_GB2312" w:hAnsi="仿宋_GB2312" w:eastAsia="仿宋_GB2312" w:cs="仿宋_GB2312"/>
                <w:color w:val="000000"/>
                <w:sz w:val="24"/>
              </w:rPr>
              <w:t>〕</w:t>
            </w:r>
            <w:r>
              <w:rPr>
                <w:rFonts w:hint="eastAsia" w:ascii="宋体" w:hAnsi="宋体" w:cs="宋体"/>
                <w:color w:val="000000"/>
                <w:sz w:val="24"/>
              </w:rPr>
              <w:t>77号）</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1.税务机关应当通过官方网站、办税服务场所等渠道公开征收主体、权限、依据、程序、报送资料、救济渠道、服务指南、流程图等；</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2.税务机关按照社保部门</w:t>
            </w:r>
            <w:r>
              <w:rPr>
                <w:rFonts w:hint="eastAsia" w:ascii="宋体" w:hAnsi="宋体"/>
                <w:color w:val="000000"/>
                <w:sz w:val="24"/>
                <w:shd w:val="clear" w:color="auto" w:fill="FFFFFF"/>
              </w:rPr>
              <w:t>核定的用人单位和个人应缴费额，</w:t>
            </w:r>
            <w:r>
              <w:rPr>
                <w:rFonts w:hint="eastAsia" w:ascii="宋体" w:hAnsi="宋体" w:cs="宋体"/>
                <w:color w:val="000000"/>
                <w:kern w:val="0"/>
                <w:sz w:val="24"/>
              </w:rPr>
              <w:t>依法足额征收社会保险费；</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3.税务机关应当按照国家规定的费款入库预算级次，将征收的费款缴入国库；</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4．税务机关及时</w:t>
            </w:r>
            <w:r>
              <w:rPr>
                <w:rFonts w:hint="eastAsia" w:ascii="宋体" w:hAnsi="宋体"/>
                <w:color w:val="000000"/>
                <w:sz w:val="24"/>
                <w:shd w:val="clear" w:color="auto" w:fill="FFFFFF"/>
              </w:rPr>
              <w:t>向社会保险经办机构反馈用人单位和个人缴纳社会保险费相关情况。</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ind w:firstLine="480" w:firstLineChars="200"/>
              <w:jc w:val="left"/>
              <w:textAlignment w:val="center"/>
              <w:rPr>
                <w:rFonts w:ascii="宋体" w:hAnsi="宋体"/>
                <w:color w:val="000000"/>
                <w:sz w:val="24"/>
              </w:rPr>
            </w:pPr>
            <w:r>
              <w:rPr>
                <w:rFonts w:hint="eastAsia" w:ascii="宋体" w:hAnsi="宋体" w:cs="宋体"/>
                <w:color w:val="000000"/>
                <w:kern w:val="0"/>
                <w:sz w:val="24"/>
              </w:rPr>
              <w:t>1.</w:t>
            </w:r>
            <w:r>
              <w:rPr>
                <w:rFonts w:hint="eastAsia" w:ascii="宋体" w:hAnsi="宋体"/>
                <w:color w:val="000000"/>
                <w:sz w:val="24"/>
              </w:rPr>
              <w:t>缴费单位未按规定的期限足额缴纳和代扣代缴社会保险费的，税务机关除责令限期缴纳外，从滞纳之日起，按日加收万分之五的滞纳金。</w:t>
            </w:r>
          </w:p>
          <w:p>
            <w:pPr>
              <w:widowControl/>
              <w:ind w:firstLine="480" w:firstLineChars="200"/>
              <w:jc w:val="left"/>
              <w:textAlignment w:val="center"/>
              <w:rPr>
                <w:rFonts w:ascii="宋体" w:hAnsi="宋体"/>
                <w:color w:val="000000"/>
                <w:sz w:val="24"/>
              </w:rPr>
            </w:pPr>
            <w:r>
              <w:rPr>
                <w:rFonts w:hint="eastAsia" w:ascii="宋体" w:hAnsi="宋体"/>
                <w:color w:val="000000"/>
                <w:sz w:val="24"/>
              </w:rPr>
              <w:t>2．税务机关发现纳税人多缴费款的，与人社、医保等部门协作，按规定予以退费。</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三、部门间职责衔接</w:t>
            </w:r>
          </w:p>
          <w:p>
            <w:pPr>
              <w:widowControl/>
              <w:ind w:firstLine="480" w:firstLineChars="200"/>
              <w:jc w:val="left"/>
              <w:textAlignment w:val="center"/>
              <w:rPr>
                <w:rFonts w:ascii="宋体" w:hAnsi="宋体"/>
                <w:color w:val="000000"/>
                <w:sz w:val="24"/>
              </w:rPr>
            </w:pPr>
            <w:r>
              <w:rPr>
                <w:rFonts w:hint="eastAsia" w:ascii="宋体" w:hAnsi="宋体"/>
                <w:color w:val="000000"/>
                <w:sz w:val="24"/>
              </w:rPr>
              <w:t>税务机关根据开展社会保险费征收和减免事项的监管要求，加强与人社等相关部门的信息共享和协同共治。</w:t>
            </w:r>
          </w:p>
          <w:p>
            <w:pPr>
              <w:widowControl/>
              <w:ind w:firstLine="480" w:firstLineChars="200"/>
              <w:jc w:val="left"/>
              <w:textAlignment w:val="center"/>
              <w:rPr>
                <w:rFonts w:ascii="宋体" w:hAnsi="宋体" w:eastAsia="宋体" w:cs="宋体"/>
                <w:color w:val="000000"/>
                <w:sz w:val="24"/>
              </w:rPr>
            </w:pP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480" w:firstLineChars="200"/>
              <w:jc w:val="left"/>
              <w:rPr>
                <w:rFonts w:ascii="宋体" w:hAnsi="宋体" w:cs="宋体"/>
                <w:color w:val="000000"/>
                <w:kern w:val="0"/>
                <w:sz w:val="24"/>
              </w:rPr>
            </w:pPr>
            <w:r>
              <w:rPr>
                <w:rFonts w:hint="eastAsia" w:ascii="宋体" w:hAnsi="宋体" w:cs="宋体"/>
                <w:color w:val="000000"/>
                <w:kern w:val="0"/>
                <w:sz w:val="24"/>
              </w:rPr>
              <w:t>税务机关及其工作人员履行行政职责存在以下情形的，应当承担相应责任：</w:t>
            </w:r>
          </w:p>
          <w:p>
            <w:pPr>
              <w:ind w:firstLine="480" w:firstLineChars="200"/>
              <w:jc w:val="left"/>
              <w:rPr>
                <w:rFonts w:ascii="宋体" w:hAnsi="宋体"/>
                <w:color w:val="000000"/>
                <w:sz w:val="24"/>
                <w:shd w:val="clear" w:color="auto" w:fill="FFFFFF"/>
              </w:rPr>
            </w:pPr>
            <w:r>
              <w:rPr>
                <w:rFonts w:hint="eastAsia" w:ascii="宋体" w:hAnsi="宋体"/>
                <w:color w:val="000000"/>
                <w:sz w:val="24"/>
                <w:shd w:val="clear" w:color="auto" w:fill="FFFFFF"/>
              </w:rPr>
              <w:t>1．擅自更改社会保险费缴费基数、费率，导致少收或者多收社会保险费的，由有关行政部门责令其追缴应当缴纳的社会保险费或者退还不应当缴纳的社会保险费;对直接负责的主管人员和其他直接责任人员依法给予处分。</w:t>
            </w:r>
          </w:p>
          <w:p>
            <w:pPr>
              <w:ind w:firstLine="480" w:firstLineChars="200"/>
              <w:jc w:val="left"/>
              <w:rPr>
                <w:rFonts w:ascii="宋体" w:hAnsi="宋体"/>
                <w:color w:val="000000"/>
                <w:sz w:val="24"/>
                <w:shd w:val="clear" w:color="auto" w:fill="FFFFFF"/>
              </w:rPr>
            </w:pPr>
            <w:r>
              <w:rPr>
                <w:rFonts w:hint="eastAsia" w:ascii="宋体" w:hAnsi="宋体"/>
                <w:color w:val="000000"/>
                <w:sz w:val="24"/>
                <w:shd w:val="clear" w:color="auto" w:fill="FFFFFF"/>
              </w:rPr>
              <w:t>2．泄露用人单位和个人信息的，对直接负责的主管人员和其他直接责任人员依法给予处分;给用人单位或者个人造成损失的，应当承担赔偿责任。</w:t>
            </w:r>
          </w:p>
          <w:p>
            <w:pPr>
              <w:ind w:firstLine="480" w:firstLineChars="200"/>
              <w:jc w:val="left"/>
              <w:rPr>
                <w:rFonts w:ascii="宋体" w:hAnsi="宋体"/>
                <w:color w:val="000000"/>
                <w:sz w:val="24"/>
                <w:shd w:val="clear" w:color="auto" w:fill="FFFFFF"/>
              </w:rPr>
            </w:pPr>
            <w:r>
              <w:rPr>
                <w:rFonts w:hint="eastAsia" w:ascii="宋体" w:hAnsi="宋体"/>
                <w:color w:val="000000"/>
                <w:sz w:val="24"/>
                <w:shd w:val="clear" w:color="auto" w:fill="FFFFFF"/>
              </w:rPr>
              <w:t>3．在社会保险管理、监督工作中滥用职权、玩忽职守、徇私舞弊的，依法给予处分。</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4．法律、行政法规等规定的其他不履行或者不正确履行行政职责的情形。</w:t>
            </w:r>
          </w:p>
          <w:p>
            <w:pPr>
              <w:jc w:val="left"/>
              <w:rPr>
                <w:rFonts w:ascii="宋体" w:hAnsi="宋体" w:eastAsia="宋体" w:cs="宋体"/>
                <w:color w:val="000000"/>
                <w:sz w:val="24"/>
              </w:rPr>
            </w:pPr>
          </w:p>
        </w:tc>
      </w:tr>
      <w:tr>
        <w:tblPrEx>
          <w:tblCellMar>
            <w:top w:w="0" w:type="dxa"/>
            <w:left w:w="0" w:type="dxa"/>
            <w:bottom w:w="0" w:type="dxa"/>
            <w:right w:w="0" w:type="dxa"/>
          </w:tblCellMar>
        </w:tblPrEx>
        <w:trPr>
          <w:gridBefore w:val="1"/>
          <w:gridAfter w:val="1"/>
          <w:wBefore w:w="10" w:type="dxa"/>
          <w:wAfter w:w="7" w:type="dxa"/>
          <w:trHeight w:val="210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cs="宋体"/>
                <w:color w:val="000000"/>
                <w:kern w:val="0"/>
                <w:sz w:val="24"/>
              </w:rPr>
              <w:t>1.27</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cs="宋体"/>
                <w:color w:val="000000"/>
                <w:kern w:val="0"/>
                <w:sz w:val="24"/>
              </w:rPr>
              <w:t>社会保险费征收</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Style w:val="8"/>
                <w:rFonts w:hint="default"/>
              </w:rPr>
            </w:pPr>
            <w:r>
              <w:rPr>
                <w:rFonts w:ascii="宋体" w:hAnsi="宋体" w:cs="宋体"/>
                <w:color w:val="000000"/>
                <w:kern w:val="0"/>
                <w:sz w:val="24"/>
              </w:rPr>
              <w:t>1.27.4</w:t>
            </w:r>
            <w:r>
              <w:rPr>
                <w:rFonts w:hint="eastAsia" w:ascii="宋体" w:hAnsi="宋体" w:cs="宋体"/>
                <w:color w:val="000000"/>
                <w:kern w:val="0"/>
                <w:sz w:val="24"/>
              </w:rPr>
              <w:t>失业</w:t>
            </w:r>
            <w:r>
              <w:rPr>
                <w:rFonts w:ascii="宋体" w:hAnsi="宋体" w:cs="宋体"/>
                <w:color w:val="000000"/>
                <w:kern w:val="0"/>
                <w:sz w:val="24"/>
              </w:rPr>
              <w:t>保险征收</w:t>
            </w:r>
          </w:p>
          <w:p>
            <w:pPr>
              <w:widowControl/>
              <w:jc w:val="left"/>
              <w:textAlignment w:val="center"/>
              <w:rPr>
                <w:rFonts w:ascii="宋体" w:hAnsi="宋体" w:eastAsia="宋体" w:cs="宋体"/>
                <w:color w:val="000000"/>
                <w:kern w:val="0"/>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r>
              <w:rPr>
                <w:rFonts w:ascii="宋体" w:hAnsi="宋体" w:cs="宋体"/>
                <w:color w:val="000000"/>
                <w:sz w:val="24"/>
              </w:rPr>
              <w:t>《</w:t>
            </w:r>
            <w:r>
              <w:rPr>
                <w:rFonts w:hint="eastAsia" w:ascii="宋体" w:hAnsi="宋体" w:cs="宋体"/>
                <w:color w:val="000000"/>
                <w:sz w:val="24"/>
              </w:rPr>
              <w:t>中华人民共和国社会保险法</w:t>
            </w:r>
            <w:r>
              <w:rPr>
                <w:rFonts w:ascii="宋体" w:hAnsi="宋体" w:cs="宋体"/>
                <w:color w:val="000000"/>
                <w:sz w:val="24"/>
              </w:rPr>
              <w:t>》</w:t>
            </w:r>
            <w:r>
              <w:rPr>
                <w:rFonts w:hint="eastAsia" w:ascii="宋体" w:hAnsi="宋体" w:cs="宋体"/>
                <w:color w:val="000000"/>
                <w:sz w:val="24"/>
              </w:rPr>
              <w:t>第六十条、六十一条、六十三条、九十、九十二、九十三条，《</w:t>
            </w:r>
            <w:r>
              <w:rPr>
                <w:rFonts w:hint="eastAsia" w:ascii="宋体" w:hAnsi="宋体"/>
                <w:bCs/>
                <w:color w:val="000000"/>
                <w:sz w:val="24"/>
                <w:shd w:val="clear" w:color="auto" w:fill="FFFFFF"/>
              </w:rPr>
              <w:t>河南省人民政府关于改革社会保险费征缴体制加强社会保险费征缴管理的通知</w:t>
            </w:r>
            <w:r>
              <w:rPr>
                <w:rFonts w:hint="eastAsia" w:ascii="宋体" w:hAnsi="宋体" w:cs="宋体"/>
                <w:color w:val="000000"/>
                <w:sz w:val="24"/>
              </w:rPr>
              <w:t>》（豫政</w:t>
            </w:r>
            <w:r>
              <w:rPr>
                <w:rFonts w:hint="eastAsia" w:ascii="仿宋_GB2312" w:hAnsi="仿宋_GB2312" w:eastAsia="仿宋_GB2312" w:cs="仿宋_GB2312"/>
                <w:color w:val="000000"/>
                <w:sz w:val="24"/>
              </w:rPr>
              <w:t>〔</w:t>
            </w:r>
            <w:r>
              <w:rPr>
                <w:rFonts w:hint="eastAsia" w:ascii="宋体" w:hAnsi="宋体" w:cs="宋体"/>
                <w:color w:val="000000"/>
                <w:sz w:val="24"/>
              </w:rPr>
              <w:t>2016</w:t>
            </w:r>
            <w:r>
              <w:rPr>
                <w:rFonts w:hint="eastAsia" w:ascii="仿宋_GB2312" w:hAnsi="仿宋_GB2312" w:eastAsia="仿宋_GB2312" w:cs="仿宋_GB2312"/>
                <w:color w:val="000000"/>
                <w:sz w:val="24"/>
              </w:rPr>
              <w:t>〕</w:t>
            </w:r>
            <w:r>
              <w:rPr>
                <w:rFonts w:hint="eastAsia" w:ascii="宋体" w:hAnsi="宋体" w:cs="宋体"/>
                <w:color w:val="000000"/>
                <w:sz w:val="24"/>
              </w:rPr>
              <w:t>77号）</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1.税务机关应当通过官方网站、办税服务场所等渠道公开征收主体、权限、依据、程序、报送资料、救济渠道、服务指南、流程图等；</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2.税务机关按照社保部门</w:t>
            </w:r>
            <w:r>
              <w:rPr>
                <w:rFonts w:hint="eastAsia" w:ascii="宋体" w:hAnsi="宋体"/>
                <w:color w:val="000000"/>
                <w:sz w:val="24"/>
                <w:shd w:val="clear" w:color="auto" w:fill="FFFFFF"/>
              </w:rPr>
              <w:t>核定的用人单位和个人应缴费额，</w:t>
            </w:r>
            <w:r>
              <w:rPr>
                <w:rFonts w:hint="eastAsia" w:ascii="宋体" w:hAnsi="宋体" w:cs="宋体"/>
                <w:color w:val="000000"/>
                <w:kern w:val="0"/>
                <w:sz w:val="24"/>
              </w:rPr>
              <w:t>依法足额征收社会保险费；</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3.税务机关应当按照国家规定的费款入库预算级次，将征收的费款缴入国库；</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4．税务机关及时</w:t>
            </w:r>
            <w:r>
              <w:rPr>
                <w:rFonts w:hint="eastAsia" w:ascii="宋体" w:hAnsi="宋体"/>
                <w:color w:val="000000"/>
                <w:sz w:val="24"/>
                <w:shd w:val="clear" w:color="auto" w:fill="FFFFFF"/>
              </w:rPr>
              <w:t>向社会保险经办机构反馈用人单位和个人缴纳社会保险费相关情况。</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ind w:firstLine="480" w:firstLineChars="200"/>
              <w:jc w:val="left"/>
              <w:textAlignment w:val="center"/>
              <w:rPr>
                <w:rFonts w:ascii="宋体" w:hAnsi="宋体"/>
                <w:color w:val="000000"/>
                <w:sz w:val="24"/>
              </w:rPr>
            </w:pPr>
            <w:r>
              <w:rPr>
                <w:rFonts w:hint="eastAsia" w:ascii="宋体" w:hAnsi="宋体" w:cs="宋体"/>
                <w:color w:val="000000"/>
                <w:kern w:val="0"/>
                <w:sz w:val="24"/>
              </w:rPr>
              <w:t>1.</w:t>
            </w:r>
            <w:r>
              <w:rPr>
                <w:rFonts w:hint="eastAsia" w:ascii="宋体" w:hAnsi="宋体"/>
                <w:color w:val="000000"/>
                <w:sz w:val="24"/>
              </w:rPr>
              <w:t>缴费单位未按规定的期限足额缴纳和代扣代缴社会保险费的，税务机关除责令限期缴纳外，从滞纳之日起，按日加收万分之五的滞纳金。</w:t>
            </w:r>
          </w:p>
          <w:p>
            <w:pPr>
              <w:widowControl/>
              <w:ind w:firstLine="480" w:firstLineChars="200"/>
              <w:jc w:val="left"/>
              <w:textAlignment w:val="center"/>
              <w:rPr>
                <w:rFonts w:ascii="宋体" w:hAnsi="宋体"/>
                <w:color w:val="000000"/>
                <w:sz w:val="24"/>
              </w:rPr>
            </w:pPr>
            <w:r>
              <w:rPr>
                <w:rFonts w:hint="eastAsia" w:ascii="宋体" w:hAnsi="宋体"/>
                <w:color w:val="000000"/>
                <w:sz w:val="24"/>
              </w:rPr>
              <w:t>2．税务机关发现纳税人多缴费款的，与人社、医保等部门协作，按规定予以退费。</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三、部门间职责衔接</w:t>
            </w:r>
          </w:p>
          <w:p>
            <w:pPr>
              <w:widowControl/>
              <w:ind w:firstLine="480" w:firstLineChars="200"/>
              <w:jc w:val="left"/>
              <w:textAlignment w:val="center"/>
              <w:rPr>
                <w:rFonts w:ascii="宋体" w:hAnsi="宋体" w:cs="宋体"/>
                <w:color w:val="000000"/>
                <w:kern w:val="0"/>
                <w:sz w:val="24"/>
              </w:rPr>
            </w:pPr>
            <w:r>
              <w:rPr>
                <w:rFonts w:hint="eastAsia" w:ascii="宋体" w:hAnsi="宋体"/>
                <w:color w:val="000000"/>
                <w:sz w:val="24"/>
              </w:rPr>
              <w:t>税务机关根据开展社会保险费征收和减免事项的监管要求，加强与人社等相关部门的信息共享和协同共治。</w:t>
            </w:r>
          </w:p>
          <w:p>
            <w:pPr>
              <w:ind w:firstLine="480" w:firstLineChars="200"/>
              <w:jc w:val="left"/>
              <w:rPr>
                <w:rFonts w:ascii="宋体" w:hAnsi="宋体" w:eastAsia="宋体" w:cs="宋体"/>
                <w:color w:val="000000"/>
                <w:sz w:val="24"/>
              </w:rPr>
            </w:pP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480" w:firstLineChars="200"/>
              <w:jc w:val="left"/>
              <w:rPr>
                <w:rFonts w:ascii="宋体" w:hAnsi="宋体" w:cs="宋体"/>
                <w:color w:val="000000"/>
                <w:kern w:val="0"/>
                <w:sz w:val="24"/>
              </w:rPr>
            </w:pPr>
            <w:r>
              <w:rPr>
                <w:rFonts w:hint="eastAsia" w:ascii="宋体" w:hAnsi="宋体" w:cs="宋体"/>
                <w:color w:val="000000"/>
                <w:kern w:val="0"/>
                <w:sz w:val="24"/>
              </w:rPr>
              <w:t>税务机关及其工作人员履行行政职责存在以下情形的，应当承担相应责任：</w:t>
            </w:r>
          </w:p>
          <w:p>
            <w:pPr>
              <w:ind w:firstLine="480" w:firstLineChars="200"/>
              <w:jc w:val="left"/>
              <w:rPr>
                <w:rFonts w:ascii="宋体" w:hAnsi="宋体"/>
                <w:color w:val="000000"/>
                <w:sz w:val="24"/>
                <w:shd w:val="clear" w:color="auto" w:fill="FFFFFF"/>
              </w:rPr>
            </w:pPr>
            <w:r>
              <w:rPr>
                <w:rFonts w:hint="eastAsia" w:ascii="宋体" w:hAnsi="宋体"/>
                <w:color w:val="000000"/>
                <w:sz w:val="24"/>
                <w:shd w:val="clear" w:color="auto" w:fill="FFFFFF"/>
              </w:rPr>
              <w:t>1．擅自更改社会保险费缴费基数、费率，导致少收或者多收社会保险费的，由有关行政部门责令其追缴应当缴纳的社会保险费或者退还不应当缴纳的社会保险费;对直接负责的主管人员和其他直接责任人员依法给予处分。</w:t>
            </w:r>
          </w:p>
          <w:p>
            <w:pPr>
              <w:ind w:firstLine="480" w:firstLineChars="200"/>
              <w:jc w:val="left"/>
              <w:rPr>
                <w:rFonts w:ascii="宋体" w:hAnsi="宋体"/>
                <w:color w:val="000000"/>
                <w:sz w:val="24"/>
                <w:shd w:val="clear" w:color="auto" w:fill="FFFFFF"/>
              </w:rPr>
            </w:pPr>
            <w:r>
              <w:rPr>
                <w:rFonts w:hint="eastAsia" w:ascii="宋体" w:hAnsi="宋体"/>
                <w:color w:val="000000"/>
                <w:sz w:val="24"/>
                <w:shd w:val="clear" w:color="auto" w:fill="FFFFFF"/>
              </w:rPr>
              <w:t>2．泄露用人单位和个人信息的，对直接负责的主管人员和其他直接责任人员依法给予处分;给用人单位或者个人造成损失的，应当承担赔偿责任。</w:t>
            </w:r>
          </w:p>
          <w:p>
            <w:pPr>
              <w:ind w:firstLine="480" w:firstLineChars="200"/>
              <w:jc w:val="left"/>
              <w:rPr>
                <w:rFonts w:ascii="宋体" w:hAnsi="宋体"/>
                <w:color w:val="000000"/>
                <w:sz w:val="24"/>
                <w:shd w:val="clear" w:color="auto" w:fill="FFFFFF"/>
              </w:rPr>
            </w:pPr>
            <w:r>
              <w:rPr>
                <w:rFonts w:hint="eastAsia" w:ascii="宋体" w:hAnsi="宋体"/>
                <w:color w:val="000000"/>
                <w:sz w:val="24"/>
                <w:shd w:val="clear" w:color="auto" w:fill="FFFFFF"/>
              </w:rPr>
              <w:t>3．在社会保险管理、监督工作中滥用职权、玩忽职守、徇私舞弊的，依法给予处分。</w:t>
            </w:r>
          </w:p>
          <w:p>
            <w:pPr>
              <w:widowControl/>
              <w:ind w:firstLine="480" w:firstLineChars="200"/>
              <w:jc w:val="left"/>
              <w:textAlignment w:val="center"/>
              <w:rPr>
                <w:rFonts w:ascii="宋体" w:hAnsi="宋体" w:cs="宋体"/>
                <w:color w:val="000000"/>
                <w:kern w:val="0"/>
                <w:sz w:val="24"/>
              </w:rPr>
            </w:pPr>
            <w:r>
              <w:rPr>
                <w:rFonts w:hint="eastAsia" w:ascii="宋体" w:hAnsi="宋体" w:cs="宋体"/>
                <w:color w:val="000000"/>
                <w:kern w:val="0"/>
                <w:sz w:val="24"/>
              </w:rPr>
              <w:t>4．法律、行政法规等规定的其他不履行或者不正确履行行政职责的情形。</w:t>
            </w:r>
          </w:p>
          <w:p>
            <w:pPr>
              <w:jc w:val="left"/>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0" w:hRule="atLeast"/>
        </w:trPr>
        <w:tc>
          <w:tcPr>
            <w:tcW w:w="787" w:type="dxa"/>
            <w:gridSpan w:val="2"/>
            <w:vMerge w:val="restart"/>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1.28</w:t>
            </w:r>
          </w:p>
        </w:tc>
        <w:tc>
          <w:tcPr>
            <w:tcW w:w="1175" w:type="dxa"/>
            <w:vMerge w:val="restart"/>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非税收入征收</w:t>
            </w:r>
          </w:p>
        </w:tc>
        <w:tc>
          <w:tcPr>
            <w:tcW w:w="1037" w:type="dxa"/>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1.28.1教育费附加征收</w:t>
            </w:r>
          </w:p>
        </w:tc>
        <w:tc>
          <w:tcPr>
            <w:tcW w:w="3063" w:type="dxa"/>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1.《中华人民共和国教育法》第五十八条。</w:t>
            </w:r>
          </w:p>
          <w:p>
            <w:pPr>
              <w:widowControl/>
              <w:jc w:val="left"/>
              <w:textAlignment w:val="center"/>
              <w:rPr>
                <w:rFonts w:ascii="宋体" w:hAnsi="宋体" w:cs="宋体"/>
                <w:sz w:val="24"/>
              </w:rPr>
            </w:pPr>
            <w:r>
              <w:rPr>
                <w:rFonts w:hint="eastAsia" w:ascii="宋体" w:hAnsi="宋体" w:cs="宋体"/>
                <w:kern w:val="0"/>
                <w:sz w:val="24"/>
              </w:rPr>
              <w:t>2.《征收教育费附加的暂行规定》第五条第一款。</w:t>
            </w:r>
          </w:p>
        </w:tc>
        <w:tc>
          <w:tcPr>
            <w:tcW w:w="11242" w:type="dxa"/>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2.税务机关依法足额征收教育费附加；</w:t>
            </w:r>
          </w:p>
          <w:p>
            <w:pPr>
              <w:widowControl/>
              <w:jc w:val="left"/>
              <w:textAlignment w:val="center"/>
              <w:rPr>
                <w:rFonts w:ascii="宋体" w:hAnsi="宋体" w:cs="宋体"/>
                <w:kern w:val="0"/>
                <w:sz w:val="24"/>
              </w:rPr>
            </w:pPr>
            <w:r>
              <w:rPr>
                <w:rFonts w:hint="eastAsia" w:ascii="宋体" w:hAnsi="宋体" w:cs="宋体"/>
                <w:kern w:val="0"/>
                <w:sz w:val="24"/>
              </w:rPr>
              <w:t>3.教育费附加的征收管理，按照增值税、消费税的有关规定办理；与增值税、消费税同时缴纳。除国务院另有规定外，任何地区、部门不得擅自提高或者降低教育费附加率。</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教育费附加由税务机关负责征收，由教育行政部门统筹管理，主要用于实施义务教育。</w:t>
            </w:r>
          </w:p>
          <w:p>
            <w:pPr>
              <w:widowControl/>
              <w:jc w:val="left"/>
              <w:textAlignment w:val="center"/>
              <w:rPr>
                <w:rFonts w:ascii="宋体" w:hAnsi="宋体" w:cs="宋体"/>
                <w:sz w:val="24"/>
              </w:rPr>
            </w:pPr>
          </w:p>
        </w:tc>
        <w:tc>
          <w:tcPr>
            <w:tcW w:w="3365" w:type="dxa"/>
            <w:gridSpan w:val="2"/>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1.违规多征、提前征收或者减征、免征、缓征教育费附加的；</w:t>
            </w:r>
          </w:p>
          <w:p>
            <w:pPr>
              <w:widowControl/>
              <w:jc w:val="left"/>
              <w:textAlignment w:val="center"/>
              <w:rPr>
                <w:rFonts w:ascii="宋体" w:hAnsi="宋体" w:cs="宋体"/>
                <w:kern w:val="0"/>
                <w:sz w:val="24"/>
              </w:rPr>
            </w:pPr>
            <w:r>
              <w:rPr>
                <w:rFonts w:hint="eastAsia" w:ascii="宋体" w:hAnsi="宋体" w:cs="宋体"/>
                <w:kern w:val="0"/>
                <w:sz w:val="24"/>
              </w:rPr>
              <w:t>2.不按照规定的预算级次、预算科目将费款缴入国库的；</w:t>
            </w:r>
          </w:p>
          <w:p>
            <w:pPr>
              <w:widowControl/>
              <w:jc w:val="left"/>
              <w:textAlignment w:val="center"/>
              <w:rPr>
                <w:rFonts w:ascii="宋体" w:hAnsi="宋体" w:cs="宋体"/>
                <w:kern w:val="0"/>
                <w:sz w:val="24"/>
              </w:rPr>
            </w:pPr>
            <w:r>
              <w:rPr>
                <w:rFonts w:hint="eastAsia" w:ascii="宋体" w:hAnsi="宋体" w:cs="宋体"/>
                <w:kern w:val="0"/>
                <w:sz w:val="24"/>
              </w:rPr>
              <w:t>3.隐瞒、坐支应当上缴的教育费附加的；</w:t>
            </w:r>
          </w:p>
          <w:p>
            <w:pPr>
              <w:widowControl/>
              <w:jc w:val="left"/>
              <w:textAlignment w:val="center"/>
              <w:rPr>
                <w:rFonts w:ascii="宋体" w:hAnsi="宋体" w:cs="宋体"/>
                <w:kern w:val="0"/>
                <w:sz w:val="24"/>
              </w:rPr>
            </w:pPr>
            <w:r>
              <w:rPr>
                <w:rFonts w:hint="eastAsia" w:ascii="宋体" w:hAnsi="宋体" w:cs="宋体"/>
                <w:kern w:val="0"/>
                <w:sz w:val="24"/>
              </w:rPr>
              <w:t>4.法律、行政法规等规定的其他不履行或者不正确履行行政职责的情形。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0" w:hRule="atLeast"/>
        </w:trPr>
        <w:tc>
          <w:tcPr>
            <w:tcW w:w="787" w:type="dxa"/>
            <w:gridSpan w:val="2"/>
            <w:vMerge w:val="continue"/>
            <w:tcMar>
              <w:top w:w="10" w:type="dxa"/>
              <w:left w:w="10" w:type="dxa"/>
              <w:right w:w="10" w:type="dxa"/>
            </w:tcMar>
            <w:vAlign w:val="center"/>
          </w:tcPr>
          <w:p>
            <w:pPr>
              <w:jc w:val="center"/>
              <w:rPr>
                <w:rFonts w:ascii="宋体" w:hAnsi="宋体" w:cs="宋体"/>
                <w:sz w:val="24"/>
              </w:rPr>
            </w:pPr>
          </w:p>
        </w:tc>
        <w:tc>
          <w:tcPr>
            <w:tcW w:w="1175" w:type="dxa"/>
            <w:vMerge w:val="continue"/>
            <w:tcMar>
              <w:top w:w="10" w:type="dxa"/>
              <w:left w:w="10" w:type="dxa"/>
              <w:right w:w="10" w:type="dxa"/>
            </w:tcMar>
            <w:vAlign w:val="center"/>
          </w:tcPr>
          <w:p>
            <w:pPr>
              <w:jc w:val="left"/>
              <w:rPr>
                <w:rFonts w:ascii="宋体" w:hAnsi="宋体" w:cs="宋体"/>
                <w:sz w:val="24"/>
              </w:rPr>
            </w:pPr>
          </w:p>
        </w:tc>
        <w:tc>
          <w:tcPr>
            <w:tcW w:w="1037" w:type="dxa"/>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1.28.2地方教育附加征收</w:t>
            </w:r>
          </w:p>
        </w:tc>
        <w:tc>
          <w:tcPr>
            <w:tcW w:w="3063" w:type="dxa"/>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1.《中华人民共和国教育法》第五十八条。</w:t>
            </w:r>
          </w:p>
          <w:p>
            <w:pPr>
              <w:widowControl/>
              <w:jc w:val="left"/>
              <w:textAlignment w:val="center"/>
              <w:rPr>
                <w:rFonts w:ascii="宋体" w:hAnsi="宋体" w:cs="宋体"/>
                <w:kern w:val="0"/>
                <w:sz w:val="24"/>
              </w:rPr>
            </w:pPr>
            <w:r>
              <w:rPr>
                <w:rFonts w:hint="eastAsia" w:ascii="宋体" w:hAnsi="宋体" w:cs="宋体"/>
                <w:kern w:val="0"/>
                <w:sz w:val="24"/>
              </w:rPr>
              <w:t>2.《财政部关于统一地方教育附加政策有关问题的通知》（财综〔2010〕98号）第一条。</w:t>
            </w:r>
          </w:p>
          <w:p>
            <w:pPr>
              <w:widowControl/>
              <w:jc w:val="left"/>
              <w:textAlignment w:val="center"/>
              <w:rPr>
                <w:rFonts w:ascii="宋体" w:hAnsi="宋体" w:cs="宋体"/>
                <w:sz w:val="24"/>
              </w:rPr>
            </w:pPr>
            <w:r>
              <w:rPr>
                <w:rFonts w:hint="eastAsia" w:ascii="宋体" w:hAnsi="宋体" w:cs="宋体"/>
                <w:kern w:val="0"/>
                <w:sz w:val="24"/>
              </w:rPr>
              <w:t>3.《河南省地方教育附加征收使用管理办法》（豫财综〔2011〕4号）第二条</w:t>
            </w:r>
            <w:r>
              <w:rPr>
                <w:rFonts w:ascii="宋体" w:hAnsi="宋体" w:cs="宋体"/>
                <w:sz w:val="24"/>
              </w:rPr>
              <w:t xml:space="preserve"> </w:t>
            </w:r>
          </w:p>
        </w:tc>
        <w:tc>
          <w:tcPr>
            <w:tcW w:w="11242" w:type="dxa"/>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p>
            <w:pPr>
              <w:widowControl/>
              <w:jc w:val="left"/>
              <w:textAlignment w:val="center"/>
              <w:rPr>
                <w:rFonts w:ascii="宋体" w:hAnsi="宋体" w:cs="宋体"/>
                <w:sz w:val="24"/>
              </w:rPr>
            </w:pPr>
          </w:p>
        </w:tc>
        <w:tc>
          <w:tcPr>
            <w:tcW w:w="3365" w:type="dxa"/>
            <w:gridSpan w:val="2"/>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1.未严格按照规定的范围和标准征收地方教育附加的；</w:t>
            </w:r>
          </w:p>
          <w:p>
            <w:pPr>
              <w:widowControl/>
              <w:jc w:val="left"/>
              <w:textAlignment w:val="center"/>
              <w:rPr>
                <w:rFonts w:ascii="宋体" w:hAnsi="宋体" w:cs="宋体"/>
                <w:kern w:val="0"/>
                <w:sz w:val="24"/>
              </w:rPr>
            </w:pPr>
            <w:r>
              <w:rPr>
                <w:rFonts w:hint="eastAsia" w:ascii="宋体" w:hAnsi="宋体" w:cs="宋体"/>
                <w:kern w:val="0"/>
                <w:sz w:val="24"/>
              </w:rPr>
              <w:t>2.违反规定擅自多征、减征、缓征、停征或者侵占、截留、挪用的；</w:t>
            </w:r>
          </w:p>
          <w:p>
            <w:pPr>
              <w:widowControl/>
              <w:jc w:val="left"/>
              <w:textAlignment w:val="center"/>
              <w:rPr>
                <w:rFonts w:ascii="宋体" w:hAnsi="宋体" w:cs="宋体"/>
                <w:kern w:val="0"/>
                <w:sz w:val="24"/>
              </w:rPr>
            </w:pPr>
            <w:r>
              <w:rPr>
                <w:rFonts w:hint="eastAsia" w:ascii="宋体" w:hAnsi="宋体" w:cs="宋体"/>
                <w:kern w:val="0"/>
                <w:sz w:val="24"/>
              </w:rPr>
              <w:t>3.不按照规定的预算级次、预算科目将费款缴入国库的；</w:t>
            </w:r>
          </w:p>
          <w:p>
            <w:pPr>
              <w:widowControl/>
              <w:jc w:val="left"/>
              <w:textAlignment w:val="center"/>
              <w:rPr>
                <w:rFonts w:ascii="宋体" w:hAnsi="宋体" w:cs="宋体"/>
                <w:kern w:val="0"/>
                <w:sz w:val="24"/>
              </w:rPr>
            </w:pPr>
            <w:r>
              <w:rPr>
                <w:rFonts w:hint="eastAsia" w:ascii="宋体" w:hAnsi="宋体" w:cs="宋体"/>
                <w:kern w:val="0"/>
                <w:sz w:val="24"/>
              </w:rPr>
              <w:t>4.法律、行政法规等规定的其他不履行或者不正确履行行政职责的情形。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0" w:hRule="atLeast"/>
        </w:trPr>
        <w:tc>
          <w:tcPr>
            <w:tcW w:w="787" w:type="dxa"/>
            <w:gridSpan w:val="2"/>
            <w:vMerge w:val="restart"/>
            <w:tcMar>
              <w:top w:w="10" w:type="dxa"/>
              <w:left w:w="10" w:type="dxa"/>
              <w:right w:w="10" w:type="dxa"/>
            </w:tcMar>
            <w:vAlign w:val="center"/>
          </w:tcPr>
          <w:p>
            <w:pPr>
              <w:jc w:val="center"/>
              <w:rPr>
                <w:rFonts w:ascii="宋体" w:hAnsi="宋体" w:cs="宋体"/>
                <w:sz w:val="24"/>
              </w:rPr>
            </w:pPr>
            <w:r>
              <w:rPr>
                <w:rFonts w:hint="eastAsia" w:ascii="宋体" w:hAnsi="宋体" w:cs="宋体"/>
                <w:kern w:val="0"/>
                <w:sz w:val="24"/>
              </w:rPr>
              <w:t>1.28</w:t>
            </w:r>
          </w:p>
        </w:tc>
        <w:tc>
          <w:tcPr>
            <w:tcW w:w="1175" w:type="dxa"/>
            <w:vMerge w:val="restart"/>
            <w:tcMar>
              <w:top w:w="10" w:type="dxa"/>
              <w:left w:w="10" w:type="dxa"/>
              <w:right w:w="10" w:type="dxa"/>
            </w:tcMar>
            <w:vAlign w:val="center"/>
          </w:tcPr>
          <w:p>
            <w:pPr>
              <w:jc w:val="left"/>
              <w:rPr>
                <w:rFonts w:ascii="宋体" w:hAnsi="宋体" w:cs="宋体"/>
                <w:sz w:val="24"/>
              </w:rPr>
            </w:pPr>
            <w:r>
              <w:rPr>
                <w:rFonts w:hint="eastAsia" w:ascii="宋体" w:hAnsi="宋体" w:cs="宋体"/>
                <w:kern w:val="0"/>
                <w:sz w:val="24"/>
              </w:rPr>
              <w:t>非税收入征收</w:t>
            </w:r>
          </w:p>
        </w:tc>
        <w:tc>
          <w:tcPr>
            <w:tcW w:w="1037" w:type="dxa"/>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1.28.3残疾人就业保障金征收</w:t>
            </w:r>
          </w:p>
        </w:tc>
        <w:tc>
          <w:tcPr>
            <w:tcW w:w="3063" w:type="dxa"/>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1.《残疾人就业条例》第十六条第一款。</w:t>
            </w:r>
          </w:p>
          <w:p>
            <w:pPr>
              <w:widowControl/>
              <w:jc w:val="left"/>
              <w:textAlignment w:val="center"/>
              <w:rPr>
                <w:rFonts w:ascii="宋体" w:hAnsi="宋体" w:cs="宋体"/>
                <w:sz w:val="24"/>
              </w:rPr>
            </w:pPr>
            <w:r>
              <w:rPr>
                <w:rFonts w:hint="eastAsia" w:ascii="宋体" w:hAnsi="宋体" w:cs="宋体"/>
                <w:kern w:val="0"/>
                <w:sz w:val="24"/>
              </w:rPr>
              <w:t>2.《残疾人就业保障金征收使用管理办法》（财税〔2015〕72号印发）第九条第一款。</w:t>
            </w:r>
          </w:p>
        </w:tc>
        <w:tc>
          <w:tcPr>
            <w:tcW w:w="11242" w:type="dxa"/>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2.保障金由用人单位所在地的税务机关负责征收。有关省、自治区、直辖市对保障金征收机关另有规定的，按其规定执行；</w:t>
            </w:r>
          </w:p>
          <w:p>
            <w:pPr>
              <w:widowControl/>
              <w:jc w:val="left"/>
              <w:textAlignment w:val="center"/>
              <w:rPr>
                <w:rFonts w:ascii="宋体" w:hAnsi="宋体" w:cs="宋体"/>
                <w:kern w:val="0"/>
                <w:sz w:val="24"/>
              </w:rPr>
            </w:pPr>
            <w:r>
              <w:rPr>
                <w:rFonts w:hint="eastAsia" w:ascii="宋体" w:hAnsi="宋体" w:cs="宋体"/>
                <w:kern w:val="0"/>
                <w:sz w:val="24"/>
              </w:rPr>
              <w:t>3.税务机关征收保障金时，应当向用人单位开具省级财政部门统一印制的票据或税收票证；</w:t>
            </w:r>
          </w:p>
          <w:p>
            <w:pPr>
              <w:widowControl/>
              <w:jc w:val="left"/>
              <w:textAlignment w:val="center"/>
              <w:rPr>
                <w:rFonts w:ascii="宋体" w:hAnsi="宋体" w:cs="宋体"/>
                <w:kern w:val="0"/>
                <w:sz w:val="24"/>
              </w:rPr>
            </w:pPr>
            <w:r>
              <w:rPr>
                <w:rFonts w:hint="eastAsia" w:ascii="宋体" w:hAnsi="宋体" w:cs="宋体"/>
                <w:kern w:val="0"/>
                <w:sz w:val="24"/>
              </w:rPr>
              <w:t>4.税务机关应积极采取财税库银税收收入电子缴库横向联网方式征缴保障金；</w:t>
            </w:r>
          </w:p>
          <w:p>
            <w:pPr>
              <w:widowControl/>
              <w:jc w:val="left"/>
              <w:textAlignment w:val="center"/>
              <w:rPr>
                <w:rFonts w:ascii="宋体" w:hAnsi="宋体" w:cs="宋体"/>
                <w:kern w:val="0"/>
                <w:sz w:val="24"/>
              </w:rPr>
            </w:pPr>
            <w:r>
              <w:rPr>
                <w:rFonts w:hint="eastAsia" w:ascii="宋体" w:hAnsi="宋体" w:cs="宋体"/>
                <w:kern w:val="0"/>
                <w:sz w:val="24"/>
              </w:rPr>
              <w:t>5.税务机关应当严格按规定的范围、标准和时限要求征收保障金，确保保障金及时、足额征缴到位；</w:t>
            </w:r>
          </w:p>
          <w:p>
            <w:pPr>
              <w:widowControl/>
              <w:jc w:val="left"/>
              <w:textAlignment w:val="center"/>
              <w:rPr>
                <w:rFonts w:ascii="宋体" w:hAnsi="宋体" w:cs="宋体"/>
                <w:kern w:val="0"/>
                <w:sz w:val="24"/>
              </w:rPr>
            </w:pPr>
            <w:r>
              <w:rPr>
                <w:rFonts w:hint="eastAsia" w:ascii="宋体" w:hAnsi="宋体" w:cs="宋体"/>
                <w:kern w:val="0"/>
                <w:sz w:val="24"/>
              </w:rPr>
              <w:t>6.税务机关应当定期向社会公布本地区用人单位缴纳保障金情况。</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税务机关应当定期对用人单位进行检查，发现用人单位申报不实、少缴纳保障金的，税务机关应当催报并追缴保障金；</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残疾人就业服务机构应当配合保障金征收机关做好保障金征收工作。残疾人就业服务机构对用人单位申报本单位上年安排的残疾人就业人数进行审核后，确定用人单位实际安排的残疾人就业人数，并及时提供给保障金征收机关；</w:t>
            </w:r>
          </w:p>
          <w:p>
            <w:pPr>
              <w:widowControl/>
              <w:jc w:val="left"/>
              <w:textAlignment w:val="center"/>
              <w:rPr>
                <w:rFonts w:ascii="宋体" w:hAnsi="宋体" w:cs="宋体"/>
                <w:kern w:val="0"/>
                <w:sz w:val="24"/>
              </w:rPr>
            </w:pPr>
            <w:r>
              <w:rPr>
                <w:rFonts w:hint="eastAsia" w:ascii="宋体" w:hAnsi="宋体" w:cs="宋体"/>
                <w:kern w:val="0"/>
                <w:sz w:val="24"/>
              </w:rPr>
              <w:t>2.保障金的征收、使用和管理应当接受财政部门的监督检查和审计机关的审计监督；</w:t>
            </w:r>
          </w:p>
          <w:p>
            <w:pPr>
              <w:widowControl/>
              <w:jc w:val="left"/>
              <w:textAlignment w:val="center"/>
              <w:rPr>
                <w:rFonts w:ascii="宋体" w:hAnsi="宋体" w:cs="宋体"/>
                <w:sz w:val="24"/>
              </w:rPr>
            </w:pPr>
            <w:r>
              <w:rPr>
                <w:rFonts w:hint="eastAsia" w:ascii="宋体" w:hAnsi="宋体" w:cs="宋体"/>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3365" w:type="dxa"/>
            <w:gridSpan w:val="2"/>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1.擅自减免保障金或者改变保障金征收范围、对象和标准的；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2.隐瞒、坐支应当上缴的保障金的；</w:t>
            </w:r>
          </w:p>
          <w:p>
            <w:pPr>
              <w:widowControl/>
              <w:jc w:val="left"/>
              <w:textAlignment w:val="center"/>
              <w:rPr>
                <w:rFonts w:ascii="宋体" w:hAnsi="宋体" w:cs="宋体"/>
                <w:kern w:val="0"/>
                <w:sz w:val="24"/>
              </w:rPr>
            </w:pPr>
            <w:r>
              <w:rPr>
                <w:rFonts w:hint="eastAsia" w:ascii="宋体" w:hAnsi="宋体" w:cs="宋体"/>
                <w:kern w:val="0"/>
                <w:sz w:val="24"/>
              </w:rPr>
              <w:t>3.不按照规定的预算级次、预算科目将保障金缴入国库的；</w:t>
            </w:r>
          </w:p>
          <w:p>
            <w:pPr>
              <w:widowControl/>
              <w:jc w:val="left"/>
              <w:textAlignment w:val="center"/>
              <w:rPr>
                <w:rFonts w:ascii="宋体" w:hAnsi="宋体" w:cs="宋体"/>
                <w:kern w:val="0"/>
                <w:sz w:val="24"/>
              </w:rPr>
            </w:pPr>
            <w:r>
              <w:rPr>
                <w:rFonts w:hint="eastAsia" w:ascii="宋体" w:hAnsi="宋体" w:cs="宋体"/>
                <w:kern w:val="0"/>
                <w:sz w:val="24"/>
              </w:rPr>
              <w:t>4.在保障金征收和使用管理工作中滥用职权、玩忽职守、徇私舞弊的；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0" w:hRule="atLeast"/>
        </w:trPr>
        <w:tc>
          <w:tcPr>
            <w:tcW w:w="787" w:type="dxa"/>
            <w:gridSpan w:val="2"/>
            <w:vMerge w:val="continue"/>
            <w:tcMar>
              <w:top w:w="10" w:type="dxa"/>
              <w:left w:w="10" w:type="dxa"/>
              <w:right w:w="10" w:type="dxa"/>
            </w:tcMar>
            <w:vAlign w:val="center"/>
          </w:tcPr>
          <w:p>
            <w:pPr>
              <w:jc w:val="center"/>
              <w:rPr>
                <w:rFonts w:ascii="宋体" w:hAnsi="宋体" w:cs="宋体"/>
                <w:sz w:val="24"/>
              </w:rPr>
            </w:pPr>
          </w:p>
        </w:tc>
        <w:tc>
          <w:tcPr>
            <w:tcW w:w="1175" w:type="dxa"/>
            <w:vMerge w:val="continue"/>
            <w:tcMar>
              <w:top w:w="10" w:type="dxa"/>
              <w:left w:w="10" w:type="dxa"/>
              <w:right w:w="10" w:type="dxa"/>
            </w:tcMar>
            <w:vAlign w:val="center"/>
          </w:tcPr>
          <w:p>
            <w:pPr>
              <w:jc w:val="left"/>
              <w:rPr>
                <w:rFonts w:ascii="宋体" w:hAnsi="宋体" w:cs="宋体"/>
                <w:sz w:val="24"/>
              </w:rPr>
            </w:pPr>
          </w:p>
        </w:tc>
        <w:tc>
          <w:tcPr>
            <w:tcW w:w="1037" w:type="dxa"/>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1.28.4文化事业建设费征收</w:t>
            </w:r>
          </w:p>
        </w:tc>
        <w:tc>
          <w:tcPr>
            <w:tcW w:w="3063" w:type="dxa"/>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1.《国务院关于进一步完善文化经济政策的若干规定》（国发〔1996〕37号）第一条第二项。</w:t>
            </w:r>
          </w:p>
          <w:p>
            <w:pPr>
              <w:widowControl/>
              <w:jc w:val="left"/>
              <w:textAlignment w:val="center"/>
              <w:rPr>
                <w:rFonts w:ascii="宋体" w:hAnsi="宋体" w:cs="宋体"/>
                <w:kern w:val="0"/>
                <w:sz w:val="24"/>
              </w:rPr>
            </w:pPr>
            <w:r>
              <w:rPr>
                <w:rFonts w:hint="eastAsia" w:ascii="宋体" w:hAnsi="宋体" w:cs="宋体"/>
                <w:kern w:val="0"/>
                <w:sz w:val="24"/>
              </w:rPr>
              <w:t>2.《国务院关于支持文化事业发展若干经济政策的通知》（国发〔2000〕41号）第一条第二项。</w:t>
            </w:r>
          </w:p>
          <w:p>
            <w:pPr>
              <w:widowControl/>
              <w:jc w:val="left"/>
              <w:textAlignment w:val="center"/>
              <w:rPr>
                <w:rFonts w:ascii="宋体" w:hAnsi="宋体" w:cs="宋体"/>
                <w:sz w:val="24"/>
              </w:rPr>
            </w:pPr>
            <w:r>
              <w:rPr>
                <w:rFonts w:hint="eastAsia" w:ascii="宋体" w:hAnsi="宋体" w:cs="宋体"/>
                <w:kern w:val="0"/>
                <w:sz w:val="24"/>
              </w:rPr>
              <w:t>3.《财政部 国家税务总局关于营业税改征增值税试点有关文化事业建设费政策及征收管理问题的通知》（财税〔2016〕25号）第八条。</w:t>
            </w:r>
          </w:p>
        </w:tc>
        <w:tc>
          <w:tcPr>
            <w:tcW w:w="11242" w:type="dxa"/>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2.文化事业建设费由税务机关在征收娱乐业、广告业增值税时一并征收；</w:t>
            </w:r>
          </w:p>
          <w:p>
            <w:pPr>
              <w:widowControl/>
              <w:jc w:val="left"/>
              <w:textAlignment w:val="center"/>
              <w:rPr>
                <w:rFonts w:ascii="宋体" w:hAnsi="宋体" w:cs="宋体"/>
                <w:sz w:val="24"/>
              </w:rPr>
            </w:pPr>
            <w:r>
              <w:rPr>
                <w:rFonts w:hint="eastAsia" w:ascii="宋体" w:hAnsi="宋体" w:cs="宋体"/>
                <w:kern w:val="0"/>
                <w:sz w:val="24"/>
              </w:rPr>
              <w:t>3.营改增后的文化事业建设费，由税务局征收。</w:t>
            </w:r>
          </w:p>
        </w:tc>
        <w:tc>
          <w:tcPr>
            <w:tcW w:w="3365" w:type="dxa"/>
            <w:gridSpan w:val="2"/>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1.擅自减免文化事业建设费或者改变其征收范围、对象和标准的；</w:t>
            </w:r>
          </w:p>
          <w:p>
            <w:pPr>
              <w:widowControl/>
              <w:jc w:val="left"/>
              <w:textAlignment w:val="center"/>
              <w:rPr>
                <w:rFonts w:ascii="宋体" w:hAnsi="宋体" w:cs="宋体"/>
                <w:kern w:val="0"/>
                <w:sz w:val="24"/>
              </w:rPr>
            </w:pPr>
            <w:r>
              <w:rPr>
                <w:rFonts w:hint="eastAsia" w:ascii="宋体" w:hAnsi="宋体" w:cs="宋体"/>
                <w:kern w:val="0"/>
                <w:sz w:val="24"/>
              </w:rPr>
              <w:t>2.违反规定擅自多征、减征、缓征、停征或者侵占、截留、挪用的；</w:t>
            </w:r>
          </w:p>
          <w:p>
            <w:pPr>
              <w:widowControl/>
              <w:jc w:val="left"/>
              <w:textAlignment w:val="center"/>
              <w:rPr>
                <w:rFonts w:ascii="宋体" w:hAnsi="宋体" w:cs="宋体"/>
                <w:kern w:val="0"/>
                <w:sz w:val="24"/>
              </w:rPr>
            </w:pPr>
            <w:r>
              <w:rPr>
                <w:rFonts w:hint="eastAsia" w:ascii="宋体" w:hAnsi="宋体" w:cs="宋体"/>
                <w:kern w:val="0"/>
                <w:sz w:val="24"/>
              </w:rPr>
              <w:t>3.不按照规定的预算级次、预算科目将费款缴入国库的；</w:t>
            </w:r>
          </w:p>
          <w:p>
            <w:pPr>
              <w:widowControl/>
              <w:jc w:val="left"/>
              <w:textAlignment w:val="center"/>
              <w:rPr>
                <w:rFonts w:ascii="宋体" w:hAnsi="宋体" w:cs="宋体"/>
                <w:sz w:val="24"/>
              </w:rPr>
            </w:pPr>
            <w:r>
              <w:rPr>
                <w:rFonts w:hint="eastAsia" w:ascii="宋体" w:hAnsi="宋体" w:cs="宋体"/>
                <w:kern w:val="0"/>
                <w:sz w:val="24"/>
              </w:rPr>
              <w:t>4.法律、行政法规等规定的其他不履行或者不正确履行行政职责的情形。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0" w:hRule="atLeast"/>
        </w:trPr>
        <w:tc>
          <w:tcPr>
            <w:tcW w:w="787" w:type="dxa"/>
            <w:gridSpan w:val="2"/>
            <w:tcMar>
              <w:top w:w="10" w:type="dxa"/>
              <w:left w:w="10" w:type="dxa"/>
              <w:right w:w="10" w:type="dxa"/>
            </w:tcMar>
            <w:vAlign w:val="center"/>
          </w:tcPr>
          <w:p>
            <w:pPr>
              <w:jc w:val="center"/>
              <w:rPr>
                <w:rFonts w:ascii="宋体" w:hAnsi="宋体" w:cs="宋体"/>
                <w:sz w:val="24"/>
              </w:rPr>
            </w:pPr>
            <w:r>
              <w:rPr>
                <w:rFonts w:hint="eastAsia" w:ascii="宋体" w:hAnsi="宋体" w:cs="宋体"/>
                <w:sz w:val="24"/>
              </w:rPr>
              <w:t>1</w:t>
            </w:r>
            <w:r>
              <w:rPr>
                <w:rFonts w:ascii="宋体" w:hAnsi="宋体" w:cs="宋体"/>
                <w:sz w:val="24"/>
              </w:rPr>
              <w:t>.28</w:t>
            </w:r>
          </w:p>
        </w:tc>
        <w:tc>
          <w:tcPr>
            <w:tcW w:w="1175" w:type="dxa"/>
            <w:tcMar>
              <w:top w:w="10" w:type="dxa"/>
              <w:left w:w="10" w:type="dxa"/>
              <w:right w:w="10" w:type="dxa"/>
            </w:tcMar>
            <w:vAlign w:val="center"/>
          </w:tcPr>
          <w:p>
            <w:pPr>
              <w:jc w:val="left"/>
              <w:rPr>
                <w:rFonts w:ascii="宋体" w:hAnsi="宋体" w:cs="宋体"/>
                <w:sz w:val="24"/>
              </w:rPr>
            </w:pPr>
            <w:r>
              <w:rPr>
                <w:rFonts w:hint="eastAsia" w:ascii="宋体" w:hAnsi="宋体" w:cs="宋体"/>
                <w:sz w:val="24"/>
              </w:rPr>
              <w:t>非税收入征收</w:t>
            </w:r>
          </w:p>
        </w:tc>
        <w:tc>
          <w:tcPr>
            <w:tcW w:w="1037" w:type="dxa"/>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1.28.5废弃电器电子产品处理基金征收</w:t>
            </w:r>
          </w:p>
        </w:tc>
        <w:tc>
          <w:tcPr>
            <w:tcW w:w="3063" w:type="dxa"/>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1.《废弃电器电子产品回收处理管理条例》第七条第二款。</w:t>
            </w:r>
          </w:p>
          <w:p>
            <w:pPr>
              <w:widowControl/>
              <w:jc w:val="left"/>
              <w:textAlignment w:val="center"/>
              <w:rPr>
                <w:rFonts w:ascii="宋体" w:hAnsi="宋体" w:cs="宋体"/>
                <w:kern w:val="0"/>
                <w:sz w:val="24"/>
              </w:rPr>
            </w:pPr>
            <w:r>
              <w:rPr>
                <w:rFonts w:hint="eastAsia" w:ascii="宋体" w:hAnsi="宋体" w:cs="宋体"/>
                <w:kern w:val="0"/>
                <w:sz w:val="24"/>
              </w:rPr>
              <w:t>2.《废弃电器电子产品处理基金征收使用管理办法》（财综〔2012〕34号印发）第八条。</w:t>
            </w:r>
          </w:p>
          <w:p>
            <w:pPr>
              <w:widowControl/>
              <w:jc w:val="left"/>
              <w:textAlignment w:val="center"/>
              <w:rPr>
                <w:rFonts w:ascii="宋体" w:hAnsi="宋体" w:cs="宋体"/>
                <w:kern w:val="0"/>
                <w:sz w:val="24"/>
              </w:rPr>
            </w:pPr>
            <w:r>
              <w:rPr>
                <w:rFonts w:hint="eastAsia" w:ascii="宋体" w:hAnsi="宋体" w:cs="宋体"/>
                <w:kern w:val="0"/>
                <w:sz w:val="24"/>
              </w:rPr>
              <w:t>3.《废弃电器电子产品处理基金征收管理规定》（国家税务总局公告2012年第41号发布，国家税务总局公告2015年第62号、2018年第31号修改）第四条。</w:t>
            </w:r>
          </w:p>
          <w:p>
            <w:pPr>
              <w:widowControl/>
              <w:jc w:val="left"/>
              <w:textAlignment w:val="center"/>
              <w:rPr>
                <w:rFonts w:ascii="宋体" w:hAnsi="宋体" w:cs="宋体"/>
                <w:sz w:val="24"/>
              </w:rPr>
            </w:pPr>
          </w:p>
        </w:tc>
        <w:tc>
          <w:tcPr>
            <w:tcW w:w="11242" w:type="dxa"/>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2.税务机关对电器电子产品生产者征收基金，适用税收征收管理的规定；</w:t>
            </w:r>
          </w:p>
          <w:p>
            <w:pPr>
              <w:widowControl/>
              <w:jc w:val="left"/>
              <w:textAlignment w:val="center"/>
              <w:rPr>
                <w:rFonts w:ascii="宋体" w:hAnsi="宋体" w:cs="宋体"/>
                <w:kern w:val="0"/>
                <w:sz w:val="24"/>
              </w:rPr>
            </w:pPr>
            <w:r>
              <w:rPr>
                <w:rFonts w:hint="eastAsia" w:ascii="宋体" w:hAnsi="宋体" w:cs="宋体"/>
                <w:kern w:val="0"/>
                <w:sz w:val="24"/>
              </w:rPr>
              <w:t>3.税务机关征收基金应使用税收票证。</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基金缴纳义务人违反基金征收管理规定的，税务机关比照税收违法行为予以行政处罚。</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电器电子产品生产者应缴纳的基金，由税务局负责征收。进口电器电子产品的收货人或者其代理人应缴纳的基金，由海关负责征收。</w:t>
            </w:r>
          </w:p>
        </w:tc>
        <w:tc>
          <w:tcPr>
            <w:tcW w:w="3365" w:type="dxa"/>
            <w:gridSpan w:val="2"/>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3" w:hRule="atLeast"/>
        </w:trPr>
        <w:tc>
          <w:tcPr>
            <w:tcW w:w="787" w:type="dxa"/>
            <w:gridSpan w:val="2"/>
            <w:tcMar>
              <w:top w:w="10" w:type="dxa"/>
              <w:left w:w="10" w:type="dxa"/>
              <w:right w:w="10" w:type="dxa"/>
            </w:tcMar>
            <w:vAlign w:val="center"/>
          </w:tcPr>
          <w:p>
            <w:pPr>
              <w:jc w:val="center"/>
              <w:rPr>
                <w:rFonts w:ascii="宋体" w:hAnsi="宋体" w:cs="宋体"/>
                <w:sz w:val="24"/>
              </w:rPr>
            </w:pPr>
            <w:r>
              <w:rPr>
                <w:rFonts w:hint="eastAsia" w:ascii="宋体" w:hAnsi="宋体" w:cs="宋体"/>
                <w:sz w:val="24"/>
              </w:rPr>
              <w:t>1</w:t>
            </w:r>
            <w:r>
              <w:rPr>
                <w:rFonts w:ascii="宋体" w:hAnsi="宋体" w:cs="宋体"/>
                <w:sz w:val="24"/>
              </w:rPr>
              <w:t>.28</w:t>
            </w:r>
          </w:p>
        </w:tc>
        <w:tc>
          <w:tcPr>
            <w:tcW w:w="1175" w:type="dxa"/>
            <w:tcMar>
              <w:top w:w="10" w:type="dxa"/>
              <w:left w:w="10" w:type="dxa"/>
              <w:right w:w="10" w:type="dxa"/>
            </w:tcMar>
            <w:vAlign w:val="center"/>
          </w:tcPr>
          <w:p>
            <w:pPr>
              <w:jc w:val="left"/>
              <w:rPr>
                <w:rFonts w:ascii="宋体" w:hAnsi="宋体" w:cs="宋体"/>
                <w:sz w:val="24"/>
              </w:rPr>
            </w:pPr>
            <w:r>
              <w:rPr>
                <w:rFonts w:hint="eastAsia" w:ascii="宋体" w:hAnsi="宋体" w:cs="宋体"/>
                <w:sz w:val="24"/>
              </w:rPr>
              <w:t>非税收入征收</w:t>
            </w:r>
          </w:p>
        </w:tc>
        <w:tc>
          <w:tcPr>
            <w:tcW w:w="1037" w:type="dxa"/>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1.28.6国家重大水利工程建设基金征收</w:t>
            </w:r>
          </w:p>
        </w:tc>
        <w:tc>
          <w:tcPr>
            <w:tcW w:w="3063" w:type="dxa"/>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1.《国家重大水利工程建设基金征收使用管理暂行办法》（财综</w:t>
            </w:r>
            <w:r>
              <w:rPr>
                <w:rFonts w:ascii="宋体" w:hAnsi="宋体" w:cs="宋体"/>
                <w:kern w:val="0"/>
                <w:sz w:val="24"/>
              </w:rPr>
              <w:t>[2009]90</w:t>
            </w:r>
            <w:r>
              <w:rPr>
                <w:rFonts w:hint="eastAsia" w:ascii="宋体" w:hAnsi="宋体" w:cs="宋体"/>
                <w:kern w:val="0"/>
                <w:sz w:val="24"/>
              </w:rPr>
              <w:t>号）第五条。</w:t>
            </w:r>
          </w:p>
          <w:p>
            <w:pPr>
              <w:widowControl/>
              <w:jc w:val="left"/>
              <w:textAlignment w:val="center"/>
              <w:rPr>
                <w:rFonts w:ascii="宋体" w:hAnsi="宋体" w:cs="宋体"/>
                <w:kern w:val="0"/>
                <w:sz w:val="24"/>
              </w:rPr>
            </w:pPr>
            <w:r>
              <w:rPr>
                <w:rFonts w:hint="eastAsia" w:ascii="宋体" w:hAnsi="宋体" w:cs="宋体"/>
                <w:kern w:val="0"/>
                <w:sz w:val="24"/>
              </w:rPr>
              <w:t>2.《国家税务总局关于国家重大水利工程建设基金等政府非税收入项目征管职责划转有关事项的公告》（</w:t>
            </w:r>
            <w:r>
              <w:rPr>
                <w:rFonts w:ascii="宋体" w:hAnsi="宋体" w:cs="宋体"/>
                <w:kern w:val="0"/>
                <w:sz w:val="24"/>
              </w:rPr>
              <w:t>2018年第63号）</w:t>
            </w:r>
            <w:r>
              <w:rPr>
                <w:rFonts w:hint="eastAsia" w:ascii="宋体" w:hAnsi="宋体" w:cs="宋体"/>
                <w:kern w:val="0"/>
                <w:sz w:val="24"/>
              </w:rPr>
              <w:t>第一条。</w:t>
            </w:r>
          </w:p>
          <w:p>
            <w:pPr>
              <w:jc w:val="left"/>
              <w:rPr>
                <w:rFonts w:ascii="宋体" w:hAnsi="宋体" w:cs="宋体"/>
                <w:kern w:val="0"/>
                <w:sz w:val="24"/>
              </w:rPr>
            </w:pPr>
            <w:r>
              <w:rPr>
                <w:rFonts w:hint="eastAsia" w:ascii="宋体" w:hAnsi="宋体" w:cs="宋体"/>
                <w:kern w:val="0"/>
                <w:sz w:val="24"/>
              </w:rPr>
              <w:t>3.《财政部关于调整部分政府性基金有关政策的通知》（财税[2019]46号）第二条。</w:t>
            </w:r>
            <w:r>
              <w:rPr>
                <w:rFonts w:hint="eastAsia" w:ascii="仿宋_GB2312" w:eastAsia="仿宋_GB2312"/>
                <w:sz w:val="24"/>
              </w:rPr>
              <w:t xml:space="preserve">   </w:t>
            </w:r>
          </w:p>
          <w:p>
            <w:pPr>
              <w:widowControl/>
              <w:jc w:val="left"/>
              <w:textAlignment w:val="center"/>
              <w:rPr>
                <w:rFonts w:ascii="宋体" w:hAnsi="宋体" w:cs="宋体"/>
                <w:kern w:val="0"/>
                <w:sz w:val="24"/>
              </w:rPr>
            </w:pPr>
          </w:p>
        </w:tc>
        <w:tc>
          <w:tcPr>
            <w:tcW w:w="11242" w:type="dxa"/>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ascii="宋体" w:hAnsi="宋体" w:cs="宋体"/>
                <w:kern w:val="0"/>
                <w:sz w:val="24"/>
              </w:rPr>
              <w:t>2.税务</w:t>
            </w:r>
            <w:r>
              <w:rPr>
                <w:rFonts w:hint="eastAsia" w:ascii="宋体" w:hAnsi="宋体" w:cs="宋体"/>
                <w:kern w:val="0"/>
                <w:sz w:val="24"/>
              </w:rPr>
              <w:t xml:space="preserve">机关委托省级电网企业代征国家重大水利工程建设基金； </w:t>
            </w:r>
          </w:p>
          <w:p>
            <w:pPr>
              <w:widowControl/>
              <w:jc w:val="left"/>
              <w:textAlignment w:val="center"/>
              <w:rPr>
                <w:rFonts w:ascii="宋体" w:hAnsi="宋体" w:cs="宋体"/>
                <w:kern w:val="0"/>
                <w:sz w:val="24"/>
              </w:rPr>
            </w:pPr>
            <w:r>
              <w:rPr>
                <w:rFonts w:ascii="宋体" w:hAnsi="宋体" w:cs="宋体"/>
                <w:kern w:val="0"/>
                <w:sz w:val="24"/>
              </w:rPr>
              <w:t>3.税务机关征收基金应使用</w:t>
            </w:r>
            <w:r>
              <w:rPr>
                <w:rFonts w:hint="eastAsia" w:ascii="宋体" w:hAnsi="宋体" w:cs="宋体"/>
                <w:kern w:val="0"/>
                <w:sz w:val="24"/>
              </w:rPr>
              <w:t>中央非税收入统一票据。</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税务机关应当进行日常管理，发现缴纳义务人不按期缴纳或少缴费款的，进行催报催缴，仍不按期缴纳的，提交财政部门责令限期缴纳，并从滞纳之日起按日加收滞纳部分的滞纳金。</w:t>
            </w:r>
          </w:p>
          <w:p>
            <w:pPr>
              <w:widowControl/>
              <w:jc w:val="left"/>
              <w:textAlignment w:val="center"/>
              <w:rPr>
                <w:rFonts w:ascii="宋体" w:hAnsi="宋体" w:cs="宋体"/>
                <w:kern w:val="0"/>
                <w:sz w:val="24"/>
              </w:rPr>
            </w:pPr>
          </w:p>
        </w:tc>
        <w:tc>
          <w:tcPr>
            <w:tcW w:w="3365" w:type="dxa"/>
            <w:gridSpan w:val="2"/>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1.多征、减征、缓征、停征，或者侵占、截留、挪用重大水利工程建设基金的，依照有关规定进行处罚或行政处分，涉嫌犯罪的移送司法机关处理；</w:t>
            </w:r>
          </w:p>
          <w:p>
            <w:pPr>
              <w:widowControl/>
              <w:jc w:val="left"/>
              <w:textAlignment w:val="center"/>
              <w:rPr>
                <w:rFonts w:ascii="宋体" w:hAnsi="宋体" w:cs="宋体"/>
                <w:kern w:val="0"/>
                <w:sz w:val="24"/>
              </w:rPr>
            </w:pPr>
            <w:r>
              <w:rPr>
                <w:rFonts w:hint="eastAsia" w:ascii="宋体" w:hAnsi="宋体" w:cs="宋体"/>
                <w:kern w:val="0"/>
                <w:sz w:val="24"/>
              </w:rPr>
              <w:t>2.不按照规定的预算级次、预算科目将费款缴入国库的；</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3" w:hRule="atLeast"/>
        </w:trPr>
        <w:tc>
          <w:tcPr>
            <w:tcW w:w="787" w:type="dxa"/>
            <w:gridSpan w:val="2"/>
            <w:tcMar>
              <w:top w:w="10" w:type="dxa"/>
              <w:left w:w="10" w:type="dxa"/>
              <w:right w:w="10" w:type="dxa"/>
            </w:tcMar>
            <w:vAlign w:val="center"/>
          </w:tcPr>
          <w:p>
            <w:pPr>
              <w:jc w:val="center"/>
              <w:rPr>
                <w:rFonts w:ascii="宋体" w:hAnsi="宋体" w:cs="宋体"/>
                <w:sz w:val="24"/>
              </w:rPr>
            </w:pPr>
            <w:r>
              <w:rPr>
                <w:rFonts w:hint="eastAsia" w:ascii="宋体" w:hAnsi="宋体" w:cs="宋体"/>
                <w:sz w:val="24"/>
              </w:rPr>
              <w:t>1</w:t>
            </w:r>
            <w:r>
              <w:rPr>
                <w:rFonts w:ascii="宋体" w:hAnsi="宋体" w:cs="宋体"/>
                <w:sz w:val="24"/>
              </w:rPr>
              <w:t>.28</w:t>
            </w:r>
          </w:p>
        </w:tc>
        <w:tc>
          <w:tcPr>
            <w:tcW w:w="1175" w:type="dxa"/>
            <w:tcMar>
              <w:top w:w="10" w:type="dxa"/>
              <w:left w:w="10" w:type="dxa"/>
              <w:right w:w="10" w:type="dxa"/>
            </w:tcMar>
            <w:vAlign w:val="center"/>
          </w:tcPr>
          <w:p>
            <w:pPr>
              <w:jc w:val="left"/>
              <w:rPr>
                <w:rFonts w:ascii="宋体" w:hAnsi="宋体" w:cs="宋体"/>
                <w:sz w:val="24"/>
              </w:rPr>
            </w:pPr>
            <w:r>
              <w:rPr>
                <w:rFonts w:hint="eastAsia" w:ascii="宋体" w:hAnsi="宋体" w:cs="宋体"/>
                <w:sz w:val="24"/>
              </w:rPr>
              <w:t>非税收入征收</w:t>
            </w:r>
          </w:p>
        </w:tc>
        <w:tc>
          <w:tcPr>
            <w:tcW w:w="1037" w:type="dxa"/>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1.28.7 可再生能源发展基金</w:t>
            </w:r>
          </w:p>
        </w:tc>
        <w:tc>
          <w:tcPr>
            <w:tcW w:w="3063" w:type="dxa"/>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1.《可再生能源发展基金征收使用管理暂行办法》（财综</w:t>
            </w:r>
            <w:r>
              <w:rPr>
                <w:rFonts w:ascii="宋体" w:hAnsi="宋体" w:cs="宋体"/>
                <w:kern w:val="0"/>
                <w:sz w:val="24"/>
              </w:rPr>
              <w:t>[2011]115</w:t>
            </w:r>
            <w:r>
              <w:rPr>
                <w:rFonts w:hint="eastAsia" w:ascii="宋体" w:hAnsi="宋体" w:cs="宋体"/>
                <w:kern w:val="0"/>
                <w:sz w:val="24"/>
              </w:rPr>
              <w:t>号）第五条。</w:t>
            </w:r>
          </w:p>
          <w:p>
            <w:pPr>
              <w:widowControl/>
              <w:jc w:val="left"/>
              <w:textAlignment w:val="center"/>
              <w:rPr>
                <w:rFonts w:ascii="宋体" w:hAnsi="宋体" w:cs="宋体"/>
                <w:kern w:val="0"/>
                <w:sz w:val="24"/>
              </w:rPr>
            </w:pPr>
            <w:r>
              <w:rPr>
                <w:rFonts w:hint="eastAsia" w:ascii="宋体" w:hAnsi="宋体" w:cs="宋体"/>
                <w:kern w:val="0"/>
                <w:sz w:val="24"/>
              </w:rPr>
              <w:t>2.《国家税务总局关于国家重大水利工程建设基金等政府非税收入项目征管职责划转有关事项的公告》（2018年第63号）第一条。</w:t>
            </w:r>
          </w:p>
        </w:tc>
        <w:tc>
          <w:tcPr>
            <w:tcW w:w="11242" w:type="dxa"/>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ascii="宋体" w:hAnsi="宋体" w:cs="宋体"/>
                <w:kern w:val="0"/>
                <w:sz w:val="24"/>
              </w:rPr>
              <w:t>2.税务</w:t>
            </w:r>
            <w:r>
              <w:rPr>
                <w:rFonts w:hint="eastAsia" w:ascii="宋体" w:hAnsi="宋体" w:cs="宋体"/>
                <w:kern w:val="0"/>
                <w:sz w:val="24"/>
              </w:rPr>
              <w:t>机关委托省级电网企业代征可再生能源发展基金；</w:t>
            </w:r>
          </w:p>
          <w:p>
            <w:pPr>
              <w:widowControl/>
              <w:jc w:val="left"/>
              <w:textAlignment w:val="center"/>
              <w:rPr>
                <w:rFonts w:ascii="宋体" w:hAnsi="宋体" w:cs="宋体"/>
                <w:kern w:val="0"/>
                <w:sz w:val="24"/>
              </w:rPr>
            </w:pPr>
            <w:r>
              <w:rPr>
                <w:rFonts w:ascii="宋体" w:hAnsi="宋体" w:cs="宋体"/>
                <w:kern w:val="0"/>
                <w:sz w:val="24"/>
              </w:rPr>
              <w:t>3.税务机关征收</w:t>
            </w:r>
            <w:r>
              <w:rPr>
                <w:rFonts w:hint="eastAsia" w:ascii="宋体" w:hAnsi="宋体" w:cs="宋体"/>
                <w:kern w:val="0"/>
                <w:sz w:val="24"/>
              </w:rPr>
              <w:t>可再生能源发展基金</w:t>
            </w:r>
            <w:r>
              <w:rPr>
                <w:rFonts w:ascii="宋体" w:hAnsi="宋体" w:cs="宋体"/>
                <w:kern w:val="0"/>
                <w:sz w:val="24"/>
              </w:rPr>
              <w:t>应使用</w:t>
            </w:r>
            <w:r>
              <w:rPr>
                <w:rFonts w:hint="eastAsia" w:ascii="宋体" w:hAnsi="宋体" w:cs="宋体"/>
                <w:kern w:val="0"/>
                <w:sz w:val="24"/>
              </w:rPr>
              <w:t>中央非税收入统一票据。</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税务机关应当进行日常管理，发现缴纳义务人不按期缴纳及少缴费款的，进行催报催缴。</w:t>
            </w:r>
          </w:p>
          <w:p>
            <w:pPr>
              <w:widowControl/>
              <w:jc w:val="left"/>
              <w:textAlignment w:val="center"/>
              <w:rPr>
                <w:rFonts w:ascii="宋体" w:hAnsi="宋体" w:cs="宋体"/>
                <w:kern w:val="0"/>
                <w:sz w:val="24"/>
              </w:rPr>
            </w:pPr>
          </w:p>
        </w:tc>
        <w:tc>
          <w:tcPr>
            <w:tcW w:w="3365" w:type="dxa"/>
            <w:gridSpan w:val="2"/>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1.未经批准，多征、减征、缓征、停征，或截留、挤占、挪用可再生能源电价附加收入的，依照有关法律法规追究法律责任；</w:t>
            </w:r>
          </w:p>
          <w:p>
            <w:pPr>
              <w:widowControl/>
              <w:jc w:val="left"/>
              <w:textAlignment w:val="center"/>
              <w:rPr>
                <w:rFonts w:ascii="宋体" w:hAnsi="宋体" w:cs="宋体"/>
                <w:kern w:val="0"/>
                <w:sz w:val="24"/>
              </w:rPr>
            </w:pPr>
            <w:r>
              <w:rPr>
                <w:rFonts w:hint="eastAsia" w:ascii="宋体" w:hAnsi="宋体" w:cs="宋体"/>
                <w:kern w:val="0"/>
                <w:sz w:val="24"/>
              </w:rPr>
              <w:t>2.不按照规定的预算级次、预算科目将费款缴入国库的；</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0" w:hRule="atLeast"/>
        </w:trPr>
        <w:tc>
          <w:tcPr>
            <w:tcW w:w="787" w:type="dxa"/>
            <w:gridSpan w:val="2"/>
            <w:tcMar>
              <w:top w:w="10" w:type="dxa"/>
              <w:left w:w="10" w:type="dxa"/>
              <w:right w:w="10" w:type="dxa"/>
            </w:tcMar>
            <w:vAlign w:val="center"/>
          </w:tcPr>
          <w:p>
            <w:pPr>
              <w:jc w:val="center"/>
              <w:rPr>
                <w:rFonts w:ascii="宋体" w:hAnsi="宋体" w:cs="宋体"/>
                <w:sz w:val="24"/>
              </w:rPr>
            </w:pPr>
            <w:r>
              <w:rPr>
                <w:rFonts w:hint="eastAsia" w:ascii="宋体" w:hAnsi="宋体" w:cs="宋体"/>
                <w:sz w:val="24"/>
              </w:rPr>
              <w:t>1</w:t>
            </w:r>
            <w:r>
              <w:rPr>
                <w:rFonts w:ascii="宋体" w:hAnsi="宋体" w:cs="宋体"/>
                <w:sz w:val="24"/>
              </w:rPr>
              <w:t>.28</w:t>
            </w:r>
          </w:p>
        </w:tc>
        <w:tc>
          <w:tcPr>
            <w:tcW w:w="1175" w:type="dxa"/>
            <w:tcMar>
              <w:top w:w="10" w:type="dxa"/>
              <w:left w:w="10" w:type="dxa"/>
              <w:right w:w="10" w:type="dxa"/>
            </w:tcMar>
            <w:vAlign w:val="center"/>
          </w:tcPr>
          <w:p>
            <w:pPr>
              <w:jc w:val="left"/>
              <w:rPr>
                <w:rFonts w:ascii="宋体" w:hAnsi="宋体" w:cs="宋体"/>
                <w:sz w:val="24"/>
              </w:rPr>
            </w:pPr>
            <w:r>
              <w:rPr>
                <w:rFonts w:hint="eastAsia" w:ascii="宋体" w:hAnsi="宋体" w:cs="宋体"/>
                <w:sz w:val="24"/>
              </w:rPr>
              <w:t>非税收入征收</w:t>
            </w:r>
          </w:p>
        </w:tc>
        <w:tc>
          <w:tcPr>
            <w:tcW w:w="1037" w:type="dxa"/>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1.28.8大中型水库移民后期扶持基金</w:t>
            </w:r>
          </w:p>
        </w:tc>
        <w:tc>
          <w:tcPr>
            <w:tcW w:w="3063" w:type="dxa"/>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1.《大中型水库移民后期扶持基金征收使用管理暂行办法》（财综[2006]29号）第五条、第七条。</w:t>
            </w:r>
          </w:p>
          <w:p>
            <w:pPr>
              <w:widowControl/>
              <w:jc w:val="left"/>
              <w:textAlignment w:val="center"/>
              <w:rPr>
                <w:rFonts w:ascii="宋体" w:hAnsi="宋体" w:cs="宋体"/>
                <w:kern w:val="0"/>
                <w:sz w:val="24"/>
              </w:rPr>
            </w:pPr>
            <w:r>
              <w:rPr>
                <w:rFonts w:hint="eastAsia" w:ascii="宋体" w:hAnsi="宋体" w:cs="宋体"/>
                <w:kern w:val="0"/>
                <w:sz w:val="24"/>
              </w:rPr>
              <w:t>2.《国家税务总局关于国家重大水利工程建设基金等政府非税收入项目征管职责划转有关事项的公告》（2018年第63号）第一条。</w:t>
            </w:r>
          </w:p>
        </w:tc>
        <w:tc>
          <w:tcPr>
            <w:tcW w:w="11242" w:type="dxa"/>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ascii="宋体" w:hAnsi="宋体" w:cs="宋体"/>
                <w:kern w:val="0"/>
                <w:sz w:val="24"/>
              </w:rPr>
              <w:t>2.税务</w:t>
            </w:r>
            <w:r>
              <w:rPr>
                <w:rFonts w:hint="eastAsia" w:ascii="宋体" w:hAnsi="宋体" w:cs="宋体"/>
                <w:kern w:val="0"/>
                <w:sz w:val="24"/>
              </w:rPr>
              <w:t>机关委托省级电网企业代征大中型水库移民后期扶持基金；</w:t>
            </w:r>
          </w:p>
          <w:p>
            <w:pPr>
              <w:widowControl/>
              <w:jc w:val="left"/>
              <w:textAlignment w:val="center"/>
              <w:rPr>
                <w:rFonts w:ascii="宋体" w:hAnsi="宋体" w:cs="宋体"/>
                <w:kern w:val="0"/>
                <w:sz w:val="24"/>
              </w:rPr>
            </w:pPr>
            <w:r>
              <w:rPr>
                <w:rFonts w:ascii="宋体" w:hAnsi="宋体" w:cs="宋体"/>
                <w:kern w:val="0"/>
                <w:sz w:val="24"/>
              </w:rPr>
              <w:t>3.税务机关征收</w:t>
            </w:r>
            <w:r>
              <w:rPr>
                <w:rFonts w:hint="eastAsia" w:ascii="宋体" w:hAnsi="宋体" w:cs="宋体"/>
                <w:kern w:val="0"/>
                <w:sz w:val="24"/>
              </w:rPr>
              <w:t>大中型水库移民后期扶持基金</w:t>
            </w:r>
            <w:r>
              <w:rPr>
                <w:rFonts w:ascii="宋体" w:hAnsi="宋体" w:cs="宋体"/>
                <w:kern w:val="0"/>
                <w:sz w:val="24"/>
              </w:rPr>
              <w:t>应使用</w:t>
            </w:r>
            <w:r>
              <w:rPr>
                <w:rFonts w:hint="eastAsia" w:ascii="宋体" w:hAnsi="宋体" w:cs="宋体"/>
                <w:kern w:val="0"/>
                <w:sz w:val="24"/>
              </w:rPr>
              <w:t>中央非税收入统一票据。</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税务机关应当进行日常管理，发现缴纳义务人不按期缴纳或少缴费款的，进行催报催缴，仍不按期缴纳的，责令限期缴纳，并从滞纳之日起按日加收滞纳部分的滞纳金。</w:t>
            </w:r>
          </w:p>
          <w:p>
            <w:pPr>
              <w:widowControl/>
              <w:jc w:val="left"/>
              <w:textAlignment w:val="center"/>
              <w:rPr>
                <w:rFonts w:ascii="宋体" w:hAnsi="宋体" w:cs="宋体"/>
                <w:kern w:val="0"/>
                <w:sz w:val="24"/>
              </w:rPr>
            </w:pPr>
          </w:p>
        </w:tc>
        <w:tc>
          <w:tcPr>
            <w:tcW w:w="3365" w:type="dxa"/>
            <w:gridSpan w:val="2"/>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1.擅自改变征收范围、标准、对象和期限，以及截留、挤占、挪用大中型水库移民后期扶持基金的，按照有关规定进行处罚，触犯刑法的，移送司法机关处理；</w:t>
            </w:r>
          </w:p>
          <w:p>
            <w:pPr>
              <w:widowControl/>
              <w:jc w:val="left"/>
              <w:textAlignment w:val="center"/>
              <w:rPr>
                <w:rFonts w:ascii="宋体" w:hAnsi="宋体" w:cs="宋体"/>
                <w:kern w:val="0"/>
                <w:sz w:val="24"/>
              </w:rPr>
            </w:pPr>
            <w:r>
              <w:rPr>
                <w:rFonts w:hint="eastAsia" w:ascii="宋体" w:hAnsi="宋体" w:cs="宋体"/>
                <w:kern w:val="0"/>
                <w:sz w:val="24"/>
              </w:rPr>
              <w:t>2. 不按照规定的预算级次、预算科目将费款缴入国库的；</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9" w:hRule="atLeast"/>
        </w:trPr>
        <w:tc>
          <w:tcPr>
            <w:tcW w:w="787" w:type="dxa"/>
            <w:gridSpan w:val="2"/>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宋体" w:hAnsi="宋体" w:cs="宋体"/>
                <w:sz w:val="24"/>
              </w:rPr>
            </w:pPr>
            <w:r>
              <w:rPr>
                <w:rFonts w:hint="eastAsia" w:ascii="宋体" w:hAnsi="宋体" w:cs="宋体"/>
                <w:sz w:val="24"/>
              </w:rPr>
              <w:t>1</w:t>
            </w:r>
            <w:r>
              <w:rPr>
                <w:rFonts w:ascii="宋体" w:hAnsi="宋体" w:cs="宋体"/>
                <w:sz w:val="24"/>
              </w:rPr>
              <w:t>.28</w:t>
            </w:r>
          </w:p>
        </w:tc>
        <w:tc>
          <w:tcPr>
            <w:tcW w:w="117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left"/>
              <w:rPr>
                <w:rFonts w:ascii="宋体" w:hAnsi="宋体" w:cs="宋体"/>
                <w:sz w:val="24"/>
              </w:rPr>
            </w:pPr>
            <w:r>
              <w:rPr>
                <w:rFonts w:hint="eastAsia" w:ascii="宋体" w:hAnsi="宋体" w:cs="宋体"/>
                <w:sz w:val="24"/>
              </w:rPr>
              <w:t>非税收入征收</w:t>
            </w:r>
          </w:p>
        </w:tc>
        <w:tc>
          <w:tcPr>
            <w:tcW w:w="103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Style w:val="14"/>
                <w:rFonts w:ascii="宋体" w:hAnsi="宋体" w:cs="宋体"/>
                <w:b w:val="0"/>
                <w:bCs w:val="0"/>
                <w:kern w:val="0"/>
                <w:sz w:val="24"/>
                <w:szCs w:val="24"/>
              </w:rPr>
            </w:pPr>
            <w:r>
              <w:rPr>
                <w:rFonts w:hint="eastAsia" w:ascii="宋体" w:hAnsi="宋体" w:cs="宋体"/>
                <w:kern w:val="0"/>
                <w:sz w:val="24"/>
              </w:rPr>
              <w:t>1.28.9跨省际大中型水库库区基金</w:t>
            </w:r>
          </w:p>
          <w:p>
            <w:pPr>
              <w:widowControl/>
              <w:jc w:val="left"/>
              <w:textAlignment w:val="center"/>
              <w:rPr>
                <w:rFonts w:ascii="宋体" w:hAnsi="宋体" w:cs="宋体"/>
                <w:kern w:val="0"/>
                <w:sz w:val="24"/>
              </w:rPr>
            </w:pPr>
            <w:r>
              <w:rPr>
                <w:rFonts w:hint="eastAsia" w:ascii="宋体" w:hAnsi="宋体" w:cs="宋体"/>
                <w:kern w:val="0"/>
                <w:sz w:val="24"/>
              </w:rPr>
              <w:t>征收</w:t>
            </w:r>
          </w:p>
        </w:tc>
        <w:tc>
          <w:tcPr>
            <w:tcW w:w="306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1.《大中型水库库区基金征收使用管理暂行办法》（财综</w:t>
            </w:r>
            <w:r>
              <w:rPr>
                <w:rFonts w:ascii="宋体" w:hAnsi="宋体" w:cs="宋体"/>
                <w:kern w:val="0"/>
                <w:sz w:val="24"/>
              </w:rPr>
              <w:t>[20</w:t>
            </w:r>
            <w:r>
              <w:rPr>
                <w:rFonts w:hint="eastAsia" w:ascii="宋体" w:hAnsi="宋体" w:cs="宋体"/>
                <w:kern w:val="0"/>
                <w:sz w:val="24"/>
              </w:rPr>
              <w:t>07</w:t>
            </w:r>
            <w:r>
              <w:rPr>
                <w:rFonts w:ascii="宋体" w:hAnsi="宋体" w:cs="宋体"/>
                <w:kern w:val="0"/>
                <w:sz w:val="24"/>
              </w:rPr>
              <w:t>]</w:t>
            </w:r>
            <w:r>
              <w:rPr>
                <w:rFonts w:hint="eastAsia" w:ascii="宋体" w:hAnsi="宋体" w:cs="宋体"/>
                <w:kern w:val="0"/>
                <w:sz w:val="24"/>
              </w:rPr>
              <w:t>26号）第二条。</w:t>
            </w:r>
          </w:p>
          <w:p>
            <w:pPr>
              <w:widowControl/>
              <w:jc w:val="left"/>
              <w:textAlignment w:val="center"/>
              <w:rPr>
                <w:rFonts w:ascii="宋体" w:hAnsi="宋体" w:cs="宋体"/>
                <w:kern w:val="0"/>
                <w:sz w:val="24"/>
              </w:rPr>
            </w:pPr>
            <w:r>
              <w:rPr>
                <w:rFonts w:hint="eastAsia" w:ascii="宋体" w:hAnsi="宋体" w:cs="宋体"/>
                <w:kern w:val="0"/>
                <w:sz w:val="24"/>
              </w:rPr>
              <w:t>2.《财政部关于征收跨省际大中型水库库区基金有关问题的通知》（财综〔</w:t>
            </w:r>
            <w:r>
              <w:rPr>
                <w:rFonts w:ascii="宋体" w:hAnsi="宋体" w:cs="宋体"/>
                <w:kern w:val="0"/>
                <w:sz w:val="24"/>
              </w:rPr>
              <w:t>2009</w:t>
            </w:r>
            <w:r>
              <w:rPr>
                <w:rFonts w:hint="eastAsia" w:ascii="宋体" w:hAnsi="宋体" w:cs="宋体"/>
                <w:kern w:val="0"/>
                <w:sz w:val="24"/>
              </w:rPr>
              <w:t>〕</w:t>
            </w:r>
            <w:r>
              <w:rPr>
                <w:rFonts w:ascii="宋体" w:hAnsi="宋体" w:cs="宋体"/>
                <w:kern w:val="0"/>
                <w:sz w:val="24"/>
              </w:rPr>
              <w:t>59</w:t>
            </w:r>
            <w:r>
              <w:rPr>
                <w:rFonts w:hint="eastAsia" w:ascii="宋体" w:hAnsi="宋体" w:cs="宋体"/>
                <w:kern w:val="0"/>
                <w:sz w:val="24"/>
              </w:rPr>
              <w:t>号）第一条。</w:t>
            </w:r>
          </w:p>
          <w:p>
            <w:pPr>
              <w:widowControl/>
              <w:jc w:val="left"/>
              <w:textAlignment w:val="center"/>
              <w:rPr>
                <w:rFonts w:ascii="宋体" w:hAnsi="宋体" w:cs="宋体"/>
                <w:kern w:val="0"/>
                <w:sz w:val="24"/>
              </w:rPr>
            </w:pPr>
            <w:r>
              <w:rPr>
                <w:rFonts w:hint="eastAsia" w:ascii="宋体" w:hAnsi="宋体" w:cs="宋体"/>
                <w:kern w:val="0"/>
                <w:sz w:val="24"/>
              </w:rPr>
              <w:t>3 .《国家税务总局关于国家重大水利工程建设基金等政府非税收入项目征管职责划转有关事项的公告》（2018年第63号）第一条。</w:t>
            </w:r>
          </w:p>
          <w:p>
            <w:pPr>
              <w:widowControl/>
              <w:jc w:val="left"/>
              <w:textAlignment w:val="center"/>
              <w:rPr>
                <w:rFonts w:ascii="宋体" w:hAnsi="宋体" w:cs="宋体"/>
                <w:kern w:val="0"/>
                <w:sz w:val="24"/>
              </w:rPr>
            </w:pPr>
          </w:p>
        </w:tc>
        <w:tc>
          <w:tcPr>
            <w:tcW w:w="11242"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2.税务机关对水库发电企业征收跨省际大中型水库库区基金；</w:t>
            </w:r>
          </w:p>
          <w:p>
            <w:pPr>
              <w:widowControl/>
              <w:jc w:val="left"/>
              <w:textAlignment w:val="center"/>
              <w:rPr>
                <w:rFonts w:ascii="宋体" w:hAnsi="宋体" w:cs="宋体"/>
                <w:kern w:val="0"/>
                <w:sz w:val="24"/>
              </w:rPr>
            </w:pPr>
            <w:r>
              <w:rPr>
                <w:rFonts w:ascii="宋体" w:hAnsi="宋体" w:cs="宋体"/>
                <w:kern w:val="0"/>
                <w:sz w:val="24"/>
              </w:rPr>
              <w:t>3.税务机关征收</w:t>
            </w:r>
            <w:r>
              <w:rPr>
                <w:rFonts w:hint="eastAsia" w:ascii="宋体" w:hAnsi="宋体" w:cs="宋体"/>
                <w:kern w:val="0"/>
                <w:sz w:val="24"/>
              </w:rPr>
              <w:t>跨省际大中型水库库区基金</w:t>
            </w:r>
            <w:r>
              <w:rPr>
                <w:rFonts w:ascii="宋体" w:hAnsi="宋体" w:cs="宋体"/>
                <w:kern w:val="0"/>
                <w:sz w:val="24"/>
              </w:rPr>
              <w:t>应使用</w:t>
            </w:r>
            <w:r>
              <w:rPr>
                <w:rFonts w:hint="eastAsia" w:ascii="宋体" w:hAnsi="宋体" w:cs="宋体"/>
                <w:kern w:val="0"/>
                <w:sz w:val="24"/>
              </w:rPr>
              <w:t>中央非税收入统一票据。</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税务机关应当进行日常管理，发现缴纳义务人不按期缴纳及少缴费款的，进行催报催缴。</w:t>
            </w:r>
          </w:p>
          <w:p>
            <w:pPr>
              <w:widowControl/>
              <w:jc w:val="left"/>
              <w:textAlignment w:val="center"/>
              <w:rPr>
                <w:rFonts w:ascii="宋体" w:hAnsi="宋体" w:cs="宋体"/>
                <w:kern w:val="0"/>
                <w:sz w:val="24"/>
              </w:rPr>
            </w:pPr>
          </w:p>
        </w:tc>
        <w:tc>
          <w:tcPr>
            <w:tcW w:w="3365" w:type="dxa"/>
            <w:gridSpan w:val="2"/>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1.擅自改变征收范围、标准、对象和期限，以及截留、挤占、挪用跨省际大中型水库库区基金的，按照有关规定进行处罚，构成犯罪的，移送司法机关处理；</w:t>
            </w:r>
          </w:p>
          <w:p>
            <w:pPr>
              <w:widowControl/>
              <w:jc w:val="left"/>
              <w:textAlignment w:val="center"/>
              <w:rPr>
                <w:rFonts w:ascii="宋体" w:hAnsi="宋体" w:cs="宋体"/>
                <w:kern w:val="0"/>
                <w:sz w:val="24"/>
              </w:rPr>
            </w:pPr>
            <w:r>
              <w:rPr>
                <w:rFonts w:hint="eastAsia" w:ascii="宋体" w:hAnsi="宋体" w:cs="宋体"/>
                <w:kern w:val="0"/>
                <w:sz w:val="24"/>
              </w:rPr>
              <w:t>2. 不按照规定的预算级次、预算科目将费款缴入国库的；</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0" w:hRule="atLeast"/>
        </w:trPr>
        <w:tc>
          <w:tcPr>
            <w:tcW w:w="787" w:type="dxa"/>
            <w:gridSpan w:val="2"/>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宋体" w:hAnsi="宋体" w:cs="宋体"/>
                <w:sz w:val="24"/>
              </w:rPr>
            </w:pPr>
            <w:r>
              <w:rPr>
                <w:rFonts w:hint="eastAsia" w:ascii="宋体" w:hAnsi="宋体" w:cs="宋体"/>
                <w:sz w:val="24"/>
              </w:rPr>
              <w:t>1</w:t>
            </w:r>
            <w:r>
              <w:rPr>
                <w:rFonts w:ascii="宋体" w:hAnsi="宋体" w:cs="宋体"/>
                <w:sz w:val="24"/>
              </w:rPr>
              <w:t>.28</w:t>
            </w:r>
          </w:p>
        </w:tc>
        <w:tc>
          <w:tcPr>
            <w:tcW w:w="117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left"/>
              <w:rPr>
                <w:rFonts w:ascii="宋体" w:hAnsi="宋体" w:cs="宋体"/>
                <w:sz w:val="24"/>
              </w:rPr>
            </w:pPr>
            <w:r>
              <w:rPr>
                <w:rFonts w:hint="eastAsia" w:ascii="宋体" w:hAnsi="宋体" w:cs="宋体"/>
                <w:sz w:val="24"/>
              </w:rPr>
              <w:t>非税收入征收</w:t>
            </w:r>
          </w:p>
        </w:tc>
        <w:tc>
          <w:tcPr>
            <w:tcW w:w="103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1.28.10免税商品特许经营费征收</w:t>
            </w:r>
          </w:p>
        </w:tc>
        <w:tc>
          <w:tcPr>
            <w:tcW w:w="306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1.《免税商品特许经营费缴纳办法》（财企【</w:t>
            </w:r>
            <w:r>
              <w:rPr>
                <w:rFonts w:ascii="宋体" w:hAnsi="宋体" w:cs="宋体"/>
                <w:kern w:val="0"/>
                <w:sz w:val="24"/>
              </w:rPr>
              <w:t>2004</w:t>
            </w:r>
            <w:r>
              <w:rPr>
                <w:rFonts w:hint="eastAsia" w:ascii="宋体" w:hAnsi="宋体" w:cs="宋体"/>
                <w:kern w:val="0"/>
                <w:sz w:val="24"/>
              </w:rPr>
              <w:t>】</w:t>
            </w:r>
            <w:r>
              <w:rPr>
                <w:rFonts w:ascii="宋体" w:hAnsi="宋体" w:cs="宋体"/>
                <w:kern w:val="0"/>
                <w:sz w:val="24"/>
              </w:rPr>
              <w:t>241</w:t>
            </w:r>
            <w:r>
              <w:rPr>
                <w:rFonts w:hint="eastAsia" w:ascii="宋体" w:hAnsi="宋体" w:cs="宋体"/>
                <w:kern w:val="0"/>
                <w:sz w:val="24"/>
              </w:rPr>
              <w:t>号）第四条。</w:t>
            </w:r>
          </w:p>
          <w:p>
            <w:pPr>
              <w:widowControl/>
              <w:jc w:val="left"/>
              <w:textAlignment w:val="center"/>
              <w:rPr>
                <w:rFonts w:ascii="宋体" w:hAnsi="宋体" w:cs="宋体"/>
                <w:kern w:val="0"/>
                <w:sz w:val="24"/>
              </w:rPr>
            </w:pPr>
            <w:r>
              <w:rPr>
                <w:rFonts w:hint="eastAsia" w:ascii="宋体" w:hAnsi="宋体" w:cs="宋体"/>
                <w:kern w:val="0"/>
                <w:sz w:val="24"/>
              </w:rPr>
              <w:t>2.《国家税务总局关于国家重大水利工程建设基金等政府非税收入项目征管职责划转有关事项的公告》（2018年第63号）第一条。</w:t>
            </w:r>
          </w:p>
          <w:p>
            <w:pPr>
              <w:widowControl/>
              <w:jc w:val="left"/>
              <w:textAlignment w:val="center"/>
              <w:rPr>
                <w:rFonts w:ascii="宋体" w:hAnsi="宋体" w:cs="宋体"/>
                <w:kern w:val="0"/>
                <w:sz w:val="24"/>
              </w:rPr>
            </w:pPr>
          </w:p>
        </w:tc>
        <w:tc>
          <w:tcPr>
            <w:tcW w:w="11242"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2.税务机关对经营免税商品的企业征收免税商品特许经营费；</w:t>
            </w:r>
          </w:p>
          <w:p>
            <w:pPr>
              <w:widowControl/>
              <w:jc w:val="left"/>
              <w:textAlignment w:val="center"/>
              <w:rPr>
                <w:rFonts w:ascii="宋体" w:hAnsi="宋体" w:cs="宋体"/>
                <w:kern w:val="0"/>
                <w:sz w:val="24"/>
              </w:rPr>
            </w:pPr>
            <w:r>
              <w:rPr>
                <w:rFonts w:hint="eastAsia" w:ascii="宋体" w:hAnsi="宋体" w:cs="宋体"/>
                <w:kern w:val="0"/>
                <w:sz w:val="24"/>
              </w:rPr>
              <w:t>3.税务机关征收免税商品特许经营费应使用中央非税收入统一票据。</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税务机关应当进行日常管理，发现缴纳义务人不按期缴纳及少缴费款的，进行催报催缴。</w:t>
            </w:r>
          </w:p>
          <w:p>
            <w:pPr>
              <w:widowControl/>
              <w:jc w:val="left"/>
              <w:textAlignment w:val="center"/>
              <w:rPr>
                <w:rFonts w:ascii="宋体" w:hAnsi="宋体" w:cs="宋体"/>
                <w:kern w:val="0"/>
                <w:sz w:val="24"/>
              </w:rPr>
            </w:pPr>
          </w:p>
        </w:tc>
        <w:tc>
          <w:tcPr>
            <w:tcW w:w="3365" w:type="dxa"/>
            <w:gridSpan w:val="2"/>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1.擅自改变征收范围、标准、对象和期限，以及截留、挤占、挪用免税商品特许经营费的，按照有关规定进行处罚，触犯刑法的，移送司法机关处理；</w:t>
            </w:r>
          </w:p>
          <w:p>
            <w:pPr>
              <w:widowControl/>
              <w:jc w:val="left"/>
              <w:textAlignment w:val="center"/>
              <w:rPr>
                <w:rFonts w:ascii="宋体" w:hAnsi="宋体" w:cs="宋体"/>
                <w:kern w:val="0"/>
                <w:sz w:val="24"/>
              </w:rPr>
            </w:pPr>
            <w:r>
              <w:rPr>
                <w:rFonts w:hint="eastAsia" w:ascii="宋体" w:hAnsi="宋体" w:cs="宋体"/>
                <w:kern w:val="0"/>
                <w:sz w:val="24"/>
              </w:rPr>
              <w:t>2. 不按照规定的预算级次、预算科目将费款缴入国库的；</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0" w:hRule="atLeast"/>
        </w:trPr>
        <w:tc>
          <w:tcPr>
            <w:tcW w:w="787" w:type="dxa"/>
            <w:gridSpan w:val="2"/>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宋体" w:hAnsi="宋体" w:cs="宋体"/>
                <w:sz w:val="24"/>
              </w:rPr>
            </w:pPr>
            <w:r>
              <w:rPr>
                <w:rFonts w:hint="eastAsia" w:ascii="宋体" w:hAnsi="宋体" w:cs="宋体"/>
                <w:sz w:val="24"/>
              </w:rPr>
              <w:t>1</w:t>
            </w:r>
            <w:r>
              <w:rPr>
                <w:rFonts w:ascii="宋体" w:hAnsi="宋体" w:cs="宋体"/>
                <w:sz w:val="24"/>
              </w:rPr>
              <w:t>.28</w:t>
            </w:r>
          </w:p>
        </w:tc>
        <w:tc>
          <w:tcPr>
            <w:tcW w:w="117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left"/>
              <w:rPr>
                <w:rFonts w:ascii="宋体" w:hAnsi="宋体" w:cs="宋体"/>
                <w:sz w:val="24"/>
              </w:rPr>
            </w:pPr>
            <w:r>
              <w:rPr>
                <w:rFonts w:hint="eastAsia" w:ascii="宋体" w:hAnsi="宋体" w:cs="宋体"/>
                <w:sz w:val="24"/>
              </w:rPr>
              <w:t>非税收入征收</w:t>
            </w:r>
          </w:p>
        </w:tc>
        <w:tc>
          <w:tcPr>
            <w:tcW w:w="103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1.28.11油价调控风险准备金征收</w:t>
            </w:r>
          </w:p>
        </w:tc>
        <w:tc>
          <w:tcPr>
            <w:tcW w:w="306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1.《油价调控风险准备金征收管理办法》（财税</w:t>
            </w:r>
            <w:r>
              <w:rPr>
                <w:rFonts w:ascii="宋体" w:hAnsi="宋体" w:cs="宋体"/>
                <w:kern w:val="0"/>
                <w:sz w:val="24"/>
              </w:rPr>
              <w:t>[201</w:t>
            </w:r>
            <w:r>
              <w:rPr>
                <w:rFonts w:hint="eastAsia" w:ascii="宋体" w:hAnsi="宋体" w:cs="宋体"/>
                <w:kern w:val="0"/>
                <w:sz w:val="24"/>
              </w:rPr>
              <w:t>6</w:t>
            </w:r>
            <w:r>
              <w:rPr>
                <w:rFonts w:ascii="宋体" w:hAnsi="宋体" w:cs="宋体"/>
                <w:kern w:val="0"/>
                <w:sz w:val="24"/>
              </w:rPr>
              <w:t>]1</w:t>
            </w:r>
            <w:r>
              <w:rPr>
                <w:rFonts w:hint="eastAsia" w:ascii="宋体" w:hAnsi="宋体" w:cs="宋体"/>
                <w:kern w:val="0"/>
                <w:sz w:val="24"/>
              </w:rPr>
              <w:t>37号）第四条。</w:t>
            </w:r>
          </w:p>
          <w:p>
            <w:pPr>
              <w:widowControl/>
              <w:jc w:val="left"/>
              <w:textAlignment w:val="center"/>
              <w:rPr>
                <w:rFonts w:ascii="宋体" w:hAnsi="宋体" w:cs="宋体"/>
                <w:kern w:val="0"/>
                <w:sz w:val="24"/>
              </w:rPr>
            </w:pPr>
            <w:r>
              <w:rPr>
                <w:rFonts w:hint="eastAsia" w:ascii="宋体" w:hAnsi="宋体" w:cs="宋体"/>
                <w:kern w:val="0"/>
                <w:sz w:val="24"/>
              </w:rPr>
              <w:t>2.《国家税务总局关于国家重大水利工程建设基金等政府非税收入项目征管职责划转有关事项的公告》（2018年第63号）第一条。</w:t>
            </w:r>
          </w:p>
          <w:p>
            <w:pPr>
              <w:widowControl/>
              <w:jc w:val="left"/>
              <w:textAlignment w:val="center"/>
              <w:rPr>
                <w:rFonts w:ascii="宋体" w:hAnsi="宋体" w:cs="宋体"/>
                <w:kern w:val="0"/>
                <w:sz w:val="24"/>
              </w:rPr>
            </w:pPr>
          </w:p>
        </w:tc>
        <w:tc>
          <w:tcPr>
            <w:tcW w:w="11242"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2.税务机关对中华人民共和国境内生产、委托加工和进口汽、柴油的成品油生产经营企业征收油价调控风险准备金；</w:t>
            </w:r>
          </w:p>
          <w:p>
            <w:pPr>
              <w:widowControl/>
              <w:jc w:val="left"/>
              <w:textAlignment w:val="center"/>
              <w:rPr>
                <w:rFonts w:ascii="宋体" w:hAnsi="宋体" w:cs="宋体"/>
                <w:kern w:val="0"/>
                <w:sz w:val="24"/>
              </w:rPr>
            </w:pPr>
            <w:r>
              <w:rPr>
                <w:rFonts w:hint="eastAsia" w:ascii="宋体" w:hAnsi="宋体" w:cs="宋体"/>
                <w:kern w:val="0"/>
                <w:sz w:val="24"/>
              </w:rPr>
              <w:t>3.税务机关征收油价调控风险准备金应使用中央非税收入统一票据。</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税务机关应当进行日常管理，发现缴纳义务人不按期缴纳及少缴费款的，进行催报催缴。</w:t>
            </w:r>
          </w:p>
          <w:p>
            <w:pPr>
              <w:widowControl/>
              <w:jc w:val="left"/>
              <w:textAlignment w:val="center"/>
              <w:rPr>
                <w:rFonts w:ascii="宋体" w:hAnsi="宋体" w:cs="宋体"/>
                <w:kern w:val="0"/>
                <w:sz w:val="24"/>
              </w:rPr>
            </w:pPr>
          </w:p>
        </w:tc>
        <w:tc>
          <w:tcPr>
            <w:tcW w:w="3365" w:type="dxa"/>
            <w:gridSpan w:val="2"/>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1.违反规定，多征、提前征收或者减征、免征、缓征应征风险准备金收入的，严格按照有关规定追究相关法律责任；</w:t>
            </w:r>
          </w:p>
          <w:p>
            <w:pPr>
              <w:widowControl/>
              <w:jc w:val="left"/>
              <w:textAlignment w:val="center"/>
              <w:rPr>
                <w:rFonts w:ascii="宋体" w:hAnsi="宋体" w:cs="宋体"/>
                <w:kern w:val="0"/>
                <w:sz w:val="24"/>
              </w:rPr>
            </w:pPr>
            <w:r>
              <w:rPr>
                <w:rFonts w:hint="eastAsia" w:ascii="宋体" w:hAnsi="宋体" w:cs="宋体"/>
                <w:kern w:val="0"/>
                <w:sz w:val="24"/>
              </w:rPr>
              <w:t>2.不按照规定的预算级次、预算科目将费款缴入国库的；</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0" w:hRule="atLeast"/>
        </w:trPr>
        <w:tc>
          <w:tcPr>
            <w:tcW w:w="787" w:type="dxa"/>
            <w:gridSpan w:val="2"/>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宋体" w:hAnsi="宋体" w:cs="宋体"/>
                <w:sz w:val="24"/>
              </w:rPr>
            </w:pPr>
            <w:r>
              <w:rPr>
                <w:rFonts w:hint="eastAsia" w:ascii="宋体" w:hAnsi="宋体" w:cs="宋体"/>
                <w:sz w:val="24"/>
              </w:rPr>
              <w:t>1</w:t>
            </w:r>
            <w:r>
              <w:rPr>
                <w:rFonts w:ascii="宋体" w:hAnsi="宋体" w:cs="宋体"/>
                <w:sz w:val="24"/>
              </w:rPr>
              <w:t>.28</w:t>
            </w:r>
          </w:p>
        </w:tc>
        <w:tc>
          <w:tcPr>
            <w:tcW w:w="117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left"/>
              <w:rPr>
                <w:rFonts w:ascii="宋体" w:hAnsi="宋体" w:cs="宋体"/>
                <w:sz w:val="24"/>
              </w:rPr>
            </w:pPr>
            <w:r>
              <w:rPr>
                <w:rFonts w:hint="eastAsia" w:ascii="宋体" w:hAnsi="宋体" w:cs="宋体"/>
                <w:sz w:val="24"/>
              </w:rPr>
              <w:t>非税收入征收</w:t>
            </w:r>
          </w:p>
        </w:tc>
        <w:tc>
          <w:tcPr>
            <w:tcW w:w="103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11.28.12石油特别收益金征收</w:t>
            </w:r>
          </w:p>
        </w:tc>
        <w:tc>
          <w:tcPr>
            <w:tcW w:w="306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1.《石油特别收益金征收管理办法》（财企</w:t>
            </w:r>
            <w:r>
              <w:rPr>
                <w:rFonts w:ascii="宋体" w:hAnsi="宋体" w:cs="宋体"/>
                <w:kern w:val="0"/>
                <w:sz w:val="24"/>
              </w:rPr>
              <w:t>[2006]72号）</w:t>
            </w:r>
            <w:r>
              <w:rPr>
                <w:rFonts w:hint="eastAsia" w:ascii="宋体" w:hAnsi="宋体" w:cs="宋体"/>
                <w:kern w:val="0"/>
                <w:sz w:val="24"/>
              </w:rPr>
              <w:t>第三条。</w:t>
            </w:r>
          </w:p>
          <w:p>
            <w:pPr>
              <w:widowControl/>
              <w:jc w:val="left"/>
              <w:textAlignment w:val="center"/>
              <w:rPr>
                <w:rFonts w:ascii="宋体" w:hAnsi="宋体" w:cs="宋体"/>
                <w:kern w:val="0"/>
                <w:sz w:val="24"/>
              </w:rPr>
            </w:pPr>
            <w:r>
              <w:rPr>
                <w:rFonts w:hint="eastAsia" w:ascii="宋体" w:hAnsi="宋体" w:cs="宋体"/>
                <w:kern w:val="0"/>
                <w:sz w:val="24"/>
              </w:rPr>
              <w:t>2.《国家税务总局关于国家重大水利工程建设基金等政府非税收入项目征管职责划转有关事项的公告》（2018年第63号）第一条。</w:t>
            </w:r>
          </w:p>
          <w:p>
            <w:pPr>
              <w:widowControl/>
              <w:jc w:val="left"/>
              <w:textAlignment w:val="center"/>
              <w:rPr>
                <w:rFonts w:ascii="宋体" w:hAnsi="宋体" w:cs="宋体"/>
                <w:kern w:val="0"/>
                <w:sz w:val="24"/>
              </w:rPr>
            </w:pPr>
          </w:p>
        </w:tc>
        <w:tc>
          <w:tcPr>
            <w:tcW w:w="11242"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2.税务机关对在中华人民共和国陆地领域和所辖海域独立开采并销售原油的企业征收石油特别收益金；</w:t>
            </w:r>
          </w:p>
          <w:p>
            <w:pPr>
              <w:widowControl/>
              <w:jc w:val="left"/>
              <w:textAlignment w:val="center"/>
              <w:rPr>
                <w:rFonts w:ascii="宋体" w:hAnsi="宋体" w:cs="宋体"/>
                <w:kern w:val="0"/>
                <w:sz w:val="24"/>
              </w:rPr>
            </w:pPr>
            <w:r>
              <w:rPr>
                <w:rFonts w:hint="eastAsia" w:ascii="宋体" w:hAnsi="宋体" w:cs="宋体"/>
                <w:kern w:val="0"/>
                <w:sz w:val="24"/>
              </w:rPr>
              <w:t>3.税务机关征收石油特别收益金应使用中央非税收入统一票据。</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税务机关应当进行日常管理，发现缴纳义务人不按期缴纳或少缴费款的，进行催报催缴，仍不按期缴纳的，提交财政部门责令限期缴纳，并从滞纳之日起按日加收滞纳部分的滞纳金。</w:t>
            </w:r>
          </w:p>
          <w:p>
            <w:pPr>
              <w:widowControl/>
              <w:jc w:val="left"/>
              <w:textAlignment w:val="center"/>
              <w:rPr>
                <w:rFonts w:ascii="宋体" w:hAnsi="宋体" w:cs="宋体"/>
                <w:kern w:val="0"/>
                <w:sz w:val="24"/>
              </w:rPr>
            </w:pPr>
          </w:p>
        </w:tc>
        <w:tc>
          <w:tcPr>
            <w:tcW w:w="3365" w:type="dxa"/>
            <w:gridSpan w:val="2"/>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1.擅自减征或免征石油开采企业应缴纳的石油特别收益金的，；</w:t>
            </w:r>
          </w:p>
          <w:p>
            <w:pPr>
              <w:widowControl/>
              <w:jc w:val="left"/>
              <w:textAlignment w:val="center"/>
              <w:rPr>
                <w:rFonts w:ascii="宋体" w:hAnsi="宋体" w:cs="宋体"/>
                <w:kern w:val="0"/>
                <w:sz w:val="24"/>
              </w:rPr>
            </w:pPr>
            <w:r>
              <w:rPr>
                <w:rFonts w:hint="eastAsia" w:ascii="宋体" w:hAnsi="宋体" w:cs="宋体"/>
                <w:kern w:val="0"/>
                <w:sz w:val="24"/>
              </w:rPr>
              <w:t>2. 不按照规定的预算级次、预算科目将费款缴入国库的；</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0" w:hRule="atLeast"/>
        </w:trPr>
        <w:tc>
          <w:tcPr>
            <w:tcW w:w="787" w:type="dxa"/>
            <w:gridSpan w:val="2"/>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宋体" w:hAnsi="宋体" w:cs="宋体"/>
                <w:sz w:val="24"/>
              </w:rPr>
            </w:pPr>
            <w:r>
              <w:rPr>
                <w:rFonts w:hint="eastAsia" w:ascii="宋体" w:hAnsi="宋体" w:cs="宋体"/>
                <w:sz w:val="24"/>
              </w:rPr>
              <w:t>1.29</w:t>
            </w:r>
          </w:p>
        </w:tc>
        <w:tc>
          <w:tcPr>
            <w:tcW w:w="117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left"/>
              <w:rPr>
                <w:rFonts w:ascii="宋体" w:hAnsi="宋体" w:cs="宋体"/>
                <w:sz w:val="24"/>
              </w:rPr>
            </w:pPr>
            <w:r>
              <w:rPr>
                <w:rFonts w:hint="eastAsia" w:ascii="宋体" w:hAnsi="宋体" w:cs="宋体"/>
                <w:sz w:val="24"/>
              </w:rPr>
              <w:t>工会经费征收</w:t>
            </w:r>
          </w:p>
        </w:tc>
        <w:tc>
          <w:tcPr>
            <w:tcW w:w="103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工会经费征收</w:t>
            </w:r>
          </w:p>
        </w:tc>
        <w:tc>
          <w:tcPr>
            <w:tcW w:w="306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1.《中华人民共和国工会法》（中华人民共和国主席令第六十二号）第四十二条。</w:t>
            </w:r>
          </w:p>
          <w:p>
            <w:pPr>
              <w:widowControl/>
              <w:jc w:val="left"/>
              <w:textAlignment w:val="center"/>
              <w:rPr>
                <w:rFonts w:ascii="宋体" w:hAnsi="宋体" w:cs="宋体"/>
                <w:kern w:val="0"/>
                <w:sz w:val="24"/>
              </w:rPr>
            </w:pPr>
            <w:r>
              <w:rPr>
                <w:rFonts w:hint="eastAsia" w:ascii="宋体" w:hAnsi="宋体" w:cs="宋体"/>
                <w:kern w:val="0"/>
                <w:sz w:val="24"/>
              </w:rPr>
              <w:t>2.《河南省总工会 国家税务总局河南省税务局关于委托税务部门代征工会经费有关问题的通知》（豫工文</w:t>
            </w:r>
            <w:r>
              <w:rPr>
                <w:rFonts w:ascii="宋体" w:hAnsi="宋体" w:cs="宋体"/>
                <w:kern w:val="0"/>
                <w:sz w:val="24"/>
              </w:rPr>
              <w:t>[20</w:t>
            </w:r>
            <w:r>
              <w:rPr>
                <w:rFonts w:hint="eastAsia" w:ascii="宋体" w:hAnsi="宋体" w:cs="宋体"/>
                <w:kern w:val="0"/>
                <w:sz w:val="24"/>
              </w:rPr>
              <w:t>19</w:t>
            </w:r>
            <w:r>
              <w:rPr>
                <w:rFonts w:ascii="宋体" w:hAnsi="宋体" w:cs="宋体"/>
                <w:kern w:val="0"/>
                <w:sz w:val="24"/>
              </w:rPr>
              <w:t>]</w:t>
            </w:r>
            <w:r>
              <w:rPr>
                <w:rFonts w:hint="eastAsia" w:ascii="宋体" w:hAnsi="宋体" w:cs="宋体"/>
                <w:kern w:val="0"/>
                <w:sz w:val="24"/>
              </w:rPr>
              <w:t>105号）第一条。</w:t>
            </w:r>
          </w:p>
        </w:tc>
        <w:tc>
          <w:tcPr>
            <w:tcW w:w="11242"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 xml:space="preserve">一、相关程序和要求                              </w:t>
            </w:r>
          </w:p>
          <w:p>
            <w:pPr>
              <w:widowControl/>
              <w:jc w:val="left"/>
              <w:textAlignment w:val="center"/>
              <w:rPr>
                <w:rFonts w:ascii="宋体" w:hAnsi="宋体" w:cs="宋体"/>
                <w:kern w:val="0"/>
                <w:sz w:val="24"/>
              </w:rPr>
            </w:pPr>
            <w:r>
              <w:rPr>
                <w:rFonts w:hint="eastAsia" w:ascii="宋体" w:hAnsi="宋体" w:cs="宋体"/>
                <w:kern w:val="0"/>
                <w:sz w:val="24"/>
              </w:rPr>
              <w:t xml:space="preserve"> 1.税务机关应当通过官方网站、办税服务场所等渠道公开代征主体、权限、依据、程序报送资料、救济渠道、服务指南、流程图等；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2.全省范围内除工会经费纳入财政集中拨付的机关事业单位外，其他企事业单位和社会组织的工会经费（筹备金）由税务部门统一代征；</w:t>
            </w:r>
          </w:p>
          <w:p>
            <w:pPr>
              <w:widowControl/>
              <w:jc w:val="left"/>
              <w:textAlignment w:val="center"/>
              <w:rPr>
                <w:rFonts w:ascii="宋体" w:hAnsi="宋体" w:cs="宋体"/>
                <w:kern w:val="0"/>
                <w:sz w:val="24"/>
              </w:rPr>
            </w:pPr>
            <w:r>
              <w:rPr>
                <w:rFonts w:hint="eastAsia" w:ascii="宋体" w:hAnsi="宋体" w:cs="宋体"/>
                <w:kern w:val="0"/>
                <w:sz w:val="24"/>
              </w:rPr>
              <w:t xml:space="preserve">3.税务机关代征工会经费时，应当向缴费单位开具缴费票证；                                          </w:t>
            </w:r>
          </w:p>
          <w:p>
            <w:pPr>
              <w:widowControl/>
              <w:jc w:val="left"/>
              <w:textAlignment w:val="center"/>
              <w:rPr>
                <w:rFonts w:ascii="宋体" w:hAnsi="宋体" w:cs="宋体"/>
                <w:kern w:val="0"/>
                <w:sz w:val="24"/>
              </w:rPr>
            </w:pPr>
            <w:r>
              <w:rPr>
                <w:rFonts w:hint="eastAsia" w:ascii="宋体" w:hAnsi="宋体" w:cs="宋体"/>
                <w:kern w:val="0"/>
                <w:sz w:val="24"/>
              </w:rPr>
              <w:t xml:space="preserve">二、事中事后监管措施                             </w:t>
            </w:r>
          </w:p>
          <w:p>
            <w:pPr>
              <w:widowControl/>
              <w:jc w:val="left"/>
              <w:textAlignment w:val="center"/>
              <w:rPr>
                <w:rFonts w:ascii="宋体" w:hAnsi="宋体" w:cs="宋体"/>
                <w:kern w:val="0"/>
                <w:sz w:val="24"/>
              </w:rPr>
            </w:pPr>
            <w:r>
              <w:rPr>
                <w:rFonts w:hint="eastAsia" w:ascii="宋体" w:hAnsi="宋体" w:cs="宋体"/>
                <w:kern w:val="0"/>
                <w:sz w:val="24"/>
              </w:rPr>
              <w:t xml:space="preserve">税务机关要与各级工会建立联席会议制度，研究分析解决工会经费代征情况。                                                                         三、部门职责衔接                                  </w:t>
            </w:r>
          </w:p>
          <w:p>
            <w:pPr>
              <w:widowControl/>
              <w:numPr>
                <w:ilvl w:val="0"/>
                <w:numId w:val="1"/>
              </w:numPr>
              <w:jc w:val="left"/>
              <w:textAlignment w:val="center"/>
              <w:rPr>
                <w:rFonts w:ascii="宋体" w:hAnsi="宋体" w:cs="宋体"/>
                <w:kern w:val="0"/>
                <w:sz w:val="24"/>
              </w:rPr>
            </w:pPr>
            <w:r>
              <w:rPr>
                <w:rFonts w:hint="eastAsia" w:ascii="宋体" w:hAnsi="宋体" w:cs="宋体"/>
                <w:kern w:val="0"/>
                <w:sz w:val="24"/>
              </w:rPr>
              <w:t>税务部门要把工会经费与税收日常工作有机结合，做好工会经费的费种认定、申报受理以及缴费系统维护等。各级工会做好工会经费的催报催缴、稽查清欠以及日常管理等；</w:t>
            </w:r>
          </w:p>
          <w:p>
            <w:pPr>
              <w:widowControl/>
              <w:numPr>
                <w:ilvl w:val="0"/>
                <w:numId w:val="1"/>
              </w:numPr>
              <w:jc w:val="left"/>
              <w:textAlignment w:val="center"/>
              <w:rPr>
                <w:rFonts w:ascii="宋体" w:hAnsi="宋体" w:cs="宋体"/>
                <w:kern w:val="0"/>
                <w:sz w:val="24"/>
              </w:rPr>
            </w:pPr>
            <w:r>
              <w:rPr>
                <w:rFonts w:hint="eastAsia" w:ascii="宋体" w:hAnsi="宋体" w:cs="宋体"/>
                <w:kern w:val="0"/>
                <w:sz w:val="24"/>
              </w:rPr>
              <w:t xml:space="preserve">各级工会和税务部门要建立信息交换、共享、利用机制，定期传递相关信息，不断完善工会经费税务代征措施。                        </w:t>
            </w:r>
          </w:p>
          <w:p>
            <w:pPr>
              <w:widowControl/>
              <w:jc w:val="left"/>
              <w:textAlignment w:val="center"/>
              <w:rPr>
                <w:rFonts w:ascii="宋体" w:hAnsi="宋体" w:cs="宋体"/>
                <w:kern w:val="0"/>
                <w:sz w:val="24"/>
              </w:rPr>
            </w:pPr>
          </w:p>
        </w:tc>
        <w:tc>
          <w:tcPr>
            <w:tcW w:w="3365" w:type="dxa"/>
            <w:gridSpan w:val="2"/>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1.擅自改变工会经费征收范围、对象和标准的；</w:t>
            </w:r>
          </w:p>
          <w:p>
            <w:pPr>
              <w:widowControl/>
              <w:jc w:val="left"/>
              <w:textAlignment w:val="center"/>
              <w:rPr>
                <w:rFonts w:ascii="宋体" w:hAnsi="宋体" w:cs="宋体"/>
                <w:kern w:val="0"/>
                <w:sz w:val="24"/>
              </w:rPr>
            </w:pPr>
            <w:r>
              <w:rPr>
                <w:rFonts w:hint="eastAsia" w:ascii="宋体" w:hAnsi="宋体" w:cs="宋体"/>
                <w:kern w:val="0"/>
                <w:sz w:val="24"/>
              </w:rPr>
              <w:t>2.不按照规定的预算级次、预算科目将工会经费缴入国库的；</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bl>
    <w:p/>
    <w:p>
      <w:pPr>
        <w:jc w:val="center"/>
        <w:rPr>
          <w:rFonts w:ascii="楷体_GB2312" w:hAnsi="楷体" w:eastAsia="楷体_GB2312" w:cs="楷体"/>
          <w:b/>
          <w:bCs/>
          <w:sz w:val="32"/>
          <w:szCs w:val="32"/>
        </w:rPr>
      </w:pPr>
      <w:r>
        <w:rPr>
          <w:rFonts w:hint="eastAsia" w:ascii="楷体_GB2312" w:hAnsi="楷体" w:eastAsia="楷体_GB2312" w:cs="楷体"/>
          <w:b/>
          <w:bCs/>
          <w:sz w:val="32"/>
          <w:szCs w:val="32"/>
        </w:rPr>
        <w:t>（二）行政强制</w:t>
      </w:r>
    </w:p>
    <w:p>
      <w:pPr>
        <w:tabs>
          <w:tab w:val="left" w:pos="639"/>
        </w:tabs>
        <w:rPr>
          <w:rFonts w:ascii="楷体" w:hAnsi="楷体" w:eastAsia="楷体" w:cs="楷体"/>
          <w:b/>
          <w:bCs/>
          <w:sz w:val="32"/>
          <w:szCs w:val="32"/>
        </w:rPr>
      </w:pPr>
      <w:r>
        <w:rPr>
          <w:rFonts w:hint="eastAsia" w:ascii="楷体" w:hAnsi="楷体" w:eastAsia="楷体" w:cs="楷体"/>
          <w:b/>
          <w:bCs/>
          <w:sz w:val="32"/>
          <w:szCs w:val="32"/>
        </w:rPr>
        <w:tab/>
      </w:r>
    </w:p>
    <w:tbl>
      <w:tblPr>
        <w:tblStyle w:val="5"/>
        <w:tblW w:w="20649" w:type="dxa"/>
        <w:tblInd w:w="0" w:type="dxa"/>
        <w:tblLayout w:type="fixed"/>
        <w:tblCellMar>
          <w:top w:w="0" w:type="dxa"/>
          <w:left w:w="0" w:type="dxa"/>
          <w:bottom w:w="0" w:type="dxa"/>
          <w:right w:w="0" w:type="dxa"/>
        </w:tblCellMar>
      </w:tblPr>
      <w:tblGrid>
        <w:gridCol w:w="681"/>
        <w:gridCol w:w="990"/>
        <w:gridCol w:w="623"/>
        <w:gridCol w:w="1106"/>
        <w:gridCol w:w="11585"/>
        <w:gridCol w:w="5664"/>
      </w:tblGrid>
      <w:tr>
        <w:tblPrEx>
          <w:tblCellMar>
            <w:top w:w="0" w:type="dxa"/>
            <w:left w:w="0" w:type="dxa"/>
            <w:bottom w:w="0" w:type="dxa"/>
            <w:right w:w="0" w:type="dxa"/>
          </w:tblCellMar>
        </w:tblPrEx>
        <w:trPr>
          <w:trHeight w:val="600" w:hRule="atLeast"/>
          <w:tblHeader/>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序号</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职权名称</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b/>
                <w:color w:val="000000"/>
                <w:sz w:val="24"/>
              </w:rPr>
            </w:pPr>
            <w:r>
              <w:rPr>
                <w:rFonts w:hint="eastAsia" w:ascii="宋体" w:hAnsi="宋体" w:eastAsia="宋体" w:cs="宋体"/>
                <w:b/>
                <w:color w:val="000000"/>
                <w:kern w:val="0"/>
                <w:sz w:val="24"/>
              </w:rPr>
              <w:t>子项</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设定依据</w:t>
            </w:r>
          </w:p>
        </w:tc>
        <w:tc>
          <w:tcPr>
            <w:tcW w:w="115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履责方式</w:t>
            </w:r>
          </w:p>
        </w:tc>
        <w:tc>
          <w:tcPr>
            <w:tcW w:w="56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追责情形</w:t>
            </w:r>
          </w:p>
        </w:tc>
      </w:tr>
      <w:tr>
        <w:tblPrEx>
          <w:tblCellMar>
            <w:top w:w="0" w:type="dxa"/>
            <w:left w:w="0" w:type="dxa"/>
            <w:bottom w:w="0" w:type="dxa"/>
            <w:right w:w="0" w:type="dxa"/>
          </w:tblCellMar>
        </w:tblPrEx>
        <w:trPr>
          <w:trHeight w:val="959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2.1</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查封、扣押商品、货物或者其他财产</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1.《中华人民共和国税收征收管理法》第三十七条、第三十八第一款、第四十条第一款、第四十一条、第五十五条、第八十八条第三款。</w:t>
            </w:r>
          </w:p>
          <w:p>
            <w:pPr>
              <w:widowControl/>
              <w:jc w:val="left"/>
              <w:textAlignment w:val="center"/>
              <w:rPr>
                <w:rFonts w:ascii="宋体" w:hAnsi="宋体" w:cs="宋体"/>
                <w:color w:val="000000"/>
                <w:sz w:val="24"/>
              </w:rPr>
            </w:pPr>
            <w:r>
              <w:rPr>
                <w:rFonts w:hint="eastAsia" w:ascii="宋体" w:hAnsi="宋体" w:cs="宋体"/>
                <w:color w:val="000000"/>
                <w:kern w:val="0"/>
                <w:sz w:val="24"/>
              </w:rPr>
              <w:t>2.《中华人民共和国行政强制法》第二十二条。</w:t>
            </w:r>
          </w:p>
        </w:tc>
        <w:tc>
          <w:tcPr>
            <w:tcW w:w="115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1.税务机关应当通过官方网站、办税服务场所等渠道公开查封、扣押商品、货物或者其他财产的主体、权限、依据、程序、救济渠道、流程图等；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2.税务机关对符合税收征管法第三十七条规定情形的，可以依法实施扣押；</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3.税务机关对符合税收征管法第三十八条第一款、第四十条第一款、第五十五条规定情形的，经县以上税务局(分局)局长批准，可以依法实施查封、扣押；</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4.作出处罚决定的税务机关对符合税收征管法第八十八条第三款规定情形的，可以依法实施查封、扣押；</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5.情况紧急，需要当场实施行政强制措施的，应当在二十四小时内向税务机关负责人报告，并补办批准手续。税务机关负责人认为不应当采取行政强制措施的，应当立即解除；</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8.税务机关应当制作并当场交付查封、扣押决定书，开付扣押收据或查封清单。</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1.税务机关应当妥善保管查封、扣押的商品、货物或者其他财产；</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4.税务机关采取税收保全措施后，纳税人按照税务机关规定的期限缴纳税款的，税务机关应当自收到税款或者银行转回的完税凭证之日起1日内解除税收保全。</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三、部门间职责衔接</w:t>
            </w:r>
          </w:p>
          <w:p>
            <w:pPr>
              <w:widowControl/>
              <w:jc w:val="left"/>
              <w:textAlignment w:val="center"/>
              <w:rPr>
                <w:rFonts w:ascii="宋体" w:hAnsi="宋体" w:cs="宋体"/>
                <w:color w:val="000000"/>
                <w:sz w:val="24"/>
              </w:rPr>
            </w:pPr>
            <w:r>
              <w:rPr>
                <w:rFonts w:hint="eastAsia" w:ascii="宋体" w:hAnsi="宋体" w:cs="宋体"/>
                <w:color w:val="000000"/>
                <w:kern w:val="0"/>
                <w:sz w:val="24"/>
              </w:rPr>
              <w:t>税务机关实施扣押、查封时，通知有关机关在扣押、查封期间不再办理该动产或者不动产的过户手续。</w:t>
            </w:r>
          </w:p>
        </w:tc>
        <w:tc>
          <w:tcPr>
            <w:tcW w:w="56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1.没有法律、法规依据，或者违反法定程序实施查封、扣押的；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2.违反法律规定扩大查封、扣押范围的；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3.查封、扣押纳税人个人及其所扶养家属维持生活必需的住房和用品的；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5.违反法律规定使用或者损毁查封、扣押场所、设施或者财物的；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6.将查封、扣押的财物，截留、私分或者变相私分的；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7.利用职务上的便利，将查封、扣押的场所、设施或者财物据为己有的；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8.纳税人在限期内已缴纳税款，未立即解除税收保全措施，使纳税人的合法利益遭受损失的；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9.违反法律规定，在查封、扣押法定期间不作出处理决定或者未依法及时解除查封、扣押的；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10.利用行政强制权为单位或者个人谋取利益的；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11.利用职务上的便利，收受或索取纳税人、扣缴义务人财物或谋取不正当利益的；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14.对控告、检举税收违法行为的纳税人、扣缴义务人以及其他检举人进行打击报复的；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15.未按照规定为纳税人、扣缴义务人、检举人保密的；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16.法律、行政法规等规定的其他不履行或者不正确履行行政职责的情形。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CellMar>
            <w:top w:w="0" w:type="dxa"/>
            <w:left w:w="0" w:type="dxa"/>
            <w:bottom w:w="0" w:type="dxa"/>
            <w:right w:w="0" w:type="dxa"/>
          </w:tblCellMar>
        </w:tblPrEx>
        <w:trPr>
          <w:trHeight w:val="51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2.2</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冻结存款</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1.《中华人民共和国税收征收管理法》第三十八条第一款、第四十一条、第五十五条。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2.《中华人民共和国行政强制法》第二十九条。</w:t>
            </w:r>
          </w:p>
        </w:tc>
        <w:tc>
          <w:tcPr>
            <w:tcW w:w="115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1.税务机关应当通过官方网站、办税服务场所等渠道公开冻结存款的主体、权限、依据、程序、救济渠道、流程图等；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2.税务机关实施前需经县以上税务局(分局)局长批准；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3.税务机关应当由2名以上执法人员实施冻结存款，出示执法证件，书面通知金融机构协助执行，制作现场笔录；</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1.纳税人在规定的限期内缴纳税款的，税务机关应当解除冻结存款；未按规定缴纳税款的，经批准，可以书面通知纳税人开户银行或者其他金融机构从其冻结的存款中扣缴税款；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r>
              <w:rPr>
                <w:rFonts w:hint="eastAsia" w:ascii="宋体" w:hAnsi="宋体" w:cs="宋体"/>
                <w:color w:val="000000"/>
                <w:kern w:val="0"/>
                <w:sz w:val="24"/>
              </w:rPr>
              <w:t>。</w:t>
            </w:r>
          </w:p>
        </w:tc>
        <w:tc>
          <w:tcPr>
            <w:tcW w:w="56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1.没有法律、法规依据，或者违反法定程序实施冻结存款的；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2.违反法律规定扩大冻结范围的；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4.违反法律规定在冻结存款法定期间不作出处理决定或者未依法及时解除冻结的；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5.利用行政强制权为单位或者个人谋取利益的；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11.法律、行政法规等规定的其他不履行或者不正确履行行政职责的情形。</w:t>
            </w:r>
          </w:p>
        </w:tc>
      </w:tr>
      <w:tr>
        <w:tblPrEx>
          <w:tblCellMar>
            <w:top w:w="0" w:type="dxa"/>
            <w:left w:w="0" w:type="dxa"/>
            <w:bottom w:w="0" w:type="dxa"/>
            <w:right w:w="0" w:type="dxa"/>
          </w:tblCellMar>
        </w:tblPrEx>
        <w:trPr>
          <w:trHeight w:val="45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2.3</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加处罚款</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1.《中华人民共和国行政强制法》第四十五条。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2.《中华人民共和国行政处罚法》第五十一条。</w:t>
            </w:r>
          </w:p>
        </w:tc>
        <w:tc>
          <w:tcPr>
            <w:tcW w:w="115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1.税务机关应当通过官方网站、办税服务场所等渠道公开加处罚款的主体、权限、依据、程序、救济渠道、流程图等；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2.当事人到期不缴纳罚款的，税务机关可以每日按罚款数额的百分之三加处罚款，加处罚款的标准应当告知当事人；</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3.税务机关加处罚款的数额不得超出金钱给付义务的数额；</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4.税务机关实施加处罚款超过三十日，经催告当事人仍不履行的，税务机关可以强制执行。</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1.符合行政强制法第三十九条和第四十条规定情形的，应当中止执行或终结执行；</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2.在执行中或者执行完毕后，据以执行的行政决定被撤销、变更，或者执行错误的，应当恢复原状或者退还财物；不能恢复原状或者退还财物的，依法给予赔偿；</w:t>
            </w:r>
          </w:p>
          <w:p>
            <w:pPr>
              <w:widowControl/>
              <w:jc w:val="left"/>
              <w:textAlignment w:val="center"/>
              <w:rPr>
                <w:rFonts w:ascii="宋体" w:hAnsi="宋体" w:cs="宋体"/>
                <w:color w:val="000000"/>
                <w:sz w:val="24"/>
              </w:rPr>
            </w:pPr>
            <w:r>
              <w:rPr>
                <w:rFonts w:hint="eastAsia" w:ascii="宋体" w:hAnsi="宋体" w:cs="宋体"/>
                <w:color w:val="000000"/>
                <w:kern w:val="0"/>
                <w:sz w:val="24"/>
              </w:rPr>
              <w:t>3.税务机关可以在不损害公共利益和他人合法权益的情况下，与当事人达成执行协议。执行协议可以约定分阶段履行；当事人采取补救措施的，可以减免加处的罚款。</w:t>
            </w:r>
          </w:p>
        </w:tc>
        <w:tc>
          <w:tcPr>
            <w:tcW w:w="56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税务机关及其工作人员履行行政职责存在以下情形的，应当承担相应责任：</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1.没有法律、法规依据，或者违反法定程序实施加处罚款的；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3.利用行政强制权为单位或者个人谋取利益的；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4.利用职务上的便利，收受或索取纳税人、扣缴义务人财物或谋取不正当利益的；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5.徇私舞弊或者玩忽职守，不征或者少征应征税款，致使国家税收遭受重大损失的；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6.滥用职权，故意刁难纳税人、扣缴义务人的；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7.对控告、检举税收违法行为的纳税人、扣缴义务人以及其他检举人进行打击报复的；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8.未按照规定为纳税人、扣缴义务人、检举人保密的；</w:t>
            </w:r>
          </w:p>
          <w:p>
            <w:pPr>
              <w:widowControl/>
              <w:jc w:val="left"/>
              <w:textAlignment w:val="center"/>
              <w:rPr>
                <w:rFonts w:ascii="宋体" w:hAnsi="宋体" w:cs="宋体"/>
                <w:color w:val="000000"/>
                <w:sz w:val="24"/>
              </w:rPr>
            </w:pPr>
            <w:r>
              <w:rPr>
                <w:rFonts w:hint="eastAsia" w:ascii="宋体" w:hAnsi="宋体" w:cs="宋体"/>
                <w:color w:val="000000"/>
                <w:kern w:val="0"/>
                <w:sz w:val="24"/>
              </w:rPr>
              <w:t>9.法律、行政法规等规定的其他不履行或者不正确履行行政职责的情形。</w:t>
            </w:r>
          </w:p>
        </w:tc>
      </w:tr>
      <w:tr>
        <w:tblPrEx>
          <w:tblCellMar>
            <w:top w:w="0" w:type="dxa"/>
            <w:left w:w="0" w:type="dxa"/>
            <w:bottom w:w="0" w:type="dxa"/>
            <w:right w:w="0" w:type="dxa"/>
          </w:tblCellMar>
        </w:tblPrEx>
        <w:trPr>
          <w:trHeight w:val="7448"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2.4</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强制扣缴税款、滞纳金、罚款</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1.《中华人民共和国税收征收管理法》第三十八条第二款、第四十条第一款、第四十一条、第五十五条、第八十八条第三款。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2.《中华人民共和国行政强制法》第四十七条第一款。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3.《中华人民共和国行政处罚法》第五十一条。</w:t>
            </w:r>
          </w:p>
        </w:tc>
        <w:tc>
          <w:tcPr>
            <w:tcW w:w="115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1.税务机关应当通过官方网站、办税服务场所等渠道公开强制扣缴税款、滞纳金、罚款的主体、权限、依据、程序、救济渠道、流程图等；</w:t>
            </w:r>
          </w:p>
          <w:p>
            <w:pPr>
              <w:rPr>
                <w:rFonts w:ascii="宋体" w:hAnsi="宋体" w:cs="宋体"/>
                <w:color w:val="000000"/>
                <w:kern w:val="0"/>
                <w:sz w:val="24"/>
              </w:rPr>
            </w:pPr>
            <w:r>
              <w:rPr>
                <w:rFonts w:hint="eastAsia" w:ascii="宋体" w:hAnsi="宋体" w:cs="宋体"/>
                <w:color w:val="000000"/>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pPr>
              <w:rPr>
                <w:rFonts w:ascii="宋体" w:hAnsi="宋体" w:cs="宋体"/>
                <w:color w:val="000000"/>
                <w:kern w:val="0"/>
                <w:sz w:val="24"/>
              </w:rPr>
            </w:pPr>
            <w:r>
              <w:rPr>
                <w:rFonts w:hint="eastAsia" w:ascii="宋体" w:hAnsi="宋体" w:cs="宋体"/>
                <w:color w:val="000000"/>
                <w:kern w:val="0"/>
                <w:sz w:val="24"/>
              </w:rPr>
              <w:t>3.当事人对税务机关的处罚决定逾期不申请行政复议也不向人民法院起诉、又不履行的，作出处罚决定的税务机关可以书面通知其开户银行或者其他金融机构从其存款中扣缴罚款；</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4.税务机关应当事先书面催告当事人履行义务；在催告期间，对有证据证明有转移或者隐匿财物迹象的，税务机关可以作出立即强制执行决定，不受催告期限限制；</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5.税务机关应当充分听取当事人的意见，记录、复核当事人提出的事实、理由和证据，当事人提出的事实、理由或者证据成立的，税务机关应当采纳；</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6.税务机关应当书面通知当事人，并告知其依法享有的救济权利、途径和期限。</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1.符合行政强制法第三十九条和第四十条规定情形的，应当中止执行或终结执行；</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2.在执行中或者执行完毕后，据以执行的行政决定被撤销、变更，或者执行错误的，应当恢复原状或者退还财物；不能恢复原状或者退还财物的，依法给予赔偿。</w:t>
            </w:r>
          </w:p>
        </w:tc>
        <w:tc>
          <w:tcPr>
            <w:tcW w:w="56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税务机关及其工作人员履行行政职责存在以下情形的，应当承担相应责任：</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1.没有法律、法规依据，或者违反法定程序实施强制扣缴的；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2.违反法律规定，在夜间或者法定节假日实施行政强制执行的；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4.违反法律规定，指令金融机构将款项划入国库或者财政专户以外的其他账户的；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5.将划拨的存款截留、私分或者变相私分的；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6.利用行政强制权为单位或者个人谋取利益的；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7.利用职务上的便利，收受或索取纳税人、扣缴义务人财物或谋取不正当利益的；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8.徇私舞弊或者玩忽职守，不征或者少征应征税款，致使国家税收遭受重大损失的；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9.滥用职权，故意刁难纳税人、扣缴义务人的；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10.对控告、检举税收违法行为的纳税人、扣缴义务人以及其他检举人进行打击报复的；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11.未按照规定为纳税人、扣缴义务人、检举人保密的；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12.法律、行政法规等规定的其他不履行或者不正确履行行政职责的情形。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CellMar>
            <w:top w:w="0" w:type="dxa"/>
            <w:left w:w="0" w:type="dxa"/>
            <w:bottom w:w="0" w:type="dxa"/>
            <w:right w:w="0" w:type="dxa"/>
          </w:tblCellMar>
        </w:tblPrEx>
        <w:trPr>
          <w:trHeight w:val="9291"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2.5</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拍卖、变卖商品、货物或者其他财产</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1.《中华人民共和国税收征收管理法》第三十七条、第三十八条第二款、第四十条第一款、第五十五条、第八十八条第三款。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2.《中华人民共和国行政强制法》第三十四条、第三十七条。</w:t>
            </w:r>
          </w:p>
        </w:tc>
        <w:tc>
          <w:tcPr>
            <w:tcW w:w="115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1.税务机关应当通过官方网站、办税服务场所等渠道公开拍卖、变卖商品、货物或者其他财产的主体、权限、依据、程序、救济渠道、流程图等；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2.拍卖、变卖抵税财物，由县以上税务局（分局）组织进行。变卖鲜活、易腐烂变质或者易失效的商品、货物时，经县以上税务局（分局）局长批准，可由县以下税务机关进行；</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3.税务机关应当事先书面催告当事人履行义务；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4.税务机关应当充分听取当事人的意见，记录、复核当事人提出的事实、理由和证据，当事人提出的事实、理由或者证据成立的，税务机关应当采纳；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5.税务机关经县以上税务局(分局)局长批准，作出拍卖变卖决定，应当书面通知</w:t>
            </w:r>
            <w:r>
              <w:rPr>
                <w:rFonts w:hint="eastAsia" w:ascii="宋体" w:hAnsi="宋体" w:cs="宋体"/>
                <w:color w:val="000000"/>
                <w:kern w:val="0"/>
                <w:sz w:val="24"/>
              </w:rPr>
              <w:t>当事人</w:t>
            </w:r>
            <w:r>
              <w:rPr>
                <w:rFonts w:hint="eastAsia" w:ascii="宋体" w:hAnsi="宋体" w:eastAsia="宋体" w:cs="宋体"/>
                <w:color w:val="000000"/>
                <w:kern w:val="0"/>
                <w:sz w:val="24"/>
              </w:rPr>
              <w:t>，告知当事人依法享有的救济权利、途径和期限；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6.税务机关应当依法拍卖、变卖，将拍卖、变卖所得支付税款、滞纳金、罚款以及拍卖、变卖等费用后，剩余部分应当在3日内退还被执行人；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7.拍卖变卖结束后，税务机关应当将拍卖、变卖结果通知书，拍卖、变卖扣押、查封的商品、货物、财产清单送交被执行人。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1.符合行政强制法第三十九条和第四十条规定情形的，应当中止执行或终结执行；</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2.在执行中或者执行完毕后，据以执行的行政决定被撤销、变更，或者执行错误的，应当恢复原状或者退还财物；不能恢复原状或者退还财物的，依法给予赔偿。</w:t>
            </w:r>
          </w:p>
        </w:tc>
        <w:tc>
          <w:tcPr>
            <w:tcW w:w="56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1.没有法律、法规依据，或者违反法定程序实施拍卖、变卖的；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2.违反法律规定，在夜间或者法定节假日实施行政强制执行的；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4.在拍卖、变卖过程中，向被执行人摊派、索取不合法费用的；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5.参与被拍卖或者变卖商品、货物或者其他财产的竞买或收购，或者委托他人竞买或收购的；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6.不依法对抵税财物进行拍卖或者变卖,或者擅自将应该拍卖的改为变卖的,在变卖过程中擅自将应该委托商业企业变卖、责令被执行人自行处理的由税务机关直接变价处理的；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7.利用行政强制权为单位或者个人谋取利益的；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11.对控告、检举税收违法行为的纳税人、扣缴义务人以及其他检举人进行打击报复的；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12.未按照规定为纳税人、扣缴义务人、检举人保密的；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13.法律、行政法规等规定的其他不履行或者不正确履行行政职责的情形。</w:t>
            </w:r>
          </w:p>
        </w:tc>
      </w:tr>
    </w:tbl>
    <w:p>
      <w:pPr>
        <w:tabs>
          <w:tab w:val="left" w:pos="639"/>
        </w:tabs>
        <w:rPr>
          <w:rFonts w:ascii="楷体" w:hAnsi="楷体" w:eastAsia="楷体" w:cs="楷体"/>
          <w:b/>
          <w:bCs/>
          <w:sz w:val="32"/>
          <w:szCs w:val="32"/>
        </w:rPr>
      </w:pPr>
    </w:p>
    <w:p>
      <w:pPr>
        <w:rPr>
          <w:rFonts w:ascii="楷体" w:hAnsi="楷体" w:eastAsia="楷体" w:cs="楷体"/>
          <w:b/>
          <w:bCs/>
          <w:sz w:val="32"/>
          <w:szCs w:val="32"/>
        </w:rPr>
      </w:pPr>
      <w:r>
        <w:rPr>
          <w:rFonts w:hint="eastAsia" w:ascii="楷体" w:hAnsi="楷体" w:eastAsia="楷体" w:cs="楷体"/>
          <w:b/>
          <w:bCs/>
          <w:sz w:val="32"/>
          <w:szCs w:val="32"/>
        </w:rPr>
        <w:br w:type="page"/>
      </w:r>
    </w:p>
    <w:p>
      <w:pPr>
        <w:tabs>
          <w:tab w:val="left" w:pos="639"/>
        </w:tabs>
        <w:jc w:val="center"/>
        <w:rPr>
          <w:rFonts w:ascii="楷体_GB2312" w:hAnsi="楷体" w:eastAsia="楷体_GB2312" w:cs="楷体"/>
          <w:b/>
          <w:bCs/>
          <w:sz w:val="32"/>
          <w:szCs w:val="32"/>
        </w:rPr>
      </w:pPr>
    </w:p>
    <w:p>
      <w:pPr>
        <w:tabs>
          <w:tab w:val="left" w:pos="639"/>
        </w:tabs>
        <w:jc w:val="center"/>
        <w:rPr>
          <w:rFonts w:ascii="楷体_GB2312" w:hAnsi="楷体" w:eastAsia="楷体_GB2312" w:cs="楷体"/>
          <w:b/>
          <w:bCs/>
          <w:sz w:val="32"/>
          <w:szCs w:val="32"/>
        </w:rPr>
      </w:pPr>
      <w:r>
        <w:rPr>
          <w:rFonts w:hint="eastAsia" w:ascii="楷体_GB2312" w:hAnsi="楷体" w:eastAsia="楷体_GB2312" w:cs="楷体"/>
          <w:b/>
          <w:bCs/>
          <w:sz w:val="32"/>
          <w:szCs w:val="32"/>
        </w:rPr>
        <w:t>（三）行政检查</w:t>
      </w:r>
    </w:p>
    <w:tbl>
      <w:tblPr>
        <w:tblStyle w:val="5"/>
        <w:tblW w:w="20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9"/>
        <w:gridCol w:w="936"/>
        <w:gridCol w:w="800"/>
        <w:gridCol w:w="1362"/>
        <w:gridCol w:w="11700"/>
        <w:gridCol w:w="5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blHeader/>
        </w:trPr>
        <w:tc>
          <w:tcPr>
            <w:tcW w:w="599" w:type="dxa"/>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序号</w:t>
            </w:r>
          </w:p>
        </w:tc>
        <w:tc>
          <w:tcPr>
            <w:tcW w:w="936" w:type="dxa"/>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24"/>
              </w:rPr>
              <w:t>职权</w:t>
            </w:r>
          </w:p>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名称</w:t>
            </w:r>
          </w:p>
        </w:tc>
        <w:tc>
          <w:tcPr>
            <w:tcW w:w="800" w:type="dxa"/>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子项</w:t>
            </w:r>
          </w:p>
        </w:tc>
        <w:tc>
          <w:tcPr>
            <w:tcW w:w="1362" w:type="dxa"/>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设定依据</w:t>
            </w:r>
          </w:p>
        </w:tc>
        <w:tc>
          <w:tcPr>
            <w:tcW w:w="11700" w:type="dxa"/>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履责方式</w:t>
            </w:r>
          </w:p>
        </w:tc>
        <w:tc>
          <w:tcPr>
            <w:tcW w:w="5288" w:type="dxa"/>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追责情形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50" w:hRule="atLeast"/>
        </w:trPr>
        <w:tc>
          <w:tcPr>
            <w:tcW w:w="599" w:type="dxa"/>
            <w:shd w:val="clear" w:color="auto" w:fill="FFFFFF"/>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3.1</w:t>
            </w:r>
          </w:p>
        </w:tc>
        <w:tc>
          <w:tcPr>
            <w:tcW w:w="936"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税务检查</w:t>
            </w:r>
          </w:p>
        </w:tc>
        <w:tc>
          <w:tcPr>
            <w:tcW w:w="8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3.1.1检查和调取账簿、发票、记账凭证、报表和有关资料</w:t>
            </w:r>
          </w:p>
        </w:tc>
        <w:tc>
          <w:tcPr>
            <w:tcW w:w="1362"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1.《中华人民共和国税收征收管理法》第五十四条第一项。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2.《中华人民共和国税收征收管理法实施细则》第八十六条。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3.《中华人民共和国发票管理办法》第三十条第一、二、三项。</w:t>
            </w:r>
          </w:p>
        </w:tc>
        <w:tc>
          <w:tcPr>
            <w:tcW w:w="117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1.税务机关应当通过官方网站、办税服务场所等渠道公开税务检查的主体、权限、依据、程序、救济渠道、流程图等；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2.税务机关应当统筹安排检查工作，严格控制对纳税人、扣缴义务人的检查次数；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3.税务机关实施检查应当2人以上，出示税务检查证和税务检查通知书，并为其保守秘密；税务机关对集贸市场及集中经营业户进行检查时，可以使用统一的税务检查通知书；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1.税务机关根据检查结果，依法制作相关文书送达纳税人、扣缴义务人执行，并告知其权利救济途径和期限；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w:t>
            </w:r>
            <w:r>
              <w:rPr>
                <w:rFonts w:hint="eastAsia" w:ascii="宋体" w:hAnsi="宋体" w:cs="宋体"/>
                <w:color w:val="000000"/>
                <w:kern w:val="0"/>
                <w:sz w:val="24"/>
              </w:rPr>
              <w:t>税务机关应当按规定向社会公布重大税收违法失信案件信息</w:t>
            </w:r>
            <w:r>
              <w:rPr>
                <w:rFonts w:hint="eastAsia" w:ascii="宋体" w:hAnsi="宋体" w:eastAsia="宋体" w:cs="宋体"/>
                <w:color w:val="000000"/>
                <w:kern w:val="0"/>
                <w:sz w:val="24"/>
              </w:rPr>
              <w:t>。</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向社会公布重大税收违法失信案件信息，并将信息通报相关部门，共同实施严格监管和联合惩戒。</w:t>
            </w:r>
          </w:p>
          <w:p>
            <w:pPr>
              <w:widowControl/>
              <w:jc w:val="left"/>
              <w:textAlignment w:val="center"/>
              <w:rPr>
                <w:rFonts w:ascii="宋体" w:hAnsi="宋体" w:eastAsia="宋体" w:cs="宋体"/>
                <w:color w:val="000000"/>
                <w:sz w:val="24"/>
              </w:rPr>
            </w:pPr>
          </w:p>
        </w:tc>
        <w:tc>
          <w:tcPr>
            <w:tcW w:w="5288"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5.税务人员未按照规定回避的；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0" w:hRule="atLeast"/>
        </w:trPr>
        <w:tc>
          <w:tcPr>
            <w:tcW w:w="599" w:type="dxa"/>
            <w:vMerge w:val="restart"/>
            <w:shd w:val="clear" w:color="auto" w:fill="FFFFFF"/>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3.1</w:t>
            </w:r>
          </w:p>
        </w:tc>
        <w:tc>
          <w:tcPr>
            <w:tcW w:w="936" w:type="dxa"/>
            <w:vMerge w:val="restart"/>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税务检查</w:t>
            </w:r>
          </w:p>
        </w:tc>
        <w:tc>
          <w:tcPr>
            <w:tcW w:w="8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3.1.2检查纳税人生产、经营场所和货物存放地</w:t>
            </w:r>
          </w:p>
        </w:tc>
        <w:tc>
          <w:tcPr>
            <w:tcW w:w="1362"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《中华人民共和国税收征收管理法》第五十四条第二项。</w:t>
            </w:r>
          </w:p>
        </w:tc>
        <w:tc>
          <w:tcPr>
            <w:tcW w:w="117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1.税务机关应当通过官方网站、办税服务场所等渠道公开税务检查的主体、权限、依据、程序、救济渠道、流程图等；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2.税务机关应当统筹安排检查工作，严格控制对纳税人、扣缴义务人的检查次数；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3.税务机关实施检查应当2人以上，出示税务检查证和税务检查通知书，并为其保守秘密；税务机关对集贸市场及集中经营业户进行检查时，可以使用统一的税务检查通知书；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4.检查人员实地调查取证时，可以制作现场笔录、勘验笔录，对实地检查情况予以记录或者说明。</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1.税务机关根据检查结果，依法制作相关文书送达纳税人、扣缴义务人执行，并告知其权利救济途径和期限；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3.税务机关应当按规定向社会公布重大税收违法失信案件信息。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向社会公布重大税收违法失信案件信息，并将信息通报相关部门，共同实施严格监管和联合惩戒。</w:t>
            </w:r>
          </w:p>
        </w:tc>
        <w:tc>
          <w:tcPr>
            <w:tcW w:w="5288"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5.税务人员未按照规定回避的；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0" w:hRule="atLeast"/>
        </w:trPr>
        <w:tc>
          <w:tcPr>
            <w:tcW w:w="599" w:type="dxa"/>
            <w:vMerge w:val="continue"/>
            <w:shd w:val="clear" w:color="auto" w:fill="FFFFFF"/>
            <w:tcMar>
              <w:top w:w="10" w:type="dxa"/>
              <w:left w:w="10" w:type="dxa"/>
              <w:right w:w="10" w:type="dxa"/>
            </w:tcMar>
            <w:vAlign w:val="center"/>
          </w:tcPr>
          <w:p>
            <w:pPr>
              <w:jc w:val="center"/>
              <w:rPr>
                <w:rFonts w:ascii="宋体" w:hAnsi="宋体" w:eastAsia="宋体" w:cs="宋体"/>
                <w:color w:val="000000"/>
                <w:sz w:val="24"/>
              </w:rPr>
            </w:pPr>
          </w:p>
        </w:tc>
        <w:tc>
          <w:tcPr>
            <w:tcW w:w="936" w:type="dxa"/>
            <w:vMerge w:val="continue"/>
            <w:shd w:val="clear" w:color="auto" w:fill="FFFFFF"/>
            <w:tcMar>
              <w:top w:w="10" w:type="dxa"/>
              <w:left w:w="10" w:type="dxa"/>
              <w:right w:w="10" w:type="dxa"/>
            </w:tcMar>
            <w:vAlign w:val="center"/>
          </w:tcPr>
          <w:p>
            <w:pPr>
              <w:jc w:val="left"/>
              <w:rPr>
                <w:rFonts w:ascii="宋体" w:hAnsi="宋体" w:eastAsia="宋体" w:cs="宋体"/>
                <w:color w:val="000000"/>
                <w:sz w:val="24"/>
              </w:rPr>
            </w:pPr>
          </w:p>
        </w:tc>
        <w:tc>
          <w:tcPr>
            <w:tcW w:w="8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3.1.3责成纳税人、扣缴义务人提供文件、证明材料和有关资料</w:t>
            </w:r>
          </w:p>
        </w:tc>
        <w:tc>
          <w:tcPr>
            <w:tcW w:w="1362"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《中华人民共和国税收征收管理法》第五十四条第三项。</w:t>
            </w:r>
          </w:p>
        </w:tc>
        <w:tc>
          <w:tcPr>
            <w:tcW w:w="117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1.税务机关应当通过官方网站、办税服务场所等渠道公开税务检查的主体、权限、依据、程序、救济渠道、流程图等；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2.税务机关应当统筹安排检查工作，严格控制对纳税人、扣缴义务人的检查次数；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3.税务机关实施检查应当2人以上，出示税务检查证和税务检查通知书，并为其保守秘密；税务机关对集贸市场及集中经营业户进行检查时，可以使用统一的税务检查通知书；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4.税务机关制发相关税务文书，责成纳税人、扣缴义务人提供文件、证明材料和有关资料，并送达给纳税人或者扣缴义务人。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1.税务机关根据检查结果，依法制作相关文书送达纳税人、扣缴义务人执行，并告知其权利救济途径和期限；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3.税务机关应当按规定向社会公布重大税收违法失信案件信息。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向社会公布重大税收违法失信案件信息，并将信息通报相关部门，共同实施严格监管和联合惩戒。</w:t>
            </w:r>
          </w:p>
        </w:tc>
        <w:tc>
          <w:tcPr>
            <w:tcW w:w="5288"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5.税务人员未按照规定回避的；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0" w:hRule="atLeast"/>
        </w:trPr>
        <w:tc>
          <w:tcPr>
            <w:tcW w:w="599" w:type="dxa"/>
            <w:vMerge w:val="restart"/>
            <w:shd w:val="clear" w:color="auto" w:fill="FFFFFF"/>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3.1</w:t>
            </w:r>
          </w:p>
        </w:tc>
        <w:tc>
          <w:tcPr>
            <w:tcW w:w="936" w:type="dxa"/>
            <w:vMerge w:val="restart"/>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税务检查</w:t>
            </w:r>
          </w:p>
        </w:tc>
        <w:tc>
          <w:tcPr>
            <w:tcW w:w="8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3.1.4询问纳税人、扣缴义务人有关问题和情况</w:t>
            </w:r>
          </w:p>
        </w:tc>
        <w:tc>
          <w:tcPr>
            <w:tcW w:w="1362"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1.《中华人民共和国税收征收管理法》第五十四条第四项。</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2.《中华人民共和国发票管理办法》第三十条第四项。</w:t>
            </w:r>
          </w:p>
        </w:tc>
        <w:tc>
          <w:tcPr>
            <w:tcW w:w="117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1.税务机关应当通过官方网站、办税服务场所等渠道公开税务检查的主体、权限、依据、程序、救济渠道、流程图等；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2.税务机关应当统筹安排检查工作，严格控制对纳税人、扣缴义务人的检查次数；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4.询问时应当告知被询问人如实回答问题，并按规定制作询问笔录。</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1.税务机关根据检查结果，依法制作相关文书送达纳税人、扣缴义务人执行，并告知其权利救济途径和期限；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3.税务机关应当按规定向社会公布重大税收违法失信案件信息。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向社会公布重大税收违法失信案件信息，并将信息通报相关部门，共同实施严格监管和联合惩戒。</w:t>
            </w:r>
          </w:p>
        </w:tc>
        <w:tc>
          <w:tcPr>
            <w:tcW w:w="5288"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5.未按照规定为纳税人、扣缴义务人、检举人保密的；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6.税务人员未按照规定回避的；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0" w:hRule="atLeast"/>
        </w:trPr>
        <w:tc>
          <w:tcPr>
            <w:tcW w:w="599" w:type="dxa"/>
            <w:vMerge w:val="continue"/>
            <w:shd w:val="clear" w:color="auto" w:fill="FFFFFF"/>
            <w:tcMar>
              <w:top w:w="10" w:type="dxa"/>
              <w:left w:w="10" w:type="dxa"/>
              <w:right w:w="10" w:type="dxa"/>
            </w:tcMar>
            <w:vAlign w:val="center"/>
          </w:tcPr>
          <w:p>
            <w:pPr>
              <w:jc w:val="center"/>
              <w:rPr>
                <w:rFonts w:ascii="宋体" w:hAnsi="宋体" w:eastAsia="宋体" w:cs="宋体"/>
                <w:color w:val="000000"/>
                <w:sz w:val="24"/>
              </w:rPr>
            </w:pPr>
          </w:p>
        </w:tc>
        <w:tc>
          <w:tcPr>
            <w:tcW w:w="936" w:type="dxa"/>
            <w:vMerge w:val="continue"/>
            <w:shd w:val="clear" w:color="auto" w:fill="FFFFFF"/>
            <w:tcMar>
              <w:top w:w="10" w:type="dxa"/>
              <w:left w:w="10" w:type="dxa"/>
              <w:right w:w="10" w:type="dxa"/>
            </w:tcMar>
            <w:vAlign w:val="center"/>
          </w:tcPr>
          <w:p>
            <w:pPr>
              <w:jc w:val="left"/>
              <w:rPr>
                <w:rFonts w:ascii="宋体" w:hAnsi="宋体" w:eastAsia="宋体" w:cs="宋体"/>
                <w:color w:val="000000"/>
                <w:sz w:val="24"/>
              </w:rPr>
            </w:pPr>
          </w:p>
        </w:tc>
        <w:tc>
          <w:tcPr>
            <w:tcW w:w="8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3.1.5到车站、码头、机场、邮政企业及其分支机构检查有关单据、凭证和有关资料</w:t>
            </w:r>
          </w:p>
        </w:tc>
        <w:tc>
          <w:tcPr>
            <w:tcW w:w="1362"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《中华人民共和国税收征收管理法》第五十四条第五项。</w:t>
            </w:r>
          </w:p>
        </w:tc>
        <w:tc>
          <w:tcPr>
            <w:tcW w:w="117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1.税务机关应当通过官方网站、办税服务场所等渠道公开税务检查的主体、权限、依据、程序、救济渠道、流程图等；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2.税务机关实施检查应当2人以上，出示税务检查证和税务检查通知书，告知被检查人享有的权利和义务并为其保守秘密；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3.检查人员实地调查取证时，可以制作现场笔录、勘验笔录，对实地检查情况予以记录或者说明。</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1.税务机关根据检查结果，依法制作相关文书送达纳税人、扣缴义务人执行，并告知其权利救济途径和期限；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3.税务机关应当按规定向社会公布重大税收违法失信案件信息。</w:t>
            </w:r>
          </w:p>
        </w:tc>
        <w:tc>
          <w:tcPr>
            <w:tcW w:w="5288"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5.税务人员未按照规定回避的；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0" w:hRule="atLeast"/>
        </w:trPr>
        <w:tc>
          <w:tcPr>
            <w:tcW w:w="599" w:type="dxa"/>
            <w:vMerge w:val="restart"/>
            <w:shd w:val="clear" w:color="auto" w:fill="FFFFFF"/>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3.1</w:t>
            </w:r>
          </w:p>
        </w:tc>
        <w:tc>
          <w:tcPr>
            <w:tcW w:w="936" w:type="dxa"/>
            <w:vMerge w:val="restart"/>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税务检查</w:t>
            </w:r>
          </w:p>
        </w:tc>
        <w:tc>
          <w:tcPr>
            <w:tcW w:w="8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3.1.6查询从事生产经营纳税人、扣缴义务人存款账户或查询案件涉嫌人员的储蓄存款</w:t>
            </w:r>
          </w:p>
        </w:tc>
        <w:tc>
          <w:tcPr>
            <w:tcW w:w="1362"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《中华人民共和国税收征收管理法》第五十四条第六项。</w:t>
            </w:r>
          </w:p>
        </w:tc>
        <w:tc>
          <w:tcPr>
            <w:tcW w:w="117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1.税务机关应当通过官方网站、办税服务场所等渠道公开税务检查的主体、权限、依据、程序、救济渠道、流程图等；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2.税务机关实施检查应当2人以上，出示税务检查证和税务检查通知书，告知被检查人享有的权利和义务并为其保守秘密；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4.税务机关查询所获得的资料，不得用于税收以外的用途。</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1.税务机关根据检查结果，依法制作相关文书送达纳税人、扣缴义务人执行，并告知其权利救济途径和期限；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3.税务机关应当按规定向社会公布重大税收违法失信案件信息。</w:t>
            </w:r>
          </w:p>
        </w:tc>
        <w:tc>
          <w:tcPr>
            <w:tcW w:w="5288"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5.税务人员未按照规定回避的；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0" w:hRule="atLeast"/>
        </w:trPr>
        <w:tc>
          <w:tcPr>
            <w:tcW w:w="599" w:type="dxa"/>
            <w:vMerge w:val="continue"/>
            <w:shd w:val="clear" w:color="auto" w:fill="FFFFFF"/>
            <w:tcMar>
              <w:top w:w="10" w:type="dxa"/>
              <w:left w:w="10" w:type="dxa"/>
              <w:right w:w="10" w:type="dxa"/>
            </w:tcMar>
            <w:vAlign w:val="center"/>
          </w:tcPr>
          <w:p>
            <w:pPr>
              <w:jc w:val="center"/>
              <w:rPr>
                <w:rFonts w:ascii="宋体" w:hAnsi="宋体" w:eastAsia="宋体" w:cs="宋体"/>
                <w:color w:val="000000"/>
                <w:sz w:val="24"/>
              </w:rPr>
            </w:pPr>
          </w:p>
        </w:tc>
        <w:tc>
          <w:tcPr>
            <w:tcW w:w="936" w:type="dxa"/>
            <w:vMerge w:val="continue"/>
            <w:shd w:val="clear" w:color="auto" w:fill="FFFFFF"/>
            <w:tcMar>
              <w:top w:w="10" w:type="dxa"/>
              <w:left w:w="10" w:type="dxa"/>
              <w:right w:w="10" w:type="dxa"/>
            </w:tcMar>
            <w:vAlign w:val="center"/>
          </w:tcPr>
          <w:p>
            <w:pPr>
              <w:jc w:val="left"/>
              <w:rPr>
                <w:rFonts w:ascii="宋体" w:hAnsi="宋体" w:eastAsia="宋体" w:cs="宋体"/>
                <w:color w:val="000000"/>
                <w:sz w:val="24"/>
              </w:rPr>
            </w:pPr>
          </w:p>
        </w:tc>
        <w:tc>
          <w:tcPr>
            <w:tcW w:w="8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3.1.7向有关单位和个人调查与纳税或代扣代缴、代收代缴税款有关情况</w:t>
            </w:r>
          </w:p>
        </w:tc>
        <w:tc>
          <w:tcPr>
            <w:tcW w:w="1362"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《中华人民共和国税收征收管理法》第五十七条。</w:t>
            </w:r>
          </w:p>
        </w:tc>
        <w:tc>
          <w:tcPr>
            <w:tcW w:w="117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1.税务机关应当通过官方网站、办税服务场所等渠道公开税务检查的主体、权限、依据、程序、救济渠道、流程图等；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2.税务机关应当统筹安排检查工作，严格控制对纳税人、扣缴义务人的检查次数；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1.税务机关根据检查结果，依法制作相关文书送达纳税人、扣缴义务人执行，并告知其权利救济途径和期限；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3.税务机关应当按规定向社会公布重大税收违法失信案件信息。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向社会公布重大税收违法失信案件信息，并将信息通报相关部门，共同实施严格监管和联合惩戒。</w:t>
            </w:r>
          </w:p>
        </w:tc>
        <w:tc>
          <w:tcPr>
            <w:tcW w:w="5288"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5.未按照规定为纳税人、扣缴义务人、检举人保密的；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6.税务人员未按照规定回避的；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0" w:hRule="atLeast"/>
        </w:trPr>
        <w:tc>
          <w:tcPr>
            <w:tcW w:w="599" w:type="dxa"/>
            <w:shd w:val="clear" w:color="auto" w:fill="FFFFFF"/>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3.1</w:t>
            </w:r>
          </w:p>
        </w:tc>
        <w:tc>
          <w:tcPr>
            <w:tcW w:w="936"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税务检查</w:t>
            </w:r>
          </w:p>
        </w:tc>
        <w:tc>
          <w:tcPr>
            <w:tcW w:w="8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3.1.8记录、录音、录像、照相和复制</w:t>
            </w:r>
          </w:p>
        </w:tc>
        <w:tc>
          <w:tcPr>
            <w:tcW w:w="1362"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《中华人民共和国税收征收管理法》第五十八条。</w:t>
            </w:r>
          </w:p>
        </w:tc>
        <w:tc>
          <w:tcPr>
            <w:tcW w:w="117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1.税务机关应当通过官方网站、办税服务场所等渠道公开税务检查的主体、权限、依据、程序、救济渠道、流程图等；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2.税务机关实施检查应当2人以上，出示税务检查证和税务检查通知书，告知被检查人享有的权利和义务并为其保守秘密；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3.税务机关调查税务违法案件时，对与案件有关的情况和资料，可以按照规定程序记录、录音、录像、照相和复制，收集能够证明案件事实的证据材料；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4.税务机关不得以偷拍、偷录、窃听等手段获取侵害他人合法权益的证据材料；不得以利诱、欺诈、胁迫、暴力等不正当手段获取证据材料。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1.税务机关根据检查结果，依法制作相关文书送达纳税人、扣缴义务人执行，并告知其权利救济途径和期限；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3.税务机关应当按规定向社会公布重大税收违法失信案件信息。</w:t>
            </w:r>
          </w:p>
        </w:tc>
        <w:tc>
          <w:tcPr>
            <w:tcW w:w="5288"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5.税务人员未按照规定回避的；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0" w:hRule="atLeast"/>
        </w:trPr>
        <w:tc>
          <w:tcPr>
            <w:tcW w:w="599" w:type="dxa"/>
            <w:shd w:val="clear" w:color="auto" w:fill="FFFFFF"/>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3.2</w:t>
            </w:r>
          </w:p>
        </w:tc>
        <w:tc>
          <w:tcPr>
            <w:tcW w:w="936"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特别纳税调整</w:t>
            </w:r>
          </w:p>
        </w:tc>
        <w:tc>
          <w:tcPr>
            <w:tcW w:w="800" w:type="dxa"/>
            <w:shd w:val="clear" w:color="auto" w:fill="FFFFFF"/>
            <w:tcMar>
              <w:top w:w="10" w:type="dxa"/>
              <w:left w:w="10" w:type="dxa"/>
              <w:right w:w="10" w:type="dxa"/>
            </w:tcMar>
            <w:vAlign w:val="center"/>
          </w:tcPr>
          <w:p>
            <w:pPr>
              <w:jc w:val="left"/>
              <w:rPr>
                <w:rFonts w:ascii="宋体" w:hAnsi="宋体" w:eastAsia="宋体" w:cs="宋体"/>
                <w:b/>
                <w:color w:val="000000"/>
                <w:sz w:val="24"/>
              </w:rPr>
            </w:pPr>
          </w:p>
        </w:tc>
        <w:tc>
          <w:tcPr>
            <w:tcW w:w="1362"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1.《中华人民共和国税收征收管理法》第三十六条。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2.《中华人民共和国企业所得税法》第四十一条、第四十四条、第四十七条3.《中华人民共和国企业所得税法实施条例》第一百二十三条。</w:t>
            </w:r>
          </w:p>
        </w:tc>
        <w:tc>
          <w:tcPr>
            <w:tcW w:w="11700"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1.税务机关应当通过网站或办税服务场等渠道公开特别纳税调整的主体、权限、依据、程序、报送资料、救济渠道、流程图等；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3.税务机关实施特别纳税调整调查时，应当按照法定权限和程序进行，收集证据材料；</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4.经调查，税务机关未发现企业存在特别纳税调整问题的，应当作出特别纳税调查结论，并向企业送达《特别纳税调查结论通知书》。发现企业存在特别纳税调整问题的，按照规定程序实施调整，向企业送达</w:t>
            </w:r>
            <w:r>
              <w:rPr>
                <w:rFonts w:hint="eastAsia" w:ascii="宋体" w:hAnsi="宋体" w:cs="宋体"/>
                <w:color w:val="000000"/>
                <w:kern w:val="0"/>
                <w:sz w:val="24"/>
              </w:rPr>
              <w:t>《特别纳税调查调整通知书》</w:t>
            </w:r>
            <w:r>
              <w:rPr>
                <w:rFonts w:hint="eastAsia" w:ascii="宋体" w:hAnsi="宋体" w:eastAsia="宋体" w:cs="宋体"/>
                <w:color w:val="000000"/>
                <w:kern w:val="0"/>
                <w:sz w:val="24"/>
              </w:rPr>
              <w:t>，并告知救济权利、途径和期限；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5.税务机关对企业作出特别纳税调整的，应当对补征的税款，按规定加收利息，并及时足额入库；</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税务机关应当加强成本分摊协议的后续管理，对不符合独立交易原则和成本与收益相匹配原则的成本分摊协议，实施特别纳税调查调整。</w:t>
            </w:r>
          </w:p>
          <w:p>
            <w:pPr>
              <w:widowControl/>
              <w:jc w:val="left"/>
              <w:textAlignment w:val="center"/>
              <w:rPr>
                <w:rFonts w:ascii="宋体" w:hAnsi="宋体" w:eastAsia="宋体" w:cs="宋体"/>
                <w:color w:val="000000"/>
                <w:sz w:val="24"/>
              </w:rPr>
            </w:pPr>
          </w:p>
        </w:tc>
        <w:tc>
          <w:tcPr>
            <w:tcW w:w="5288" w:type="dxa"/>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1.利用职务上的便利，收受或索取纳税人、扣缴义务人财物或谋取不正当利益的；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4.对控告、检举税收违法行为的纳税人、扣缴义务人以及其他检举人进行打击报复的；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5.税务人员未按照规定回避的；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7.法律、行政法规等规定的其他不履行或者不正确履行行政职责的情形。</w:t>
            </w:r>
          </w:p>
        </w:tc>
      </w:tr>
    </w:tbl>
    <w:p>
      <w:pPr>
        <w:rPr>
          <w:rFonts w:ascii="楷体" w:hAnsi="楷体" w:eastAsia="楷体" w:cs="楷体"/>
          <w:b/>
          <w:bCs/>
          <w:sz w:val="32"/>
          <w:szCs w:val="32"/>
        </w:rPr>
      </w:pPr>
      <w:r>
        <w:rPr>
          <w:rFonts w:ascii="楷体" w:hAnsi="楷体" w:eastAsia="楷体" w:cs="楷体"/>
          <w:b/>
          <w:bCs/>
          <w:sz w:val="32"/>
          <w:szCs w:val="32"/>
        </w:rPr>
        <w:br w:type="page"/>
      </w:r>
    </w:p>
    <w:p>
      <w:pPr>
        <w:shd w:val="clear" w:color="auto" w:fill="FFFFFF" w:themeFill="background1"/>
        <w:tabs>
          <w:tab w:val="left" w:pos="639"/>
        </w:tabs>
        <w:jc w:val="center"/>
        <w:rPr>
          <w:rFonts w:ascii="楷体_GB2312" w:hAnsi="楷体" w:eastAsia="楷体_GB2312" w:cs="楷体"/>
          <w:b/>
          <w:bCs/>
          <w:sz w:val="32"/>
          <w:szCs w:val="32"/>
        </w:rPr>
      </w:pPr>
    </w:p>
    <w:p>
      <w:pPr>
        <w:shd w:val="clear" w:color="auto" w:fill="FFFFFF" w:themeFill="background1"/>
        <w:tabs>
          <w:tab w:val="left" w:pos="639"/>
        </w:tabs>
        <w:jc w:val="center"/>
        <w:rPr>
          <w:rFonts w:ascii="楷体_GB2312" w:hAnsi="楷体" w:eastAsia="楷体_GB2312" w:cs="楷体"/>
          <w:b/>
          <w:bCs/>
          <w:sz w:val="32"/>
          <w:szCs w:val="32"/>
        </w:rPr>
      </w:pPr>
      <w:r>
        <w:rPr>
          <w:rFonts w:hint="eastAsia" w:ascii="楷体_GB2312" w:hAnsi="楷体" w:eastAsia="楷体_GB2312" w:cs="楷体"/>
          <w:b/>
          <w:bCs/>
          <w:sz w:val="32"/>
          <w:szCs w:val="32"/>
        </w:rPr>
        <w:t>（四）行政处罚</w:t>
      </w:r>
    </w:p>
    <w:tbl>
      <w:tblPr>
        <w:tblStyle w:val="5"/>
        <w:tblW w:w="207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4"/>
        <w:gridCol w:w="960"/>
        <w:gridCol w:w="1546"/>
        <w:gridCol w:w="1260"/>
        <w:gridCol w:w="11965"/>
        <w:gridCol w:w="42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blHeader/>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序号</w:t>
            </w:r>
          </w:p>
        </w:tc>
        <w:tc>
          <w:tcPr>
            <w:tcW w:w="960" w:type="dxa"/>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24"/>
              </w:rPr>
              <w:t>职权</w:t>
            </w:r>
          </w:p>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名称</w:t>
            </w:r>
          </w:p>
        </w:tc>
        <w:tc>
          <w:tcPr>
            <w:tcW w:w="1546" w:type="dxa"/>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子项</w:t>
            </w:r>
          </w:p>
        </w:tc>
        <w:tc>
          <w:tcPr>
            <w:tcW w:w="1260" w:type="dxa"/>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设定依据</w:t>
            </w:r>
          </w:p>
        </w:tc>
        <w:tc>
          <w:tcPr>
            <w:tcW w:w="11965" w:type="dxa"/>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履责方式</w:t>
            </w:r>
          </w:p>
        </w:tc>
        <w:tc>
          <w:tcPr>
            <w:tcW w:w="4287" w:type="dxa"/>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追责情形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4.1</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对违反税务登记规定的处罚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4.1.1</w:t>
            </w:r>
            <w:r>
              <w:rPr>
                <w:rFonts w:hint="eastAsia" w:ascii="宋体" w:hAnsi="宋体" w:cs="宋体"/>
                <w:color w:val="000000"/>
                <w:kern w:val="0"/>
                <w:sz w:val="24"/>
              </w:rPr>
              <w:t>对未按照规定期限办理税务登记、变更或者注销税务登记，未按照规定报告银行账号的处罚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《中华人民共和国税收征收管理法》第六十条第一款第一、四项。</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4.1</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对违反税务登记规定的处罚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4.1.2</w:t>
            </w:r>
            <w:r>
              <w:rPr>
                <w:rFonts w:hint="eastAsia" w:ascii="宋体" w:hAnsi="宋体" w:cs="宋体"/>
                <w:color w:val="000000"/>
                <w:kern w:val="0"/>
                <w:sz w:val="24"/>
              </w:rPr>
              <w:t>对未按照规定使用税务登记证件或者转借、涂改、损毁、买卖、伪造税务登记证件的处罚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《中华人民共和国税收征收管理法》第六十条第三款。</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4.1</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对违反税务登记规定的处罚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4.1.3</w:t>
            </w:r>
            <w:r>
              <w:rPr>
                <w:rFonts w:hint="eastAsia" w:ascii="宋体" w:hAnsi="宋体" w:cs="宋体"/>
                <w:color w:val="000000"/>
                <w:kern w:val="0"/>
                <w:sz w:val="24"/>
              </w:rPr>
              <w:t>对未按照规定办理税务登记证件验证或者换证手续的处罚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《中华人民共和国税收征收管理法实施细则》第九十条。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4.1</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对违反税务登记规定的处罚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《中华人民共和国税收征收管理法实施细则》第九十二条。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4.1</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对违反税务登记规定的处罚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4.1.5对纳税人不办理税务登记的处罚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1.《中华人民共和国行政处罚法》第十二条第二款。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2.《税务登记管理办法》（国家税务总局令第7号公布，国家税务总局令第36号、第44号、第48号修改）第四十条。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3.《中华人民共和国税收征收管理法》第六十条第一款。</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4.1</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对违反税务登记规定的处罚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4.1.6对纳税人通过提供虚假的证明资料等手段，骗取税务登记证的处罚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1.《中华人民共和国行政处罚法》第十二条第二款。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2.《税务登记管理办法》（国家税务总局令第7号公布，国家税务总局令第36号、第44号、第48号修改）第四十一条。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4.1</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对违反税务登记规定的处罚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4.1.7对扣缴义务人未按照规定办理扣缴税款登记的处罚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1.《中华人民共和国行政处罚法》第十二条第二款。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2.《税务登记管理办法》（国家税务总局令第7号公布，国家税务总局令第36号、第44号、第48号修改）第四十二条。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4.1</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对违反税务登记规定的处罚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4.1.8对境内机构或个人发包工程作业或劳务项目，未按规定向主管税务机关报告有关事项的处罚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1.《中华人民共和国行政处罚法》第十二条第二款。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2.《非居民承包工程作业和提供劳务税收管理暂行办法》（国家税务总局令第19号公布）第三十三条。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4.2</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对违反账簿凭证管理规定的处罚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4.2.1</w:t>
            </w:r>
            <w:r>
              <w:rPr>
                <w:rFonts w:hint="eastAsia" w:ascii="宋体" w:hAnsi="宋体" w:cs="宋体"/>
                <w:color w:val="000000"/>
                <w:kern w:val="0"/>
                <w:sz w:val="24"/>
              </w:rPr>
              <w:t>对未按照规定设置、保管账簿或者保管记账凭证和有关资料，未按照规定报送财务、会计制度、办法和会计核算软件，未按照规定安装、使用或者损毁、擅自改动税控装置的处罚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《中华人民共和国税收征收管理法》第六十条第一款第二、三、五项。</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4.2</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对违反账簿凭证管理规定的处罚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4.2.2</w:t>
            </w:r>
            <w:r>
              <w:rPr>
                <w:rFonts w:hint="eastAsia" w:ascii="宋体" w:hAnsi="宋体" w:cs="宋体"/>
                <w:color w:val="000000"/>
                <w:kern w:val="0"/>
                <w:sz w:val="24"/>
              </w:rPr>
              <w:t>对扣缴义务人未按照规定设置、保管代扣代缴、代收代缴税款账簿或者保管代扣代缴、代收代缴税款记账凭证及有关资料的处罚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《中华人民共和国税收征收管理法》第六十一条。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4.2</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对违反账簿凭证管理规定的处罚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4.2.3对非法印制、转借、倒卖、变造或者伪造完税凭证的处罚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《中华人民共和国税收征收管理法实施细则》第九十一条。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税务机关对涉嫌犯罪的违法案件，应当依法移送司法机关。</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4.3</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对违反纳税申报规定的处罚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4.3.1</w:t>
            </w:r>
            <w:r>
              <w:rPr>
                <w:rFonts w:hint="eastAsia" w:ascii="宋体" w:hAnsi="宋体" w:cs="宋体"/>
                <w:color w:val="000000"/>
                <w:kern w:val="0"/>
                <w:sz w:val="24"/>
              </w:rPr>
              <w:t>对未按照规定的期限办理纳税申报和报送申报资料，未按照规定的期限报送代扣代缴、代收代缴税款报告表和有关资料的处罚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《中华人民共和国税收征收管理法》第六十二条。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4.3</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对违反纳税申报规定的处罚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4.3.2对纳税人、扣缴义务人编造虚假计税依据的处罚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《中华人民共和国税收征收管理法》第六十四条第一款。</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4.4</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对违反税款征收规定的处罚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4.4.1对纳税人不进行纳税申报，不缴或者少缴应纳税款的处罚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《中华人民共和国税收征收管理法》第六十四条第二款。</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4.4</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对违反税款征收规定的处罚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4.4.2对纳税人、扣缴义务人在规定期限内不缴或者少缴应纳或者应解缴的税款，经税务机关责令限期缴纳，逾期仍未缴纳的处罚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《中华人民共和国税收征收管理法》第六十八条。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4.4</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对违反税款征收规定的处罚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4.4.3对扣缴义务人应扣未扣、应收未收税款的处罚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《中华人民共和国税收征收管理法》第六十九条。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4.4</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对违反税款征收规定的处罚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4.4.4对未经税务机关依法委托征收税款的处罚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《中华人民共和国税收征收管理法》第七十八条。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税务机关对涉嫌犯罪的违法案件，应当依法移送司法机关。</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4.4</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对违反税款征收规定的处罚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4.4.5对为纳税人、扣缴义务人非法提供银行账户、发票、证明或者其他方便，导致未缴、少缴税款或者骗取国家出口退税款的处罚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《中华人民共和国税收征收管理法实施细则》第九十三条。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4.4</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对违反税款征收规定的处罚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4.4.6对纳税人拒绝代扣、代收税款以及拒不缴纳税款的处罚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1.《中华人民共和国税收征收管理法》第六十八条。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2.《中华人民共和国税收征收管理法实施细则》第九十四条。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4.4</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对违反税款征收规定的处罚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4.4.7对税务代理人违反税收法律、行政法规，造成纳税人未缴或者少缴税款的处罚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《中华人民共和国税收征收管理法实施细则》第九十八条。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4.5</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对违反税务检查管理的处罚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4.5.1对纳税人、扣缴义务人逃避、拒绝或者以其他方式阻挠税务机关检查的处罚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1.《中华人民共和国税收征收管理法》第七十条。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2.《中华人民共和国税收征收管理法实施细则》第九十六条。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4.5</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对违反税务检查管理的处罚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4.5.2对纳税人、扣缴义务人的开户银行或者其他金融机构拒绝接受税务机关依法检查纳税人、扣缴义务人存款账户，或者拒绝执行税务机关作出的冻结存款或者扣缴税款的决定，或者在接到税务机关的书面通知后帮助纳税人、扣缴义务人转移存款，造成税款流失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《中华人民共和国税收征收管理法》第七十三条。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4.5</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对违反税务检查管理的处罚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4.5.3对有关单位拒绝税务机关依照税收征管法第五十四条第（五）项的规定，到车站、码头、机场、邮政企业及其分支机构检查纳税人有关情况的处罚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《中华人民共和国税收征收管理法实施细则》第九十五条。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4.6</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对违反发票及票证管理规定的处罚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4.6.1对违反规定非法印制发票的处罚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《中华人民共和国税收征收管理法》第二十二条、第七十一条。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税务机关对涉嫌犯罪的违法案件，应当依法移送司法机关。</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4.6</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对违反发票及票证管理规定的处罚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4.6.2</w:t>
            </w:r>
            <w:r>
              <w:rPr>
                <w:rFonts w:hint="eastAsia" w:ascii="宋体" w:hAnsi="宋体" w:cs="宋体"/>
                <w:color w:val="000000"/>
                <w:kern w:val="0"/>
                <w:sz w:val="24"/>
              </w:rPr>
              <w:t>对未按照规定开具、使用、缴销、存放、保管发票，未按照规定报备非税控电子器具使用的软件程序说明资料，未按照规定保存、报送开具发票数据的处罚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《中华人民共和国发票管理办法》第三十五条。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4.6</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对违反发票及票证管理规定的处罚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4.6.3</w:t>
            </w:r>
            <w:r>
              <w:rPr>
                <w:rFonts w:hint="eastAsia" w:ascii="宋体" w:hAnsi="宋体" w:cs="宋体"/>
                <w:color w:val="000000"/>
                <w:kern w:val="0"/>
                <w:sz w:val="24"/>
              </w:rPr>
              <w:t>对违反规定携带、邮寄、运输空白发票或者丢失、擅自损毁发票的处罚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《中华人民共和国发票管理办法》第三十六条。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4.6</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对违反发票及票证管理规定的处罚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4.6.4</w:t>
            </w:r>
            <w:r>
              <w:rPr>
                <w:rFonts w:hint="eastAsia" w:ascii="宋体" w:hAnsi="宋体" w:cs="宋体"/>
                <w:color w:val="000000"/>
                <w:kern w:val="0"/>
                <w:sz w:val="24"/>
              </w:rPr>
              <w:t>对虚开或者非法代开发票的处罚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《中华人民共和国发票管理办法》第二十二条第二款、第三十七条。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3.税务机关应当依法责令当事人改正或者限期改正违法行为；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hint="eastAsia" w:ascii="宋体" w:hAnsi="宋体" w:eastAsia="宋体" w:cs="宋体"/>
                <w:color w:val="000000"/>
                <w:kern w:val="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widowControl/>
              <w:jc w:val="left"/>
              <w:textAlignment w:val="center"/>
              <w:rPr>
                <w:rFonts w:hint="eastAsia" w:ascii="宋体" w:hAnsi="宋体" w:eastAsia="宋体" w:cs="宋体"/>
                <w:color w:val="000000"/>
                <w:kern w:val="0"/>
                <w:sz w:val="24"/>
              </w:rPr>
            </w:pPr>
            <w:r>
              <w:rPr>
                <w:rFonts w:hint="eastAsia" w:ascii="宋体" w:hAnsi="宋体" w:eastAsia="宋体" w:cs="宋体"/>
                <w:color w:val="000000"/>
                <w:kern w:val="0"/>
                <w:sz w:val="24"/>
              </w:rPr>
              <w:t>三、部门间职责衔接 税务机关对涉嫌犯罪的违法案件，应当依法移送司法机关。</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4.6</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对违反发票及票证管理规定的处罚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4.6.5对私自印制、伪造、变造发票，非法制造发票防伪专用品，伪造发票监制章的处罚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《中华人民共和国发票管理办法》第三十八条。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税务机关对涉嫌犯罪的违法案件，应当依法移送司法机关。</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4.6</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对违反发票及票证管理规定的处罚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4.6.6对转借、转让、介绍他人转让发票、发票监制章和发票防伪专用品，或者受让、开具、存放、携带、邮寄、运输知道或者应当知道是私自印制、伪造、变造、非法取得或者废止的发票的处罚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《中华人民共和国发票管理办法》第三十九条。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4.6</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对违反发票及票证管理规定的处罚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4.6.7对违反发票管理法规，导致其他单位或者个人未缴、少缴或者骗取税款的处罚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《中华人民共和国发票管理办法》第四十一条。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4.6</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对违反发票及票证管理规定的处罚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4.6.8</w:t>
            </w:r>
            <w:r>
              <w:rPr>
                <w:rFonts w:hint="eastAsia" w:ascii="宋体" w:hAnsi="宋体" w:cs="宋体"/>
                <w:color w:val="000000"/>
                <w:kern w:val="0"/>
                <w:sz w:val="24"/>
              </w:rPr>
              <w:t>对扣缴义务人未按照《税收票证管理办法》开具税收票证的处罚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1.《中华人民共和国行政处罚法》第十二条第二款。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2.《税收票证管理办法》（国家税务总局令第28号公布，国家税务总局令第48号修改）第五十四条第二款。</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4.6</w:t>
            </w:r>
          </w:p>
        </w:tc>
        <w:tc>
          <w:tcPr>
            <w:tcW w:w="9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对违反发票及票证管理规定的处罚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4.6.9对自行填开税收票证的纳税人违反《税收票证管理办法》及相关规定的处罚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1.《中华人民共和国行政处罚法》第十二条第二款。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2.《税收票证管理办法》（国家税务总局令第28号公布，国家税务总局令第48号修改）第五十六条。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4.7</w:t>
            </w:r>
          </w:p>
        </w:tc>
        <w:tc>
          <w:tcPr>
            <w:tcW w:w="960" w:type="dxa"/>
            <w:shd w:val="clear" w:color="auto" w:fill="auto"/>
            <w:tcMar>
              <w:top w:w="10" w:type="dxa"/>
              <w:left w:w="10" w:type="dxa"/>
              <w:right w:w="10" w:type="dxa"/>
            </w:tcMar>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对违反纳税担保规定的处罚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4.7.1对采取欺骗、隐瞒等手段提供担保或者为实施虚假担保提供方便的处罚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1.《中华人民共和国行政处罚法》第十二条第二款。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2.《纳税担保试行办法》（国家税务总局令第11号）第三十一条。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4.7</w:t>
            </w:r>
          </w:p>
        </w:tc>
        <w:tc>
          <w:tcPr>
            <w:tcW w:w="960" w:type="dxa"/>
            <w:shd w:val="clear" w:color="auto" w:fill="auto"/>
            <w:tcMar>
              <w:top w:w="10" w:type="dxa"/>
              <w:left w:w="10" w:type="dxa"/>
              <w:right w:w="10" w:type="dxa"/>
            </w:tcMar>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对违反纳税担保规定的处罚</w:t>
            </w:r>
          </w:p>
        </w:tc>
        <w:tc>
          <w:tcPr>
            <w:tcW w:w="1546"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4.7.2对纳税人采取欺骗、隐瞒等手段提供担保，造成应缴税款损失的处罚</w:t>
            </w:r>
          </w:p>
        </w:tc>
        <w:tc>
          <w:tcPr>
            <w:tcW w:w="1260"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1.《中华人民共和国行政处罚法》第十二条第二款。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2.《纳税担保试行办法》（国家税务总局令第11号）第三十二条。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3.《中华人民共和国税收征收管理法》第六十八条。</w:t>
            </w:r>
          </w:p>
        </w:tc>
        <w:tc>
          <w:tcPr>
            <w:tcW w:w="11965"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8.当事人确有经济困难，需要延期或者分期缴纳罚款的，经当事人申请和税务机关批准，可以暂缓或者分期缴纳。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1.没有法定的行政处罚依据的，擅自改变行政处罚种类、幅度的，违反法定的行政处罚程序的；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2.对当事人进行处罚不使用罚款、没收财物单据或者使用非法定部门制发的罚款、没收财物单据的；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3.违反《中华人民共和国行政处罚法》第四十六条的规定自行收缴罚款的；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4.将罚款、没收的违法所得或者财物截留、私分或者变相私分的；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7.利用职务上的便利，索取或者收受纳税人、扣缴义务人财物或者谋取不正当利益，收缴罚款据为己有的；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9.未按照规定为纳税人、扣缴义务人保密的；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10.法律、行政法规等规定的其他不履行或者不正确履行行政职责的情形。</w:t>
            </w:r>
          </w:p>
          <w:p>
            <w:pPr>
              <w:widowControl/>
              <w:jc w:val="left"/>
              <w:textAlignment w:val="center"/>
              <w:rPr>
                <w:rFonts w:ascii="宋体" w:hAnsi="宋体" w:eastAsia="宋体" w:cs="宋体"/>
                <w:color w:val="000000"/>
                <w:sz w:val="24"/>
              </w:rPr>
            </w:pPr>
          </w:p>
        </w:tc>
      </w:tr>
    </w:tbl>
    <w:p>
      <w:pPr>
        <w:rPr>
          <w:rFonts w:ascii="楷体" w:hAnsi="楷体" w:eastAsia="楷体" w:cs="楷体"/>
          <w:b/>
          <w:bCs/>
          <w:sz w:val="32"/>
          <w:szCs w:val="32"/>
        </w:rPr>
      </w:pPr>
      <w:r>
        <w:rPr>
          <w:rFonts w:ascii="楷体" w:hAnsi="楷体" w:eastAsia="楷体" w:cs="楷体"/>
          <w:b/>
          <w:bCs/>
          <w:sz w:val="32"/>
          <w:szCs w:val="32"/>
        </w:rPr>
        <w:br w:type="page"/>
      </w:r>
    </w:p>
    <w:p>
      <w:pPr>
        <w:shd w:val="clear" w:color="auto" w:fill="FFFFFF" w:themeFill="background1"/>
        <w:tabs>
          <w:tab w:val="left" w:pos="639"/>
        </w:tabs>
        <w:jc w:val="center"/>
        <w:rPr>
          <w:rFonts w:ascii="楷体" w:hAnsi="楷体" w:eastAsia="楷体" w:cs="楷体"/>
          <w:b/>
          <w:bCs/>
          <w:sz w:val="32"/>
          <w:szCs w:val="32"/>
        </w:rPr>
      </w:pPr>
      <w:r>
        <w:rPr>
          <w:rFonts w:hint="eastAsia" w:ascii="楷体" w:hAnsi="楷体" w:eastAsia="楷体" w:cs="楷体"/>
          <w:b/>
          <w:bCs/>
          <w:sz w:val="32"/>
          <w:szCs w:val="32"/>
        </w:rPr>
        <w:t>（五）行政许可</w:t>
      </w:r>
    </w:p>
    <w:tbl>
      <w:tblPr>
        <w:tblStyle w:val="5"/>
        <w:tblW w:w="20697" w:type="dxa"/>
        <w:tblInd w:w="0" w:type="dxa"/>
        <w:tblLayout w:type="fixed"/>
        <w:tblCellMar>
          <w:top w:w="0" w:type="dxa"/>
          <w:left w:w="0" w:type="dxa"/>
          <w:bottom w:w="0" w:type="dxa"/>
          <w:right w:w="0" w:type="dxa"/>
        </w:tblCellMar>
      </w:tblPr>
      <w:tblGrid>
        <w:gridCol w:w="989"/>
        <w:gridCol w:w="990"/>
        <w:gridCol w:w="990"/>
        <w:gridCol w:w="1499"/>
        <w:gridCol w:w="13084"/>
        <w:gridCol w:w="3145"/>
      </w:tblGrid>
      <w:tr>
        <w:tblPrEx>
          <w:tblCellMar>
            <w:top w:w="0" w:type="dxa"/>
            <w:left w:w="0" w:type="dxa"/>
            <w:bottom w:w="0" w:type="dxa"/>
            <w:right w:w="0" w:type="dxa"/>
          </w:tblCellMar>
        </w:tblPrEx>
        <w:trPr>
          <w:trHeight w:val="600" w:hRule="atLeast"/>
          <w:tblHeader/>
        </w:trPr>
        <w:tc>
          <w:tcPr>
            <w:tcW w:w="9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序号</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职权名称</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子项</w:t>
            </w: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设定依据</w:t>
            </w:r>
          </w:p>
        </w:tc>
        <w:tc>
          <w:tcPr>
            <w:tcW w:w="130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履责方式</w:t>
            </w:r>
          </w:p>
        </w:tc>
        <w:tc>
          <w:tcPr>
            <w:tcW w:w="314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追责情形</w:t>
            </w:r>
          </w:p>
        </w:tc>
      </w:tr>
      <w:tr>
        <w:tblPrEx>
          <w:tblCellMar>
            <w:top w:w="0" w:type="dxa"/>
            <w:left w:w="0" w:type="dxa"/>
            <w:bottom w:w="0" w:type="dxa"/>
            <w:right w:w="0" w:type="dxa"/>
          </w:tblCellMar>
        </w:tblPrEx>
        <w:trPr>
          <w:trHeight w:val="660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5.1</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对纳税人延期申报的核准</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1.《中华人民共和国税收征收管理法》第二十七条第一款。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2.《中华人民共和国税收征收管理法实施细则》第三十七条。</w:t>
            </w:r>
          </w:p>
        </w:tc>
        <w:tc>
          <w:tcPr>
            <w:tcW w:w="130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5.税务机关应当自作出决定之日起2个工作日内向申请人送达行政许可决定，7个工作日内公开准予行政许可的决定；</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7.被许可人有《中华人民共和国行政许可法》第七十条规定情形的，税务机关应当依法办理税务行政许可注销手续；</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eastAsia="宋体" w:cs="宋体"/>
                <w:color w:val="000000"/>
                <w:sz w:val="24"/>
              </w:rPr>
            </w:pPr>
          </w:p>
        </w:tc>
        <w:tc>
          <w:tcPr>
            <w:tcW w:w="314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1.未按照规定受理、公示、履行告知义务、一次性告知补正、说明不予受理或者不予行政许可的理由的，依法应当举行听证而不举行听证的；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2.办理行政许可、实施监督检查，索取或者收受他人财物或者谋取其他利益的；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3.违反法定条件、超越法定职权、不在法定期限内做出行政许可决定的；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4.实施行政许可，擅自收费的；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5.不依法履行监督职责或监督不力造成严重后果的；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6.未按照规定为行政相对人保密的；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7.滥用职权，故意刁难纳税人的；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8.法律、行政法规等规定的其他不履行或者不正确履行行政职责的情形。</w:t>
            </w:r>
          </w:p>
        </w:tc>
      </w:tr>
      <w:tr>
        <w:tblPrEx>
          <w:tblCellMar>
            <w:top w:w="0" w:type="dxa"/>
            <w:left w:w="0" w:type="dxa"/>
            <w:bottom w:w="0" w:type="dxa"/>
            <w:right w:w="0" w:type="dxa"/>
          </w:tblCellMar>
        </w:tblPrEx>
        <w:trPr>
          <w:trHeight w:val="660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5.2</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对纳税人变更纳税定额的核准</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《中华人民共和国税收征收管理法实施细则》第四十七条第三款。</w:t>
            </w:r>
          </w:p>
        </w:tc>
        <w:tc>
          <w:tcPr>
            <w:tcW w:w="130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3.税务机关应当按照核定定额、定额公示、上级核准、下达定额、公布定额的程序核准纳税人变更纳税定额；</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6.税务机关应当自作出决定之日起2个工作日内向申请人送达行政许可决定，7个工作日内公开准予行政许可的决定；</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8.被许可人有《中华人民共和国行政许可法》第七十条规定情形的，税务机关应当依法办理税务行政许可注销手续；</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3.主管税务机关应当将定期定额户进行分类，在年度内按行业、区域选择一定数量并具有代表性的定期定额户，对其经营、所得情况进行典型调查；</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eastAsia="宋体" w:cs="宋体"/>
                <w:color w:val="000000"/>
                <w:sz w:val="24"/>
              </w:rPr>
            </w:pPr>
          </w:p>
        </w:tc>
        <w:tc>
          <w:tcPr>
            <w:tcW w:w="314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1.未按照规定受理、公示、履行告知义务、一次性告知补正、说明不予受理或者不予行政许可理由的，依法应当举行听证而不举行听证的；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2.办理行政许可、实施监督检查，索取或者收受他人财物或者谋取其他利益的；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3.违反法定条件、超越法定职权、不在法定期限内做出行政许可决定的；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4.实施行政许可，擅自收费的；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5.不依法履行监督职责或监督不力造成严重后果的；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7.未按照规定为行政相对人保密的；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8.滥用职权，故意刁难纳税人的；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9.法律、行政法规等规定的其他不履行或者不正确履行行政职责的情形。</w:t>
            </w:r>
          </w:p>
        </w:tc>
      </w:tr>
      <w:tr>
        <w:tblPrEx>
          <w:tblCellMar>
            <w:top w:w="0" w:type="dxa"/>
            <w:left w:w="0" w:type="dxa"/>
            <w:bottom w:w="0" w:type="dxa"/>
            <w:right w:w="0" w:type="dxa"/>
          </w:tblCellMar>
        </w:tblPrEx>
        <w:trPr>
          <w:trHeight w:val="660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5.3</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增值税专用发票（增值税税控系统）最高开票限额审批</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《国务院对确需保留的行政审批项目设定行政许可的决定》（国务院令第412号）附件第236项。</w:t>
            </w:r>
          </w:p>
          <w:p>
            <w:pPr>
              <w:widowControl/>
              <w:jc w:val="left"/>
              <w:textAlignment w:val="center"/>
              <w:rPr>
                <w:rFonts w:ascii="宋体" w:hAnsi="宋体" w:eastAsia="宋体" w:cs="宋体"/>
                <w:color w:val="000000"/>
                <w:sz w:val="24"/>
              </w:rPr>
            </w:pPr>
          </w:p>
        </w:tc>
        <w:tc>
          <w:tcPr>
            <w:tcW w:w="130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税务机关审查税务行政许可申请，应当以书面审查为原则；根据法定条件和程序，需要对申请材料的实质内容进行实地核实的，应当指派两名以上税务人员进行核查。一般纳税人申请增值税专用发票最高开票限额不超过10万元的，税务机关不需事前进行实地查验。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color w:val="000000"/>
                <w:kern w:val="0"/>
                <w:sz w:val="24"/>
              </w:rPr>
            </w:pPr>
            <w:r>
              <w:rPr>
                <w:rFonts w:ascii="宋体" w:hAnsi="宋体" w:cs="宋体"/>
                <w:color w:val="000000"/>
                <w:kern w:val="0"/>
                <w:sz w:val="24"/>
              </w:rPr>
              <w:t>4.</w:t>
            </w:r>
            <w:r>
              <w:rPr>
                <w:rFonts w:hint="eastAsia" w:ascii="宋体" w:hAnsi="宋体" w:cs="宋体"/>
                <w:color w:val="000000"/>
                <w:kern w:val="0"/>
                <w:sz w:val="24"/>
              </w:rPr>
              <w:t>税务机关为符合规定的首次申领增值税发票的新办纳税人办理发票票种核定，增值税专用发票最高开票限额不超过10万元，每月最高领用数量不超过25份；增值税普通发票最高开票限额不超过10万元，每月最高领用数量不超过50份。各省税务机关可以在此范围内结合纳税人税收风险程度，自行确定新办纳税人首次申领增值税发票票种核定标准；</w:t>
            </w:r>
          </w:p>
          <w:p>
            <w:pPr>
              <w:widowControl/>
              <w:jc w:val="left"/>
              <w:textAlignment w:val="center"/>
              <w:rPr>
                <w:rFonts w:ascii="宋体" w:hAnsi="宋体" w:cs="宋体"/>
                <w:color w:val="000000"/>
                <w:kern w:val="0"/>
                <w:sz w:val="24"/>
              </w:rPr>
            </w:pPr>
            <w:r>
              <w:rPr>
                <w:rFonts w:ascii="宋体" w:hAnsi="宋体" w:cs="宋体"/>
                <w:color w:val="000000"/>
                <w:kern w:val="0"/>
                <w:sz w:val="24"/>
              </w:rPr>
              <w:t>5</w:t>
            </w:r>
            <w:r>
              <w:rPr>
                <w:rFonts w:hint="eastAsia" w:ascii="宋体" w:hAnsi="宋体" w:cs="宋体"/>
                <w:color w:val="000000"/>
                <w:kern w:val="0"/>
                <w:sz w:val="24"/>
              </w:rPr>
              <w:t>.税务机关应当自受理行政许可申请之日起10个工作日内作出行政许可决定。10个工作日内不能作出决定的，经本税务机关负责人批准，可以延长5个工作日，并应当将延长期限的理由告知申请人。符合规定的新办纳税人首次申领增值税发票，主管税务机关应当自受理申请之日起2个工作日内办结，有条件的主管税务机关当日办结；</w:t>
            </w:r>
          </w:p>
          <w:p>
            <w:pPr>
              <w:widowControl/>
              <w:jc w:val="left"/>
              <w:textAlignment w:val="center"/>
              <w:rPr>
                <w:rFonts w:ascii="宋体" w:hAnsi="宋体" w:cs="宋体"/>
                <w:color w:val="000000"/>
                <w:kern w:val="0"/>
                <w:sz w:val="24"/>
              </w:rPr>
            </w:pPr>
            <w:r>
              <w:rPr>
                <w:rFonts w:ascii="宋体" w:hAnsi="宋体" w:cs="宋体"/>
                <w:color w:val="000000"/>
                <w:kern w:val="0"/>
                <w:sz w:val="24"/>
              </w:rPr>
              <w:t>6</w:t>
            </w:r>
            <w:r>
              <w:rPr>
                <w:rFonts w:hint="eastAsia" w:ascii="宋体" w:hAnsi="宋体" w:cs="宋体"/>
                <w:color w:val="000000"/>
                <w:kern w:val="0"/>
                <w:sz w:val="24"/>
              </w:rPr>
              <w:t>.税务机关应当自作出决定之日起2个工作日内向申请人送达行政许可决定，7个工作日内公开准予行政许可的决定；</w:t>
            </w:r>
          </w:p>
          <w:p>
            <w:pPr>
              <w:widowControl/>
              <w:jc w:val="left"/>
              <w:textAlignment w:val="center"/>
              <w:rPr>
                <w:rFonts w:ascii="宋体" w:hAnsi="宋体" w:cs="宋体"/>
                <w:color w:val="000000"/>
                <w:kern w:val="0"/>
                <w:sz w:val="24"/>
              </w:rPr>
            </w:pPr>
            <w:r>
              <w:rPr>
                <w:rFonts w:ascii="宋体" w:hAnsi="宋体" w:cs="宋体"/>
                <w:color w:val="000000"/>
                <w:kern w:val="0"/>
                <w:sz w:val="24"/>
              </w:rPr>
              <w:t>7</w:t>
            </w:r>
            <w:r>
              <w:rPr>
                <w:rFonts w:hint="eastAsia" w:ascii="宋体" w:hAnsi="宋体" w:cs="宋体"/>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color w:val="000000"/>
                <w:kern w:val="0"/>
                <w:sz w:val="24"/>
              </w:rPr>
            </w:pPr>
            <w:r>
              <w:rPr>
                <w:rFonts w:ascii="宋体" w:hAnsi="宋体" w:cs="宋体"/>
                <w:color w:val="000000"/>
                <w:kern w:val="0"/>
                <w:sz w:val="24"/>
              </w:rPr>
              <w:t>8</w:t>
            </w:r>
            <w:r>
              <w:rPr>
                <w:rFonts w:hint="eastAsia" w:ascii="宋体" w:hAnsi="宋体" w:cs="宋体"/>
                <w:color w:val="000000"/>
                <w:kern w:val="0"/>
                <w:sz w:val="24"/>
              </w:rPr>
              <w:t>.被许可人有《中华人民共和国行政许可法》第七十条规定情形的，税务机关应当依法办理税务行政许可注销手续；</w:t>
            </w:r>
          </w:p>
          <w:p>
            <w:pPr>
              <w:widowControl/>
              <w:jc w:val="left"/>
              <w:textAlignment w:val="center"/>
              <w:rPr>
                <w:rFonts w:ascii="宋体" w:hAnsi="宋体" w:cs="宋体"/>
                <w:color w:val="000000"/>
                <w:kern w:val="0"/>
                <w:sz w:val="24"/>
              </w:rPr>
            </w:pPr>
            <w:r>
              <w:rPr>
                <w:rFonts w:ascii="宋体" w:hAnsi="宋体" w:cs="宋体"/>
                <w:color w:val="000000"/>
                <w:kern w:val="0"/>
                <w:sz w:val="24"/>
              </w:rPr>
              <w:t>9</w:t>
            </w:r>
            <w:r>
              <w:rPr>
                <w:rFonts w:hint="eastAsia" w:ascii="宋体" w:hAnsi="宋体" w:cs="宋体"/>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税务机关要建立高效联动的风险防控机制，科学设立风险防控指标，加强日常评估及后续监控管理，提升后续监控的及时性和针对性，跟踪分析纳税人发票使用及纳税申报情况。对纳税人发票使用异常且无正当理由的，税务机关可重新核定发票限额及领用数量；</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eastAsia="宋体" w:cs="宋体"/>
                <w:color w:val="000000"/>
                <w:sz w:val="24"/>
              </w:rPr>
            </w:pPr>
          </w:p>
        </w:tc>
        <w:tc>
          <w:tcPr>
            <w:tcW w:w="314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1.未按照规定受理、公示、履行告知义务、一次性告知补正、说明不予受理或者不予行政许可理由的，依法应当举行听证而不举行听证的；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2.办理行政许可、实施监督检查，索取或者收受他人财物或者谋取其他利益的；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3.违反法定条件、超越法定职权、不在法定期限内做出行政许可决定的；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4.实施行政许可，擅自收费的；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5.不依法履行监督职责或监督不力造成严重后果的；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6.未按照规定为行政相对人保密的；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7.滥用职权，故意刁难纳税人的；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8.法律、行政法规等规定的其他不履行或者不正确履行行政职责的情形。</w:t>
            </w:r>
          </w:p>
        </w:tc>
      </w:tr>
      <w:tr>
        <w:tblPrEx>
          <w:tblCellMar>
            <w:top w:w="0" w:type="dxa"/>
            <w:left w:w="0" w:type="dxa"/>
            <w:bottom w:w="0" w:type="dxa"/>
            <w:right w:w="0" w:type="dxa"/>
          </w:tblCellMar>
        </w:tblPrEx>
        <w:trPr>
          <w:trHeight w:val="660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5.4</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对采取实际利润额预缴以外的其他企业所得税预缴方式的核定</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《中华人民共和国企业所得税法实施条例》第一百二十七条。</w:t>
            </w:r>
          </w:p>
        </w:tc>
        <w:tc>
          <w:tcPr>
            <w:tcW w:w="130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5.税务机关应当自作出决定之日起2个工作日内向申请人送达行政许可决定，7个工作日内公开准予行政许可的决定；</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7.被许可人有《中华人民共和国行政许可法》第七十条规定情形的，税务机关应当依法办理税务行政许可注销手续；</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3.对采取实际利润额预缴以外的其他企业所得税预缴方式的企业预缴情况进行核查,发现其未按规定预缴造成少缴税款的，按规定补缴税款并加收滞纳金；</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eastAsia="宋体" w:cs="宋体"/>
                <w:color w:val="000000"/>
                <w:sz w:val="24"/>
              </w:rPr>
            </w:pPr>
          </w:p>
        </w:tc>
        <w:tc>
          <w:tcPr>
            <w:tcW w:w="314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1.未按照规定受理、公示、履行告知义务、一次性告知补正、说明不予受理或者不予行政许可的理由的，依法应当举行听证而不举行听证的；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2.办理行政许可、实施监督检查，索取或者收受他人财物或者谋取其他利益的；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3.违反法定条件、超越法定职权、不在法定期限内做出行政许可决定的；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4.实施行政许可，擅自收费的；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5.不依法履行监督职责或监督不力造成严重后果的；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6.未按照规定为行政相对人保密的；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7.滥用职权，故意刁难纳税人的；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8.法律、行政法规等规定的其他不履行或者不正确履行行政职责的情形。</w:t>
            </w:r>
          </w:p>
        </w:tc>
      </w:tr>
    </w:tbl>
    <w:p>
      <w:pPr>
        <w:rPr>
          <w:rFonts w:ascii="楷体" w:hAnsi="楷体" w:eastAsia="楷体" w:cs="楷体"/>
          <w:b/>
          <w:bCs/>
          <w:sz w:val="32"/>
          <w:szCs w:val="32"/>
        </w:rPr>
      </w:pPr>
      <w:r>
        <w:rPr>
          <w:rFonts w:ascii="楷体" w:hAnsi="楷体" w:eastAsia="楷体" w:cs="楷体"/>
          <w:b/>
          <w:bCs/>
          <w:sz w:val="32"/>
          <w:szCs w:val="32"/>
        </w:rPr>
        <w:br w:type="page"/>
      </w:r>
    </w:p>
    <w:p>
      <w:pPr>
        <w:shd w:val="clear" w:color="auto" w:fill="FFFFFF" w:themeFill="background1"/>
        <w:tabs>
          <w:tab w:val="left" w:pos="639"/>
        </w:tabs>
        <w:jc w:val="center"/>
        <w:rPr>
          <w:rFonts w:ascii="楷体_GB2312" w:hAnsi="楷体" w:eastAsia="楷体_GB2312" w:cs="楷体"/>
          <w:b/>
          <w:bCs/>
          <w:sz w:val="32"/>
          <w:szCs w:val="32"/>
        </w:rPr>
      </w:pPr>
    </w:p>
    <w:p>
      <w:pPr>
        <w:shd w:val="clear" w:color="auto" w:fill="FFFFFF" w:themeFill="background1"/>
        <w:tabs>
          <w:tab w:val="left" w:pos="639"/>
        </w:tabs>
        <w:jc w:val="center"/>
        <w:rPr>
          <w:rFonts w:ascii="楷体_GB2312" w:hAnsi="楷体" w:eastAsia="楷体_GB2312" w:cs="楷体"/>
          <w:b/>
          <w:bCs/>
          <w:sz w:val="32"/>
          <w:szCs w:val="32"/>
        </w:rPr>
      </w:pPr>
      <w:r>
        <w:rPr>
          <w:rFonts w:hint="eastAsia" w:ascii="楷体_GB2312" w:hAnsi="楷体" w:eastAsia="楷体_GB2312" w:cs="楷体"/>
          <w:b/>
          <w:bCs/>
          <w:sz w:val="32"/>
          <w:szCs w:val="32"/>
        </w:rPr>
        <w:t>（六）行政确认</w:t>
      </w:r>
    </w:p>
    <w:tbl>
      <w:tblPr>
        <w:tblStyle w:val="5"/>
        <w:tblW w:w="20660" w:type="dxa"/>
        <w:tblInd w:w="0" w:type="dxa"/>
        <w:tblLayout w:type="fixed"/>
        <w:tblCellMar>
          <w:top w:w="0" w:type="dxa"/>
          <w:left w:w="0" w:type="dxa"/>
          <w:bottom w:w="0" w:type="dxa"/>
          <w:right w:w="0" w:type="dxa"/>
        </w:tblCellMar>
      </w:tblPr>
      <w:tblGrid>
        <w:gridCol w:w="535"/>
        <w:gridCol w:w="740"/>
        <w:gridCol w:w="674"/>
        <w:gridCol w:w="4061"/>
        <w:gridCol w:w="10368"/>
        <w:gridCol w:w="4282"/>
      </w:tblGrid>
      <w:tr>
        <w:tblPrEx>
          <w:tblCellMar>
            <w:top w:w="0" w:type="dxa"/>
            <w:left w:w="0" w:type="dxa"/>
            <w:bottom w:w="0" w:type="dxa"/>
            <w:right w:w="0" w:type="dxa"/>
          </w:tblCellMar>
        </w:tblPrEx>
        <w:trPr>
          <w:trHeight w:val="600" w:hRule="atLeast"/>
          <w:tblHead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序号</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职权名称</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b/>
                <w:color w:val="000000"/>
                <w:sz w:val="24"/>
              </w:rPr>
            </w:pPr>
            <w:r>
              <w:rPr>
                <w:rFonts w:hint="eastAsia" w:ascii="宋体" w:hAnsi="宋体" w:eastAsia="宋体" w:cs="宋体"/>
                <w:b/>
                <w:color w:val="000000"/>
                <w:kern w:val="0"/>
                <w:sz w:val="24"/>
              </w:rPr>
              <w:t>子项</w:t>
            </w: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设定依据</w:t>
            </w:r>
          </w:p>
        </w:tc>
        <w:tc>
          <w:tcPr>
            <w:tcW w:w="1036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履责方式</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追责情形</w:t>
            </w:r>
          </w:p>
        </w:tc>
      </w:tr>
      <w:tr>
        <w:tblPrEx>
          <w:tblCellMar>
            <w:top w:w="0" w:type="dxa"/>
            <w:left w:w="0" w:type="dxa"/>
            <w:bottom w:w="0" w:type="dxa"/>
            <w:right w:w="0" w:type="dxa"/>
          </w:tblCellMar>
        </w:tblPrEx>
        <w:trPr>
          <w:trHeight w:val="36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6.1</w:t>
            </w:r>
          </w:p>
        </w:tc>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非正常户认定和解除</w:t>
            </w:r>
          </w:p>
        </w:tc>
        <w:tc>
          <w:tcPr>
            <w:tcW w:w="67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left"/>
              <w:rPr>
                <w:rFonts w:ascii="宋体" w:hAnsi="宋体" w:eastAsia="宋体" w:cs="宋体"/>
                <w:color w:val="000000"/>
                <w:sz w:val="24"/>
              </w:rPr>
            </w:pP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1.《中华人民共和国税收征收管理法实施细则》第十条第二款。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2.《税务登记管理办法》（国家税务总局令第7号公布，国家税务总局令第36号、第44号、第48号修改）第三条。</w:t>
            </w:r>
          </w:p>
        </w:tc>
        <w:tc>
          <w:tcPr>
            <w:tcW w:w="103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1.税务机关应当通过官方网站、办税服务场所等渠道公开非正常户认定和解除的主体、权限、依据、程序、报送资料、救济渠道、服务指南、流程图等；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2.纳税人负有纳税申报义务，但连续三个月所有税种均未进行纳税申报的，税收征管系统自动将其认定为非正常户，并停止其发票领用簿和发票的使用；</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3.税务机关应当在非正常户认定的次月，在办税场所或者广播、电视、报纸、期刊、网络等媒体上予以公告；</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4.纳税人被列入非正常户超过三个月的，税务机关可以宣布其税务登记证件失效，其应纳税款的追征仍按税收征管法及其实施细则的规定执行；</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5.税务机关发现非正常户纳税人恢复正常生产经营的，应当及时处理，并督促其到税务机关办理相关手续；</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6.已认定为非正常户的纳税人，就其逾期未申报行为接受处罚、缴纳罚款，并补办纳税申报的，税收征管系统自动解除非正常状态，无需纳税人专门申请解除；</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7.对没有欠税且没有未缴销发票的纳税人，认定为非正常户超过两年的，税务机关可以注销其税务登记证件。</w:t>
            </w:r>
          </w:p>
          <w:p>
            <w:pPr>
              <w:widowControl/>
              <w:jc w:val="left"/>
              <w:textAlignment w:val="center"/>
              <w:rPr>
                <w:rFonts w:ascii="宋体" w:hAnsi="宋体" w:eastAsia="宋体" w:cs="宋体"/>
                <w:color w:val="000000"/>
                <w:sz w:val="24"/>
              </w:rPr>
            </w:pP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CellMar>
            <w:top w:w="0" w:type="dxa"/>
            <w:left w:w="0" w:type="dxa"/>
            <w:bottom w:w="0" w:type="dxa"/>
            <w:right w:w="0" w:type="dxa"/>
          </w:tblCellMar>
        </w:tblPrEx>
        <w:trPr>
          <w:trHeight w:val="39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6.2</w:t>
            </w:r>
          </w:p>
        </w:tc>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中国税收居民身份认定</w:t>
            </w:r>
          </w:p>
        </w:tc>
        <w:tc>
          <w:tcPr>
            <w:tcW w:w="67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left"/>
              <w:rPr>
                <w:rFonts w:ascii="宋体" w:hAnsi="宋体" w:eastAsia="宋体" w:cs="宋体"/>
                <w:color w:val="000000"/>
                <w:sz w:val="24"/>
              </w:rPr>
            </w:pP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1.《中华人民共和国企业所得税法》第二条。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2.《中华人民共和国个人所得税法》第一条。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3.《国家税务总局关于开具〈中国税收居民身份证明〉有关事项的公告》（国家税务总局公告2016年第40号发布，国家税务总局公告2018年第31号修改）。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4.《国家税务总局关于调整&lt;中国税收居民身份证明&gt;有关事项的公告》(国家税务总局公告2019年第17号)。</w:t>
            </w:r>
          </w:p>
          <w:p>
            <w:pPr>
              <w:widowControl/>
              <w:jc w:val="left"/>
              <w:textAlignment w:val="center"/>
              <w:rPr>
                <w:rFonts w:ascii="宋体" w:hAnsi="宋体" w:eastAsia="宋体" w:cs="宋体"/>
                <w:color w:val="000000"/>
                <w:sz w:val="24"/>
              </w:rPr>
            </w:pPr>
          </w:p>
        </w:tc>
        <w:tc>
          <w:tcPr>
            <w:tcW w:w="1036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1.税务机关应当通过官方网站、办税服务场所等渠道公开中国税收居民身份认定的主体、权限、依据、程序、报送资料、救济渠道、服务指南、流程图等；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2.主管税务机关应当接收《中国税收居民身份证明》申请表及相关资料，申请人提交资料齐全的，主管税务机关应当按规定当场受理；资料不齐全的，主管税务机关不予受理，并一次性告知申请人应补正内容；</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主管税务机关按照规定在受理申请之日起10个工作日内开具证明或者将不予开具的理由书面告知申请人。主管税务机关无法准确判断居民身份的，应当及时报告上级税务机关，并按照规定在受理申请之日起20个工作日内办结。</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CellMar>
            <w:top w:w="0" w:type="dxa"/>
            <w:left w:w="0" w:type="dxa"/>
            <w:bottom w:w="0" w:type="dxa"/>
            <w:right w:w="0" w:type="dxa"/>
          </w:tblCellMar>
        </w:tblPrEx>
        <w:trPr>
          <w:trHeight w:val="465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6.3</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境外注册的中资控股企业依据实际管理机构标准判定为中国居民企业的认定</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1.《中华人民共和国企业所得税法》第二条。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2.《国家税务总局关于境外注册中资控股企业依据实际管理机构标准认定为居民企业有关问题的通知》（国税发〔2009〕82号）。</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3.《境外注册中资控股居民企业所得税管理办法（试行）》（国家税务总局公告2011年第45号发布，国家税务总局公告2015年第22号、2018年第31号修改）第七条。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4.《国家税务总局关于依据实际管理机构标准实施居民企业认定有关问题的公告》（国家税务总局公告2014年第9号）第一条、第二条。</w:t>
            </w:r>
          </w:p>
        </w:tc>
        <w:tc>
          <w:tcPr>
            <w:tcW w:w="1036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1.税务机关应当通过官方网站、办税服务场所等渠道公开境外注册中资控股企业依据实际管理机构标准认定为居民企业的主体、权限、依据、程序、报送资料、救济渠道、服务指南、流程图等；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2.税务机关应当接收证明申请人递交的居民企业认定申请及相关资料，对其居民企业身份进行初步判定后，层报省级税务机关确认。经省级税务机关确认后抄送其境内其他投资地相关省级税务机关；</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3.税务机关应当对符合条件的居民企业身份进行认定，经省级税务机关确认后，30日内抄报国家税务总局，由国家税务总局网站统一对外公布。</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境外注册居民企业发生《境外注册中资控股居民企业所得税管理办法（试行）》第十一条规定的重大变化情形之一的，自变化之日起15日内报告其主管税务机关，主管税务机关应当按照规定层报税务总局确定是否取消其居民身份。税务总局认定终止其居民身份的，应当将相关认定结果同时书面告知境内投资者、境内被投资者主管税务机关。上述主管税务机关应当依法做好减免税款追缴等后续管理工作。</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CellMar>
            <w:top w:w="0" w:type="dxa"/>
            <w:left w:w="0" w:type="dxa"/>
            <w:bottom w:w="0" w:type="dxa"/>
            <w:right w:w="0" w:type="dxa"/>
          </w:tblCellMar>
        </w:tblPrEx>
        <w:trPr>
          <w:trHeight w:val="2400" w:hRule="atLeast"/>
        </w:trPr>
        <w:tc>
          <w:tcPr>
            <w:tcW w:w="53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6.4</w:t>
            </w:r>
          </w:p>
        </w:tc>
        <w:tc>
          <w:tcPr>
            <w:tcW w:w="740"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对发票领用、印制、真伪的确认</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6.4.1对发票领用的确认</w:t>
            </w: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1.《中华人民共和国税收征收管理法》第二十一条。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2.《中华人民共和国发票管理办法》第十五条。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3.《网络发票管理办法》（国家税务总局令第30号公布，国家税务总局令第44号修改）第五条。</w:t>
            </w:r>
          </w:p>
        </w:tc>
        <w:tc>
          <w:tcPr>
            <w:tcW w:w="1036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1.税务机关应当通过官方网站、办税服务场所等渠道公开发票领用确认的主体、权限、依据、程序、报送资料、救济渠道、服务指南、流程图等；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2.单位和个人需要领用发票的，主管税务机关应当根据领用单位和个人的经营范围和规模，确认领用发票的种类、数量以及领用方式，在5个工作日内发给发票领用簿。</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1.税务机关应当对发票使用情况按照规定进行查验；</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2.税务机关在给开具发票的单位和个人办理变更或者注销税务登记的同时，办理发票和发票领用簿的变更、缴销手续。</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1.税务人员利用职权之便，故意刁难使用发票的单位和个人，或者有违反发票管理法规行为的；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CellMar>
            <w:top w:w="0" w:type="dxa"/>
            <w:left w:w="0" w:type="dxa"/>
            <w:bottom w:w="0" w:type="dxa"/>
            <w:right w:w="0" w:type="dxa"/>
          </w:tblCellMar>
        </w:tblPrEx>
        <w:trPr>
          <w:trHeight w:val="886" w:hRule="atLeast"/>
        </w:trPr>
        <w:tc>
          <w:tcPr>
            <w:tcW w:w="53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p>
        </w:tc>
        <w:tc>
          <w:tcPr>
            <w:tcW w:w="740"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6.4.2对使用印有本单位名称发票的确认</w:t>
            </w: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1.《中华人民共和国税收征收管理法》第二十一条。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2.《中华人民共和国发票管理办法实施细则》(国家税务总局令第25号公布，国家税务总局令第37号、第44号、第48号修改)第五条。</w:t>
            </w:r>
          </w:p>
        </w:tc>
        <w:tc>
          <w:tcPr>
            <w:tcW w:w="1036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1.税务机关应当通过官方网站、办税服务场所等渠道公开确认使用印有本单位名称发票的主体、权限、依据、程序、报送资料、救济渠道、服务指南、流程图等；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按照用票单位使用印有本单位名称的发票的要求，根据领用单位和个人的经营范围和规模，在5个工作日内确认用票单位使用印有该单位名称发票的种类和数量，并向发票印制企业下达《发票印制通知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税务机关应当对发票使用情况按照规定进行查验。</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1.税务人员利用职权之便，故意刁难使用发票的单位和个人，或者有违反发票管理法规行为的；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CellMar>
            <w:top w:w="0" w:type="dxa"/>
            <w:left w:w="0" w:type="dxa"/>
            <w:bottom w:w="0" w:type="dxa"/>
            <w:right w:w="0" w:type="dxa"/>
          </w:tblCellMar>
        </w:tblPrEx>
        <w:trPr>
          <w:trHeight w:val="27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4"/>
              </w:rPr>
            </w:pPr>
            <w:r>
              <w:rPr>
                <w:rFonts w:hint="eastAsia" w:ascii="宋体" w:hAnsi="宋体" w:eastAsia="宋体" w:cs="宋体"/>
                <w:color w:val="000000"/>
                <w:sz w:val="24"/>
              </w:rPr>
              <w:t>6.4</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r>
              <w:rPr>
                <w:rFonts w:hint="eastAsia" w:ascii="宋体" w:hAnsi="宋体" w:eastAsia="宋体" w:cs="宋体"/>
                <w:color w:val="000000"/>
                <w:kern w:val="0"/>
                <w:sz w:val="24"/>
              </w:rPr>
              <w:t>对发票领用、印制、真伪的确认</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6.4.3发票真伪鉴别</w:t>
            </w: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1.《中华人民共和国税收征收管理法》第二十一条。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2.《中华人民共和国发票管理办法》第二十四条第二款。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3.《中华人民共和国发票管理办法实施细则》(国家税务总局令第25号公布，国家税务总局令第37号、第44号、第48号修改)第三十三条。</w:t>
            </w:r>
          </w:p>
        </w:tc>
        <w:tc>
          <w:tcPr>
            <w:tcW w:w="1036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1.税务机关应当通过官方网站、办税服务场所等渠道公开鉴别发票真伪的主体、权限、依据、程序、报送资料、救济渠道、服务指南、流程图等；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2.税务机关应当受理申请人提出的鉴别发票真伪申请；</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3.税务机关应当按规定鉴别发票真伪或者提请发票监制税务机关协助鉴别，并出具鉴别结果。在伪造、变造现场以及买卖地、存放地查获的发票，由当地税务机关鉴别。</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税务机关应当对鉴别中发现的发票违法行为依法进行处理处罚。</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1.税务人员利用职权之便，故意刁难使用发票的单位和个人，或者有违反发票管理法规行为的；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CellMar>
            <w:top w:w="0" w:type="dxa"/>
            <w:left w:w="0" w:type="dxa"/>
            <w:bottom w:w="0" w:type="dxa"/>
            <w:right w:w="0" w:type="dxa"/>
          </w:tblCellMar>
        </w:tblPrEx>
        <w:trPr>
          <w:trHeight w:val="36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6.5</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对纳税担保的确认</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1.《中华人民共和国税收征收管理法》第三十八条、第四十四条、第八十八条。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2.《中华人民共和国发票管理办法》第十八条。</w:t>
            </w:r>
          </w:p>
        </w:tc>
        <w:tc>
          <w:tcPr>
            <w:tcW w:w="103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1.税务机关应当通过官方网站、办税服务场所等渠道公开纳税担保的依据、程序、服务指南、救济渠道、流程图等；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2.纳税人提供担保符合规定条件的，税务机关应当按规定确认担保。</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1.纳税担保的财产价值不足以抵缴税款、滞纳金的，税务机关应当向提供担保的纳税人或纳税担保人继续追缴；</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在抵押物灭失、毁损或者被征用的情况下，税务机关应该就该抵押物的保险金、赔偿金或者补偿金要求优先受偿，抵缴税款、滞纳金。抵押物灭失、毁损或者被征用的情况下，抵押权所担保的纳税义务履行期未满的，税务机关可以要求将保险金、赔偿金或补偿金等作为担保财产；</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3.纳税人或纳税担保人在规定的期限内缴清税款、滞纳金的，税务机关应当自纳税人或纳税担保人缴清税款及滞纳金之日起3个工作日内返还质物，解除质押关系；</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4.纳税人、扣缴义务人未按照规定的期限缴纳或者解缴税款，纳税担保人未按照规定的期限缴纳所担保的税款，由税务机关责令限期缴纳，逾期仍未缴纳的，税务机关可以采取强制执行措施。</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1.对符合担保条件的纳税担保，不予同意或故意刁难的；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2.对不符合担保条件的纳税担保，予以批准，致使国家税款及滞纳金遭受损失的；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3.私分、挪用、占用、擅自处分担保财物的；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4.因保管不善致使质物灭失或者毁损，或未经纳税人同意擅自使用、出租、处分质物而给纳税人造成损失的；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5.纳税义务期限届满或担保期间，纳税人或者纳税担保人请求税务机关及时行使权利，而税务机关怠于行使权利致使质物价格下跌造成损失的；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CellMar>
            <w:top w:w="0" w:type="dxa"/>
            <w:left w:w="0" w:type="dxa"/>
            <w:bottom w:w="0" w:type="dxa"/>
            <w:right w:w="0" w:type="dxa"/>
          </w:tblCellMar>
        </w:tblPrEx>
        <w:trPr>
          <w:trHeight w:val="42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6.6</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纳税信用评价</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《中华人民共和国税收征收管理法实施细则》第四十八条。</w:t>
            </w:r>
          </w:p>
        </w:tc>
        <w:tc>
          <w:tcPr>
            <w:tcW w:w="1036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1.税务机关应当通过官方网站、办税服务场所等渠道公开纳税信用评价的主体、权限、依据、程序、报送资料、救济渠道、服务指南、流程图等；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2.税务机关应当按照规定标准和程序，对纳税人的纳税信用进行评价；</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3.税务机关应当接收纳税人复评申请，并按规定处理；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4.纳税人因规定情形解除而向税务机关申请补充纳税信用评价的，税务机关应按规定处理；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5.税务机关应当主动公开A级纳税人名单及相关信息，逐步开放B、M、C、D级纳税人名单及相关信息。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1.税务机关应当对纳税人的纳税信用级别实行动态调整；税务机关应当按照守信激励、失信惩戒的原则，对不同信用级别的纳税人实施分类服务和管理；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2.纳税人信用评价状态变化时，税务机关可采取适当方式通知、提醒纳税人；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税务机关应当与相关部门建立信用信息共建共享机制，推动纳税信用与其他社会信用联动管理。</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3.未按照规定为纳税人保密的；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4.法律、行政法规等规定的其他不履行或者不正确履行行政职责的情形。</w:t>
            </w:r>
          </w:p>
        </w:tc>
      </w:tr>
      <w:tr>
        <w:tblPrEx>
          <w:tblCellMar>
            <w:top w:w="0" w:type="dxa"/>
            <w:left w:w="0" w:type="dxa"/>
            <w:bottom w:w="0" w:type="dxa"/>
            <w:right w:w="0" w:type="dxa"/>
          </w:tblCellMar>
        </w:tblPrEx>
        <w:trPr>
          <w:trHeight w:val="66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6.7</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出口退（免）税企业分类管理评定</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rPr>
                <w:rFonts w:ascii="宋体" w:hAnsi="宋体" w:eastAsia="宋体" w:cs="宋体"/>
                <w:color w:val="000000"/>
                <w:sz w:val="24"/>
              </w:rPr>
            </w:pP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《出口退（免）税企业分类管理办法》（国家税务总局公告2016年第46号发布，国家税务总局公告第2018年第31号、第48号修改）第二条、第四条。</w:t>
            </w:r>
          </w:p>
        </w:tc>
        <w:tc>
          <w:tcPr>
            <w:tcW w:w="103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1.税务机关应当通过官方网站、办税服务场所等渠道公开出口退（免）税企业分类管理评定的主体、权限、依据、程序、报送资料、救济渠道、服务指南、流程图等；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2.具有出口退（免）税核准权限的税务局按照出口企业管理类别的评定标准对所辖出口退（免）税企业分类管理评定；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县（区）税务局负责评定出口企业管理类别的，应于评定工作完成后10个工作日内将评定结果报地（市）税务局备案；地（市）税务局负责评定的，县（区）税务局须进行初评并填报《出口退（免）税企业管理类别评定表》，报地（市）税务局审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4.负责评定出口企业管理类别的税务机关，应在评定工作完成后的15个工作日内将评定结果告知出口企业，并主动公开一类、四类的出口企业名单。</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1.主管税务机关发现出口企业存在《出口退（免）税企业分类管理办法》第十三条规定情形的，应自发现之日起20个工作日内，调整其出口企业管理类别；</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负责评定出口企业管理类别的税务机关在评定出口企业的管理类别时，应根据出口企业上一年度的管理类别，按照四类、三类、二类、一类的顺序逐级晋级，原则上不得越级评定。四类出口企业自评定之日起，12个月内不得评定为其他管理类别；</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出口企业申报的出口退（免）税，税务机关发现存在《出口退（免）税企业分类管理办法》第二十一条规定情形的，应按规定予以核实，排除相关疑点后，方可办理出口退（免）税，不受有关办结出口退（免）税手续时限的限制；</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4.省税务局应定期组织对已办理的出口退（免）税情况开展风险分析工作，发现出口企业申报的退（免）税存在骗取出口退税疑点的，应按规定进行评估、核查，发现问题的，应按规定予以处理。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对一类出口企业中纳税信用级别为A级的纳税人，按照《关于对纳税信用A级纳税人实施联合激励措施的合作备忘录》的规定，实施联合激励措施。</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CellMar>
            <w:top w:w="0" w:type="dxa"/>
            <w:left w:w="0" w:type="dxa"/>
            <w:bottom w:w="0" w:type="dxa"/>
            <w:right w:w="0" w:type="dxa"/>
          </w:tblCellMar>
        </w:tblPrEx>
        <w:trPr>
          <w:trHeight w:val="45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6.8</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退税商店确认</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rPr>
                <w:rFonts w:ascii="宋体" w:hAnsi="宋体" w:eastAsia="宋体" w:cs="宋体"/>
                <w:color w:val="000000"/>
                <w:sz w:val="24"/>
              </w:rPr>
            </w:pP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1.《中华人民共和国增值税暂行条例》第二十五条。</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2.《国务院关于促进旅游业改革发展的若干意见》(国发〔2014〕31号)第三条第十一项。</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3.《财政部关于实施境外旅客购物离境退税政策的公告》（财政部公告2015年第3号）第七条。</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4.《境外旅客购物离境退税管理办法（试行）》（国家税务总局公告2015年第41号发布，国家税务总局公告2018年第31号修改）第三条、第四条。</w:t>
            </w:r>
          </w:p>
        </w:tc>
        <w:tc>
          <w:tcPr>
            <w:tcW w:w="103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1.税务机关应当通过官方网站、办税服务场所等渠道公开退税商店备案的主体、权限、依据、程序、报送资料、救济渠道、服务指南、流程图等；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主管税务机关接收符合条件且有意向备案的企业报送资料，主管税务机关受理后应当在5个工作日内逐级报送至省税务局备案。省税务局应在收到备案资料15个工作日内审核备案条件，并对不符合备案条件的企业通知主管税务机关告知申请备案的企业；</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3.省税务局向退税商店颁发统一的退税商店标识。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退税商店备案资料所载内容发生变化向主管税务机关办理申请办理变更手续的，主管税务机关办理变更手续后，应在5个工作日内将变更情况逐级报省税务局。退税商店发生《境外旅客购物离境退税管理办法（试行）》第六条规定情形向主管税务机关申请办理税务登记注销手续，由省税务局终止其退税商店备案，并收回退税商店标识，注销其境外旅客购物离境退税管理系统用户；</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退税商店存在《境外旅客购物离境退税管理办法（试行）》第七条规定情形的，由主管税务机关提出意见逐级报省税务局终止其退税商店备案，并收回退税商店标识，注销其境外旅客购物离境退税管理系统用户。</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主管税务机关、海关、退税代理机构和退税商店应传递与交换相关信息。</w:t>
            </w:r>
          </w:p>
          <w:p>
            <w:pPr>
              <w:widowControl/>
              <w:jc w:val="left"/>
              <w:textAlignment w:val="center"/>
              <w:rPr>
                <w:rFonts w:ascii="宋体" w:hAnsi="宋体" w:eastAsia="宋体" w:cs="宋体"/>
                <w:color w:val="000000"/>
                <w:sz w:val="24"/>
              </w:rPr>
            </w:pPr>
          </w:p>
        </w:tc>
        <w:tc>
          <w:tcPr>
            <w:tcW w:w="428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1.在履行职务过程中侵害公民、法人或者其他组织合法权益的；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2.法律、行政法规等规定的其他不履行或者不正确履行行政职责的情形。</w:t>
            </w:r>
          </w:p>
        </w:tc>
      </w:tr>
    </w:tbl>
    <w:p>
      <w:pPr>
        <w:rPr>
          <w:rFonts w:ascii="楷体" w:hAnsi="楷体" w:eastAsia="楷体" w:cs="楷体"/>
          <w:b/>
          <w:bCs/>
          <w:sz w:val="32"/>
          <w:szCs w:val="32"/>
        </w:rPr>
      </w:pPr>
      <w:r>
        <w:rPr>
          <w:rFonts w:ascii="楷体" w:hAnsi="楷体" w:eastAsia="楷体" w:cs="楷体"/>
          <w:b/>
          <w:bCs/>
          <w:sz w:val="32"/>
          <w:szCs w:val="32"/>
        </w:rPr>
        <w:br w:type="page"/>
      </w:r>
    </w:p>
    <w:p>
      <w:pPr>
        <w:shd w:val="clear" w:color="auto" w:fill="FFFFFF" w:themeFill="background1"/>
        <w:tabs>
          <w:tab w:val="left" w:pos="639"/>
        </w:tabs>
        <w:jc w:val="center"/>
        <w:rPr>
          <w:rFonts w:ascii="楷体_GB2312" w:hAnsi="楷体" w:eastAsia="楷体_GB2312" w:cs="楷体"/>
          <w:b/>
          <w:bCs/>
          <w:sz w:val="32"/>
          <w:szCs w:val="32"/>
        </w:rPr>
      </w:pPr>
    </w:p>
    <w:p>
      <w:pPr>
        <w:shd w:val="clear" w:color="auto" w:fill="FFFFFF" w:themeFill="background1"/>
        <w:tabs>
          <w:tab w:val="left" w:pos="639"/>
        </w:tabs>
        <w:jc w:val="center"/>
        <w:rPr>
          <w:rFonts w:ascii="楷体_GB2312" w:hAnsi="楷体" w:eastAsia="楷体_GB2312" w:cs="楷体"/>
          <w:b/>
          <w:bCs/>
          <w:sz w:val="32"/>
          <w:szCs w:val="32"/>
        </w:rPr>
      </w:pPr>
      <w:r>
        <w:rPr>
          <w:rFonts w:hint="eastAsia" w:ascii="楷体_GB2312" w:hAnsi="楷体" w:eastAsia="楷体_GB2312" w:cs="楷体"/>
          <w:b/>
          <w:bCs/>
          <w:sz w:val="32"/>
          <w:szCs w:val="32"/>
        </w:rPr>
        <w:t>（七）行政奖励</w:t>
      </w:r>
    </w:p>
    <w:tbl>
      <w:tblPr>
        <w:tblStyle w:val="5"/>
        <w:tblW w:w="20635" w:type="dxa"/>
        <w:tblInd w:w="0" w:type="dxa"/>
        <w:tblLayout w:type="fixed"/>
        <w:tblCellMar>
          <w:top w:w="0" w:type="dxa"/>
          <w:left w:w="0" w:type="dxa"/>
          <w:bottom w:w="0" w:type="dxa"/>
          <w:right w:w="0" w:type="dxa"/>
        </w:tblCellMar>
      </w:tblPr>
      <w:tblGrid>
        <w:gridCol w:w="960"/>
        <w:gridCol w:w="1562"/>
        <w:gridCol w:w="1300"/>
        <w:gridCol w:w="4113"/>
        <w:gridCol w:w="8625"/>
        <w:gridCol w:w="4075"/>
      </w:tblGrid>
      <w:tr>
        <w:tblPrEx>
          <w:tblCellMar>
            <w:top w:w="0" w:type="dxa"/>
            <w:left w:w="0" w:type="dxa"/>
            <w:bottom w:w="0" w:type="dxa"/>
            <w:right w:w="0" w:type="dxa"/>
          </w:tblCellMar>
        </w:tblPrEx>
        <w:trPr>
          <w:trHeight w:val="60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序号</w:t>
            </w:r>
          </w:p>
        </w:tc>
        <w:tc>
          <w:tcPr>
            <w:tcW w:w="1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职权名称</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子项</w:t>
            </w:r>
          </w:p>
        </w:tc>
        <w:tc>
          <w:tcPr>
            <w:tcW w:w="411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设定依据</w:t>
            </w:r>
          </w:p>
        </w:tc>
        <w:tc>
          <w:tcPr>
            <w:tcW w:w="862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履责方式</w:t>
            </w:r>
          </w:p>
        </w:tc>
        <w:tc>
          <w:tcPr>
            <w:tcW w:w="407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追责情形</w:t>
            </w:r>
          </w:p>
        </w:tc>
      </w:tr>
      <w:tr>
        <w:tblPrEx>
          <w:tblCellMar>
            <w:top w:w="0" w:type="dxa"/>
            <w:left w:w="0" w:type="dxa"/>
            <w:bottom w:w="0" w:type="dxa"/>
            <w:right w:w="0" w:type="dxa"/>
          </w:tblCellMar>
        </w:tblPrEx>
        <w:trPr>
          <w:trHeight w:val="697"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无</w:t>
            </w:r>
          </w:p>
        </w:tc>
        <w:tc>
          <w:tcPr>
            <w:tcW w:w="156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left"/>
              <w:rPr>
                <w:rFonts w:ascii="宋体" w:hAnsi="宋体" w:eastAsia="宋体" w:cs="宋体"/>
                <w:color w:val="000000"/>
                <w:sz w:val="24"/>
              </w:rPr>
            </w:pPr>
          </w:p>
        </w:tc>
        <w:tc>
          <w:tcPr>
            <w:tcW w:w="130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left"/>
              <w:rPr>
                <w:rFonts w:ascii="宋体" w:hAnsi="宋体" w:eastAsia="宋体" w:cs="宋体"/>
                <w:color w:val="000000"/>
                <w:sz w:val="24"/>
              </w:rPr>
            </w:pPr>
          </w:p>
        </w:tc>
        <w:tc>
          <w:tcPr>
            <w:tcW w:w="411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8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407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left"/>
              <w:rPr>
                <w:rFonts w:ascii="宋体" w:hAnsi="宋体" w:eastAsia="宋体" w:cs="宋体"/>
                <w:color w:val="000000"/>
                <w:sz w:val="24"/>
              </w:rPr>
            </w:pPr>
          </w:p>
        </w:tc>
      </w:tr>
    </w:tbl>
    <w:p>
      <w:pPr>
        <w:rPr>
          <w:rFonts w:ascii="楷体" w:hAnsi="楷体" w:eastAsia="楷体" w:cs="楷体"/>
          <w:b/>
          <w:bCs/>
          <w:sz w:val="32"/>
          <w:szCs w:val="32"/>
        </w:rPr>
      </w:pPr>
      <w:r>
        <w:rPr>
          <w:rFonts w:ascii="楷体" w:hAnsi="楷体" w:eastAsia="楷体" w:cs="楷体"/>
          <w:b/>
          <w:bCs/>
          <w:sz w:val="32"/>
          <w:szCs w:val="32"/>
        </w:rPr>
        <w:br w:type="page"/>
      </w:r>
    </w:p>
    <w:p>
      <w:pPr>
        <w:shd w:val="clear" w:color="auto" w:fill="FFFFFF" w:themeFill="background1"/>
        <w:tabs>
          <w:tab w:val="left" w:pos="639"/>
        </w:tabs>
        <w:jc w:val="center"/>
        <w:rPr>
          <w:rFonts w:ascii="楷体_GB2312" w:hAnsi="楷体" w:eastAsia="楷体_GB2312" w:cs="楷体"/>
          <w:b/>
          <w:bCs/>
          <w:sz w:val="32"/>
          <w:szCs w:val="32"/>
        </w:rPr>
      </w:pPr>
      <w:r>
        <w:rPr>
          <w:rFonts w:hint="eastAsia" w:ascii="楷体_GB2312" w:hAnsi="楷体" w:eastAsia="楷体_GB2312" w:cs="楷体"/>
          <w:b/>
          <w:bCs/>
          <w:sz w:val="32"/>
          <w:szCs w:val="32"/>
        </w:rPr>
        <w:t>（八）其他</w:t>
      </w:r>
    </w:p>
    <w:tbl>
      <w:tblPr>
        <w:tblStyle w:val="5"/>
        <w:tblW w:w="20647" w:type="dxa"/>
        <w:tblInd w:w="0" w:type="dxa"/>
        <w:tblLayout w:type="fixed"/>
        <w:tblCellMar>
          <w:top w:w="0" w:type="dxa"/>
          <w:left w:w="0" w:type="dxa"/>
          <w:bottom w:w="0" w:type="dxa"/>
          <w:right w:w="0" w:type="dxa"/>
        </w:tblCellMar>
      </w:tblPr>
      <w:tblGrid>
        <w:gridCol w:w="865"/>
        <w:gridCol w:w="1107"/>
        <w:gridCol w:w="550"/>
        <w:gridCol w:w="2371"/>
        <w:gridCol w:w="11067"/>
        <w:gridCol w:w="4687"/>
      </w:tblGrid>
      <w:tr>
        <w:tblPrEx>
          <w:tblCellMar>
            <w:top w:w="0" w:type="dxa"/>
            <w:left w:w="0" w:type="dxa"/>
            <w:bottom w:w="0" w:type="dxa"/>
            <w:right w:w="0" w:type="dxa"/>
          </w:tblCellMar>
        </w:tblPrEx>
        <w:trPr>
          <w:trHeight w:val="600" w:hRule="atLeast"/>
          <w:tblHeader/>
        </w:trPr>
        <w:tc>
          <w:tcPr>
            <w:tcW w:w="8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序号</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职权名称</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子项</w:t>
            </w: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设定依据</w:t>
            </w:r>
          </w:p>
        </w:tc>
        <w:tc>
          <w:tcPr>
            <w:tcW w:w="1106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履责方式</w:t>
            </w:r>
          </w:p>
        </w:tc>
        <w:tc>
          <w:tcPr>
            <w:tcW w:w="468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追责情形</w:t>
            </w:r>
          </w:p>
        </w:tc>
      </w:tr>
      <w:tr>
        <w:tblPrEx>
          <w:tblCellMar>
            <w:top w:w="0" w:type="dxa"/>
            <w:left w:w="0" w:type="dxa"/>
            <w:bottom w:w="0" w:type="dxa"/>
            <w:right w:w="0" w:type="dxa"/>
          </w:tblCellMar>
        </w:tblPrEx>
        <w:trPr>
          <w:trHeight w:val="3000"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8.1</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加收滞纳金</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《中华人民共和国税收征收管理法》第三十二条。</w:t>
            </w:r>
          </w:p>
        </w:tc>
        <w:tc>
          <w:tcPr>
            <w:tcW w:w="1106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1.税务机关应当通过官方网站、办税服务场所等渠道公开加收滞纳金的主体、权限、依据、程序、救济渠道、流程图等；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2.税务机关在税款征收过程中，发现纳税人、扣缴义务人未按规定期限缴纳、解缴税款的，应当按规定加收滞纳金；</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3.对纳税人、扣缴义务人、纳税担保人应缴纳的欠税及滞纳金，可以先行缴纳欠税，再依法缴纳滞纳金；</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4.符合税收法律、法规及相关规定中不予加收滞纳金情形的，税务机关不予加收滞纳金；</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5.税务机关加收滞纳金应当开具税收票证。</w:t>
            </w:r>
          </w:p>
        </w:tc>
        <w:tc>
          <w:tcPr>
            <w:tcW w:w="468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CellMar>
            <w:top w:w="0" w:type="dxa"/>
            <w:left w:w="0" w:type="dxa"/>
            <w:bottom w:w="0" w:type="dxa"/>
            <w:right w:w="0" w:type="dxa"/>
          </w:tblCellMar>
        </w:tblPrEx>
        <w:trPr>
          <w:trHeight w:val="3300"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8.2</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发布欠税公告</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1.《中华人民共和国税收征收管理法》第四十五条。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2.《中华人民共和国税收征收管理法实施细则》第七十六条。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3.《欠税公告办法（试行）》（国家税务总局令第9号公布，国家税务总局令第44号修改）。</w:t>
            </w:r>
          </w:p>
        </w:tc>
        <w:tc>
          <w:tcPr>
            <w:tcW w:w="1106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1.税务机关应当通过官方网站、办税服务场所等渠道公开欠税公告的主体、权限、依据、程序、救济渠道、流程图等；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2.税务机关在欠税公告前，应当深入细致地对纳税人欠税情况进行确认，确保公告数据的真实、准确；</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3.税务机关应当按照权限范围按期在办税场所或者广播、电视、报纸、期刊、网络等新闻媒体上公告纳税人的欠缴税款情况。</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税务机关应当对欠缴税款的纳税人依法催缴并严格按日计算加收滞纳金，直至采取税收保全、税收强制执行措施清缴欠税。</w:t>
            </w:r>
          </w:p>
        </w:tc>
        <w:tc>
          <w:tcPr>
            <w:tcW w:w="468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1.应公告不公告或者应上报不上报，给国家税款造成损失的；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5.未按照规定为纳税人、扣缴义务人保密的；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6.法律、行政法规等规定的其他不履行或者不正确履行行政职责的情形。</w:t>
            </w:r>
          </w:p>
          <w:p>
            <w:pPr>
              <w:widowControl/>
              <w:jc w:val="left"/>
              <w:textAlignment w:val="center"/>
              <w:rPr>
                <w:rFonts w:ascii="宋体" w:hAnsi="宋体" w:eastAsia="宋体" w:cs="宋体"/>
                <w:color w:val="000000"/>
                <w:sz w:val="24"/>
              </w:rPr>
            </w:pPr>
          </w:p>
        </w:tc>
      </w:tr>
      <w:tr>
        <w:tblPrEx>
          <w:tblCellMar>
            <w:top w:w="0" w:type="dxa"/>
            <w:left w:w="0" w:type="dxa"/>
            <w:bottom w:w="0" w:type="dxa"/>
            <w:right w:w="0" w:type="dxa"/>
          </w:tblCellMar>
        </w:tblPrEx>
        <w:trPr>
          <w:trHeight w:val="7200"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8.3</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对涉税专业服务机构的监管</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1.《中华人民共和国税收征收管理法实施细则》第一百一十一条。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2.《涉税专业服务监管办法（试行）》（国家税务总局公告2017年第13号发布）第二条。</w:t>
            </w:r>
          </w:p>
        </w:tc>
        <w:tc>
          <w:tcPr>
            <w:tcW w:w="1106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涉税专业服务机构监管的主体、权限、依据、程序、救济渠道、流程图以及纳入监管的涉税专业服务机构名单及其信用情况，同时公告未经行政登记的税务师事务所名单；</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2.税务机关应当对涉税专业服务机构及其从事涉税服务人员进行实名制管理；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3.税务机关应当对涉税专业服务机构从事涉税专业服务的执业情况进行检查；根据举报、投诉情况进行调查；</w:t>
            </w:r>
          </w:p>
          <w:p>
            <w:pPr>
              <w:widowControl/>
              <w:jc w:val="left"/>
              <w:textAlignment w:val="center"/>
              <w:rPr>
                <w:rFonts w:hint="eastAsia" w:ascii="宋体" w:hAnsi="宋体" w:eastAsia="宋体" w:cs="宋体"/>
                <w:color w:val="000000"/>
                <w:kern w:val="0"/>
                <w:sz w:val="24"/>
              </w:rPr>
            </w:pPr>
            <w:r>
              <w:rPr>
                <w:rFonts w:hint="eastAsia" w:ascii="宋体" w:hAnsi="宋体" w:eastAsia="宋体" w:cs="宋体"/>
                <w:color w:val="000000"/>
                <w:kern w:val="0"/>
                <w:sz w:val="24"/>
              </w:rPr>
              <w:t>4.税务机关应当建立信用评价管理制度，对涉税专业服务机构从事涉税专业服务情况进行信用评价，对其从事涉税服务人员进行信用记录，根据涉税专业服务机构和从事涉税服务人员信用复核申请开展复核。</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涉税专业服务机构及其涉税服务人员违反《涉税专业服务监管办法（试行）》第十四条第一款有关监管要求的，由税务机关责令限期改正或予以约谈；逾期不改正的，由税务机关降低信用等级或纳入信用记录，暂停受理所代理的涉税业务（暂停时间不超过六个月）；情节严重的，由税务机关纳入涉税服务失信名录，予以公告并向社会信用平台推送，其所代理的涉税业务，税务机关不予受理；</w:t>
            </w:r>
          </w:p>
          <w:p>
            <w:pPr>
              <w:widowControl/>
              <w:jc w:val="left"/>
              <w:textAlignment w:val="center"/>
              <w:rPr>
                <w:rStyle w:val="11"/>
                <w:rFonts w:hint="default"/>
              </w:rPr>
            </w:pPr>
            <w:r>
              <w:rPr>
                <w:rFonts w:hint="eastAsia" w:ascii="宋体" w:hAnsi="宋体" w:eastAsia="宋体" w:cs="宋体"/>
                <w:color w:val="000000"/>
                <w:kern w:val="0"/>
                <w:sz w:val="24"/>
              </w:rPr>
              <w:t>2.</w:t>
            </w:r>
            <w:r>
              <w:rPr>
                <w:rStyle w:val="11"/>
                <w:rFonts w:hint="default"/>
              </w:rPr>
              <w:t>涉税专业服务机构及其涉税服务人员存在《涉税专业服务监管办法（试行）》第十五条规定的执业违规行为的，由税务机关列为重点监管对象，降低信用等级或纳入信用记录，暂停受理所代理的涉税业务（暂停时间不超过六个月）；情节较重的，由税务机关纳入涉税服务失信名录，予以公告并向社会信用平台推送，其所代理的涉税业务，税务机关不予受理；情节严重的，其中，税务师事务所由省税务机关宣布《税务师事务所行政登记证书》无效，提请市场监管部门吊销其营业执照，提请全国税务师行业协会取消税务师职业资格证书登记、收回其职业资格证书并向社会公告，其他涉税服务机构及其从事涉税服务人员由税务机关提请其他行业主管部门及行业协会予以相应处理。</w:t>
            </w:r>
          </w:p>
          <w:p>
            <w:pPr>
              <w:widowControl/>
              <w:jc w:val="left"/>
              <w:textAlignment w:val="center"/>
              <w:rPr>
                <w:rStyle w:val="11"/>
                <w:rFonts w:hint="default"/>
              </w:rPr>
            </w:pPr>
            <w:r>
              <w:rPr>
                <w:rStyle w:val="11"/>
                <w:rFonts w:hint="default"/>
              </w:rPr>
              <w:t>三、部门间职责衔接</w:t>
            </w:r>
          </w:p>
          <w:p>
            <w:pPr>
              <w:widowControl/>
              <w:jc w:val="left"/>
              <w:textAlignment w:val="center"/>
              <w:rPr>
                <w:rStyle w:val="11"/>
                <w:rFonts w:hint="default"/>
              </w:rPr>
            </w:pPr>
            <w:r>
              <w:rPr>
                <w:rStyle w:val="11"/>
                <w:rFonts w:hint="default"/>
              </w:rPr>
              <w:t>税务机关应当加强对税务师行业协会的监督指导，与其他相关行业协会建立工作联系制度。税务机关可以委托行业协会对涉税专业服务机构从事涉税专业服务的执业质量进行评价。</w:t>
            </w:r>
          </w:p>
          <w:p>
            <w:pPr>
              <w:widowControl/>
              <w:jc w:val="left"/>
              <w:textAlignment w:val="center"/>
              <w:rPr>
                <w:rFonts w:ascii="宋体" w:hAnsi="宋体" w:eastAsia="宋体" w:cs="宋体"/>
                <w:color w:val="000000"/>
                <w:sz w:val="24"/>
              </w:rPr>
            </w:pPr>
          </w:p>
        </w:tc>
        <w:tc>
          <w:tcPr>
            <w:tcW w:w="468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1.在履行职务过程中侵害公民、法人或者其他组织合法权益的；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2.法律、行政法规等规定的其他不履行或者不正确履行行政职责的情形。</w:t>
            </w:r>
          </w:p>
        </w:tc>
      </w:tr>
      <w:tr>
        <w:tblPrEx>
          <w:tblCellMar>
            <w:top w:w="0" w:type="dxa"/>
            <w:left w:w="0" w:type="dxa"/>
            <w:bottom w:w="0" w:type="dxa"/>
            <w:right w:w="0" w:type="dxa"/>
          </w:tblCellMar>
        </w:tblPrEx>
        <w:trPr>
          <w:trHeight w:val="5400"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8.4</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重大税务案件审理</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eastAsia="宋体" w:cs="宋体"/>
                <w:color w:val="000000"/>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1.《中华人民共和国行政处罚法》第三十八条第二款。</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2.《重大税务案件审理办法》（国家税务总局令第34号公布）。</w:t>
            </w:r>
          </w:p>
        </w:tc>
        <w:tc>
          <w:tcPr>
            <w:tcW w:w="110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1.税务机关应当通过官方网站、办税服务场所等渠道公开重大税务案件审理主体、范围、依据、程序、流程图等；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2.省以下各级税务局设立重大税务案件审理委员会，负责重大税务案件的审理，拟定本机关审理委员会工作规程、议事规则等制度，审理重大税务案件，指导监督下级税务局重大税务案件审理工作；</w:t>
            </w:r>
          </w:p>
          <w:p>
            <w:pPr>
              <w:widowControl/>
              <w:jc w:val="left"/>
              <w:textAlignment w:val="center"/>
              <w:rPr>
                <w:rStyle w:val="11"/>
                <w:rFonts w:hint="default"/>
              </w:rPr>
            </w:pPr>
            <w:r>
              <w:rPr>
                <w:rFonts w:hint="eastAsia" w:ascii="宋体" w:hAnsi="宋体" w:eastAsia="宋体" w:cs="宋体"/>
                <w:color w:val="000000"/>
                <w:kern w:val="0"/>
                <w:sz w:val="24"/>
              </w:rPr>
              <w:t>3.</w:t>
            </w:r>
            <w:r>
              <w:rPr>
                <w:rStyle w:val="11"/>
                <w:rFonts w:hint="default"/>
              </w:rPr>
              <w:t>重大税务案件审理采取书面审理和会议审理相结合的方式。所有案件均需经过书面审理，书面审理一致的，由审理委员会办公室起草审理意见书，报审理委员会主任批准。书面审理存在较大分歧的，提请审理委员会会议审理，审理委员会办公室根据会议审理情况制作审理纪要和审理意见书，审理纪要由审理委员会主任或其授权的副主任签发，审理意见书由审理委员会主任签发；</w:t>
            </w:r>
          </w:p>
          <w:p>
            <w:pPr>
              <w:widowControl/>
              <w:jc w:val="left"/>
              <w:textAlignment w:val="center"/>
              <w:rPr>
                <w:rStyle w:val="11"/>
                <w:rFonts w:hint="default"/>
              </w:rPr>
            </w:pPr>
            <w:r>
              <w:rPr>
                <w:rStyle w:val="11"/>
                <w:rFonts w:hint="default"/>
              </w:rPr>
              <w:t>二、事中事后监管措施</w:t>
            </w:r>
          </w:p>
          <w:p>
            <w:pPr>
              <w:widowControl/>
              <w:jc w:val="left"/>
              <w:textAlignment w:val="center"/>
              <w:rPr>
                <w:rFonts w:ascii="宋体" w:hAnsi="宋体" w:eastAsia="宋体" w:cs="宋体"/>
                <w:color w:val="000000"/>
                <w:sz w:val="24"/>
              </w:rPr>
            </w:pPr>
            <w:r>
              <w:rPr>
                <w:rStyle w:val="11"/>
                <w:rFonts w:hint="default"/>
              </w:rPr>
              <w:t>税务机关应当加强对重大税务案件审理意见执行情况的监督，各级税务局督察内审部门应当加强对重大税务案件审理工作的监督。</w:t>
            </w:r>
          </w:p>
          <w:p>
            <w:pPr>
              <w:widowControl/>
              <w:jc w:val="left"/>
              <w:textAlignment w:val="center"/>
              <w:rPr>
                <w:rFonts w:ascii="宋体" w:hAnsi="宋体" w:eastAsia="宋体" w:cs="宋体"/>
                <w:color w:val="000000"/>
                <w:sz w:val="24"/>
              </w:rPr>
            </w:pPr>
          </w:p>
        </w:tc>
        <w:tc>
          <w:tcPr>
            <w:tcW w:w="46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1.在履行职务过程中侵害公民、法人或者其他组织合法权益的；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2.法律、行政法规等规定的其他不履行或者不正确履行行政职责的情形。</w:t>
            </w:r>
          </w:p>
        </w:tc>
      </w:tr>
      <w:tr>
        <w:tblPrEx>
          <w:tblCellMar>
            <w:top w:w="0" w:type="dxa"/>
            <w:left w:w="0" w:type="dxa"/>
            <w:bottom w:w="0" w:type="dxa"/>
            <w:right w:w="0" w:type="dxa"/>
          </w:tblCellMar>
        </w:tblPrEx>
        <w:trPr>
          <w:trHeight w:val="6017"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8.5</w:t>
            </w: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8.5</w:t>
            </w: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p>
            <w:pPr>
              <w:widowControl/>
              <w:jc w:val="center"/>
              <w:textAlignment w:val="center"/>
              <w:rPr>
                <w:rFonts w:ascii="宋体" w:hAnsi="宋体" w:eastAsia="宋体" w:cs="宋体"/>
                <w:color w:val="000000"/>
                <w:kern w:val="0"/>
                <w:sz w:val="24"/>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税务登记</w:t>
            </w: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税务登记</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eastAsia="宋体" w:cs="宋体"/>
                <w:color w:val="000000"/>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1.《中华人民共和国税收征收管理法》第十五条第一款、第三款，第十六条。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2.《税务登记管理办法》（国家税务总局令第7号公布，国家税务总局令第36号、第44号、第48号修改）第三条。</w:t>
            </w:r>
          </w:p>
        </w:tc>
        <w:tc>
          <w:tcPr>
            <w:tcW w:w="110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税务机关应当通过官方网站、办税服务场所等渠道公开税务登记的主体、权限、依据、程序、报送资料、救济渠道、服务指南、流程图等。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（一）设立税务登记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1.税务机关应当受理未实行“多证合一”登记模式的纳税人税务登记申报，按规定发放税务登记证件；</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2.税务机关无需对已实行“多证合一”登记模式的纳税人再次进行税务登记，不再发放税务登记证。在其办理涉税事宜时，及时采集，陆续补齐其他必要涉税基础信息。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（二）扣缴税款登记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1.已办理税务登记的扣缴义务人向税务登记地税务机关申报办理扣缴税款登记的，税务机关应当受理扣缴义务人扣缴税款登记申报；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2.税务机关应当发放扣缴税款登记证，但对已办理税务登记的扣缴义务人，可以只在其税务登记证件上登记扣缴税款事项，不再发给扣缴税款登记证件。</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（三）变更税务登记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1.税务机关应当受理未实行“多证合一”登记模式的纳税人变更税务登记申报，变更登记涉及税务登记证件内容变化的，按变更后的内容重新发放税务登记证件；</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（四）停复业登记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1.税务机关应当受理实行定期定额征收方式个体工商户停业登记申报，收存税务登记证件及副本（已实行“多证合一”的纳税人除外）、发票领用簿、未使用完的发票和其他税务证件，办理停业登记；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2.税务机关应当受理个体工商户复业申报，返还税务登记证件（已实行“多证合一”的纳税人除外）、发票领用簿及停业前领用的发票，办理复业登记。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（五）跨区域涉税事项报验管理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1.机构所在地的税务机关应当接收纳税人填报的《跨区域涉税事项报告表》；</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2.经营地的税务机关应当为首次在经营地办理涉税事宜的纳税人办理跨区域涉税事项报验；并在纳税人跨区域经营活动结束后，接收并核对纳税人填报的《经营地涉税事项反馈表》；</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3.纳税人跨区域经营合同延期的，经营地或机构所在地的税务机关应当为其办理报验管理有效期限延期手续；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4.机构所在地和经营地的税务机关之间应当传递、实时共享跨区域报验管理事项的报告、报验、延期、反馈等信息。</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（六）税务注销</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3.对向市场监管部门申请一般注销的纳税人，按规定出具清税文书。其中，对符合“承诺制”容缺办理条件的纳税人，即时出具清税文书；</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5.对向税务机关办理注销登记的纳税人，结清应纳税款、多退（免）税款、滞纳金和罚款，缴销发票、相关证件等税务事项后，应当注销税务登记证件；</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6.经人民法院裁定宣告破产的纳税人，持人民法院终结破产程序裁定书向税务机关申请税务注销的，税务机关即时出具清税文书，按照有关规定核销“死欠”。</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1.税务机关应当加强税务登记管理，可以采取实地调查、上门验证等方法；</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2.税务机关应当对扣缴义务人是否如实申报代扣代缴税款有关情况进行监督和检查，防范扣缴义务人不履行税法义务带来的税收管理风险；</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3.税务机关应当加强跨区域涉税事项报验管理，机构所在地的税务机关对纳税人已抵减税款、在经营地已预缴税款和应预缴税款进行分析、比对，发现疑点的，及时组织应对。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税务机关应当将税务登记相关信息推送到信息共享交换平台。</w:t>
            </w:r>
          </w:p>
          <w:p>
            <w:pPr>
              <w:widowControl/>
              <w:jc w:val="left"/>
              <w:textAlignment w:val="center"/>
              <w:rPr>
                <w:rFonts w:ascii="宋体" w:hAnsi="宋体" w:eastAsia="宋体" w:cs="宋体"/>
                <w:color w:val="000000"/>
                <w:sz w:val="24"/>
              </w:rPr>
            </w:pPr>
          </w:p>
        </w:tc>
        <w:tc>
          <w:tcPr>
            <w:tcW w:w="46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1.税务人员徇私舞弊或者玩忽职守，违反规定为纳税人办理税务登记的；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2.滥用职权，故意刁难纳税人、扣缴义务人的；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3.利用职务上的便利，收受或者索取纳税人、扣缴义务人财物或者谋取其他不正当利益的；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4.未按照规定为纳税人、扣缴义务人保密的；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CellMar>
            <w:top w:w="0" w:type="dxa"/>
            <w:left w:w="0" w:type="dxa"/>
            <w:bottom w:w="0" w:type="dxa"/>
            <w:right w:w="0" w:type="dxa"/>
          </w:tblCellMar>
        </w:tblPrEx>
        <w:trPr>
          <w:trHeight w:val="5946"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8.6</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增值税一般纳税人资格登记（转登记）</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eastAsia="宋体" w:cs="宋体"/>
                <w:color w:val="000000"/>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1.《中华人民共和国增值税暂行条例》第十三条。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2.《增值税一般纳税人登记管理办法》（国家税务总局令第43号公布）。</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3.《财政部 税务总局关于统一增值税小规模纳税人标准的通知》（财税〔2018〕33号）。</w:t>
            </w:r>
          </w:p>
          <w:p>
            <w:pPr>
              <w:widowControl/>
              <w:jc w:val="left"/>
              <w:textAlignment w:val="center"/>
              <w:rPr>
                <w:rFonts w:hint="eastAsia" w:ascii="宋体" w:hAnsi="宋体" w:eastAsia="宋体" w:cs="宋体"/>
                <w:color w:val="000000"/>
                <w:sz w:val="24"/>
                <w:lang w:eastAsia="zh-CN"/>
              </w:rPr>
            </w:pPr>
            <w:r>
              <w:rPr>
                <w:rFonts w:hint="eastAsia" w:ascii="宋体" w:hAnsi="宋体" w:eastAsia="宋体" w:cs="宋体"/>
                <w:color w:val="000000"/>
                <w:kern w:val="0"/>
                <w:sz w:val="24"/>
              </w:rPr>
              <w:t>4.《国家税务总局关于明确二手车经销等若干增值税征管问题的公告》（国家税务总局公告2020年第9号）第六条</w:t>
            </w:r>
            <w:r>
              <w:rPr>
                <w:rFonts w:hint="eastAsia" w:ascii="宋体" w:hAnsi="宋体" w:eastAsia="宋体" w:cs="宋体"/>
                <w:color w:val="000000"/>
                <w:kern w:val="0"/>
                <w:sz w:val="24"/>
                <w:lang w:eastAsia="zh-CN"/>
              </w:rPr>
              <w:t>。</w:t>
            </w:r>
          </w:p>
        </w:tc>
        <w:tc>
          <w:tcPr>
            <w:tcW w:w="1106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1.税务机关应当通过官方网站、办税服务场所等渠道公开增值税一般纳税人资格登记的主体、权限、依据、程序、报送资料、救济渠道、服务指南、流程图等；</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2.纳税人申报办理一般纳税人登记信息与税务登记信息一致的，主管税务机关应当当场登记；不一致或者不符合填列要求的，当场告知需要补正的内容；</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4.税务机关应当按照符合条件的增值税一般纳税人的要求，为其办理转登记为小规模纳税人。</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税务机关应当加强对税收风险的管理。对税收遵从度低的一般纳税人，主管税务机关可以实行纳税辅导期管理。</w:t>
            </w:r>
          </w:p>
        </w:tc>
        <w:tc>
          <w:tcPr>
            <w:tcW w:w="468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3.滥用职权，故意刁难纳税人的；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CellMar>
            <w:top w:w="0" w:type="dxa"/>
            <w:left w:w="0" w:type="dxa"/>
            <w:bottom w:w="0" w:type="dxa"/>
            <w:right w:w="0" w:type="dxa"/>
          </w:tblCellMar>
        </w:tblPrEx>
        <w:trPr>
          <w:trHeight w:val="6300"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8.7</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代开发票</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eastAsia="宋体" w:cs="宋体"/>
                <w:color w:val="000000"/>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1.《中华人民共和国发票管理办法》第十六条。</w:t>
            </w:r>
          </w:p>
          <w:p>
            <w:pPr>
              <w:widowControl/>
              <w:jc w:val="left"/>
              <w:textAlignment w:val="center"/>
              <w:rPr>
                <w:rFonts w:ascii="宋体" w:hAnsi="宋体" w:eastAsia="宋体" w:cs="宋体"/>
                <w:color w:val="000000"/>
                <w:sz w:val="24"/>
              </w:rPr>
            </w:pPr>
            <w:r>
              <w:rPr>
                <w:rFonts w:hint="eastAsia" w:ascii="宋体" w:hAnsi="宋体" w:cs="宋体"/>
                <w:kern w:val="0"/>
                <w:sz w:val="24"/>
              </w:rPr>
              <w:t>2.《财政部 国家税务总局关于全面推开营业税改征增值税试点的通知》（财税〔2016〕36号）附件1第五十四条。</w:t>
            </w:r>
          </w:p>
        </w:tc>
        <w:tc>
          <w:tcPr>
            <w:tcW w:w="110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一、相关程序和要求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1.税务机关应当通过官方网站、办税服务场所等渠道公开代开发票的主体、权限、依据、程序、报送资料、救济渠道、服务指南、流程图等；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2.需要临时使用发票的单位和个人，可以根据规定</w:t>
            </w:r>
            <w:r>
              <w:rPr>
                <w:rFonts w:hint="eastAsia" w:ascii="宋体" w:hAnsi="宋体" w:cs="宋体"/>
                <w:kern w:val="0"/>
                <w:sz w:val="24"/>
              </w:rPr>
              <w:t>向税务机关申请</w:t>
            </w:r>
            <w:r>
              <w:rPr>
                <w:rFonts w:hint="eastAsia" w:ascii="宋体" w:hAnsi="宋体" w:cs="宋体"/>
                <w:color w:val="000000"/>
                <w:kern w:val="0"/>
                <w:sz w:val="24"/>
              </w:rPr>
              <w:t>代开发票。依照税收法律、行政法规规定应当缴纳税款的，税务机关应当先征收税款，再开具发票。税务机关根据发票管理的需要，可以按照国务院税务主管部门的规定委托其他单位代开发票；</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3.税务机关应当与受托代开发票的单位签订协议，明确代开发票的种类、对象、内容和相关责任等内容；</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5.选择自行开具增值税专用发票的小规模纳税人，税务机关不再为其代开增值税专用发票。</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二、事中事后监管措施</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1.税务机关为纳税人代开发票后，如果纳税人发生销货退回或销售折让的，必须在收回原发票并注明“作废”字样后重新开具销售发票或取得对方有效证明后开具红字发票；</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2.非法代开发票的，依照有关规定处罚。</w:t>
            </w:r>
          </w:p>
        </w:tc>
        <w:tc>
          <w:tcPr>
            <w:tcW w:w="46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税务机关及其工作人员履行行政职责存在以下情形的，应当承担相应责任：</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1.利用职权之便，故意刁难使用发票的单位和个人，或者有违反发票管理法规行为的；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2.利用职务上的便利，收受或者索取纳税人财物或者谋取其他不正当利益的；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3.徇私舞弊或者玩忽职守，不征或者少征应征税款，致使国家税收遭受重大损失的；</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4.未按照规定为纳税人保密的；</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5.法律、行政法规等规定的其他不履行或者不正确履行行政职责的情形。</w:t>
            </w:r>
          </w:p>
        </w:tc>
      </w:tr>
      <w:tr>
        <w:tblPrEx>
          <w:tblCellMar>
            <w:top w:w="0" w:type="dxa"/>
            <w:left w:w="0" w:type="dxa"/>
            <w:bottom w:w="0" w:type="dxa"/>
            <w:right w:w="0" w:type="dxa"/>
          </w:tblCellMar>
        </w:tblPrEx>
        <w:trPr>
          <w:trHeight w:val="4599"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8.8</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通知出入境管理机关阻止欠税人出境</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1.《中华人民共和国税收征收管理法》第四十四条。</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2.《中华人民共和国税收征收管理法实施细则》第七十四条。</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3.《阻止欠税人出境实施办法》（国税发〔1996〕215号)第三条。</w:t>
            </w:r>
          </w:p>
        </w:tc>
        <w:tc>
          <w:tcPr>
            <w:tcW w:w="110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一、相关程序和要求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1.税务机关应当通过官方网站、办税服务场所等渠道公开阻止欠税人出境的主体、权限、依据、程序、救济渠道、流程图等；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2.阻止欠税人出境由县级（含）以上税务机关申请，报省税务机关审核批准，由审批机关填写《边控对象通知书》，函请同级出入境管理机关办理边控手续；</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3.税务机关应当将阻止出境决定书送达欠税人，告知其阻止出境的理由、依据以及申请行政复议或者提起行政诉讼的途径和期限。</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二、事中事后监管措施</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1.需要延长布控期限的，税务机关应当及时办理续控手续；</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2.在对欠税人进行控制期间，税务机关应采取措施，尽快使欠税人完税。</w:t>
            </w:r>
          </w:p>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三、部门间职责衔接</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因税收违法行为移送法院审理的当事人由法院依照法律规定处理。</w:t>
            </w:r>
          </w:p>
        </w:tc>
        <w:tc>
          <w:tcPr>
            <w:tcW w:w="46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税务机关及其工作人员履行行政职责存在以下情形的，应当承担相应责任：</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1.利用职务上的便利，收受或者索取纳税人财物或者谋取其他不正当利益的；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2.徇私舞弊或者玩忽职守，不征或者少征应征税款，致使国家税收遭受重大损失的；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3.滥用职权，故意刁难纳税人、扣缴义务人的；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4.未按照规定为纳税人、扣缴义务人、检举人保密的；</w:t>
            </w:r>
          </w:p>
          <w:p>
            <w:pPr>
              <w:widowControl/>
              <w:jc w:val="left"/>
              <w:textAlignment w:val="center"/>
              <w:rPr>
                <w:rFonts w:ascii="宋体" w:hAnsi="宋体" w:eastAsia="宋体" w:cs="宋体"/>
                <w:color w:val="000000"/>
                <w:sz w:val="24"/>
              </w:rPr>
            </w:pPr>
            <w:r>
              <w:rPr>
                <w:rFonts w:hint="eastAsia" w:ascii="宋体" w:hAnsi="宋体" w:cs="宋体"/>
                <w:color w:val="000000"/>
                <w:kern w:val="0"/>
                <w:sz w:val="24"/>
              </w:rPr>
              <w:t>5.法律、行政法规等规定的其他不履行或者不正确履行行政职责的情形。</w:t>
            </w:r>
          </w:p>
        </w:tc>
      </w:tr>
      <w:tr>
        <w:tblPrEx>
          <w:tblCellMar>
            <w:top w:w="0" w:type="dxa"/>
            <w:left w:w="0" w:type="dxa"/>
            <w:bottom w:w="0" w:type="dxa"/>
            <w:right w:w="0" w:type="dxa"/>
          </w:tblCellMar>
        </w:tblPrEx>
        <w:trPr>
          <w:trHeight w:val="6000"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8.9</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收缴或停供发票</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《中华人民共和国税收征收管理法》第七十二条。</w:t>
            </w:r>
          </w:p>
        </w:tc>
        <w:tc>
          <w:tcPr>
            <w:tcW w:w="1106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相关程序和要求</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1.税务机关应当通过官方网站、办税服务场所等渠道公开收缴或停供发票的主体、权限、依据、程序、救济渠道、流程图等；</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2.纳税人、扣缴义务人有税收征管法规定的税收违法行为，拒不接受税务机关处理的，税务机关可以收缴其发票或者停止向其发售发票；</w:t>
            </w:r>
          </w:p>
          <w:p>
            <w:pPr>
              <w:widowControl/>
              <w:jc w:val="left"/>
              <w:textAlignment w:val="center"/>
              <w:rPr>
                <w:rFonts w:ascii="宋体" w:hAnsi="宋体" w:cs="宋体"/>
                <w:color w:val="000000"/>
                <w:kern w:val="0"/>
                <w:sz w:val="24"/>
              </w:rPr>
            </w:pPr>
            <w:bookmarkStart w:id="0" w:name="_GoBack"/>
            <w:bookmarkEnd w:id="0"/>
          </w:p>
        </w:tc>
        <w:tc>
          <w:tcPr>
            <w:tcW w:w="468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ascii="宋体" w:hAnsi="宋体" w:cs="宋体"/>
                <w:color w:val="000000"/>
                <w:kern w:val="0"/>
                <w:sz w:val="24"/>
              </w:rPr>
            </w:pPr>
            <w:r>
              <w:rPr>
                <w:rFonts w:hint="eastAsia" w:ascii="宋体" w:hAnsi="宋体" w:cs="宋体"/>
                <w:color w:val="000000"/>
                <w:kern w:val="0"/>
                <w:sz w:val="24"/>
              </w:rPr>
              <w:t>税务机关及其工作人员履行行政职责存在以下情形的，应当承担相应责任：</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1.利用职权之便，故意刁难印制、使用发票的单位和个人，或者有违反发票管理法规行为的；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2.利用职务上的便利，收受或者索取纳税人、扣缴义务人财物或者谋取其他不正当利益的；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3.徇私舞弊或者玩忽职守，不征或者少征应征税款，致使国家税收遭受重大损失的；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4.滥用职权，故意刁难纳税人、扣缴义务人的；</w:t>
            </w:r>
          </w:p>
          <w:p>
            <w:pPr>
              <w:widowControl/>
              <w:jc w:val="left"/>
              <w:textAlignment w:val="center"/>
              <w:rPr>
                <w:rFonts w:ascii="宋体" w:hAnsi="宋体" w:cs="宋体"/>
                <w:color w:val="000000"/>
                <w:kern w:val="0"/>
                <w:sz w:val="24"/>
              </w:rPr>
            </w:pPr>
            <w:r>
              <w:rPr>
                <w:rFonts w:hint="eastAsia" w:ascii="宋体" w:hAnsi="宋体" w:cs="宋体"/>
                <w:color w:val="000000"/>
                <w:kern w:val="0"/>
                <w:sz w:val="24"/>
              </w:rPr>
              <w:t>5.未按照规定为纳税人、扣缴义务人保密的；</w:t>
            </w:r>
          </w:p>
          <w:p>
            <w:pPr>
              <w:widowControl/>
              <w:jc w:val="left"/>
              <w:textAlignment w:val="center"/>
              <w:rPr>
                <w:rFonts w:ascii="宋体" w:hAnsi="宋体" w:cs="宋体"/>
                <w:color w:val="000000"/>
                <w:sz w:val="24"/>
              </w:rPr>
            </w:pPr>
            <w:r>
              <w:rPr>
                <w:rFonts w:hint="eastAsia" w:ascii="宋体" w:hAnsi="宋体" w:cs="宋体"/>
                <w:color w:val="000000"/>
                <w:kern w:val="0"/>
                <w:sz w:val="24"/>
              </w:rPr>
              <w:t>6.法律、行政法规等规定的其他不履行或者不正确履行行政职责的情形。</w:t>
            </w:r>
          </w:p>
        </w:tc>
      </w:tr>
    </w:tbl>
    <w:p>
      <w:pPr>
        <w:rPr>
          <w:rFonts w:ascii="宋体" w:hAnsi="宋体" w:cs="宋体"/>
          <w:sz w:val="44"/>
          <w:szCs w:val="44"/>
        </w:rPr>
      </w:pPr>
    </w:p>
    <w:p>
      <w:pPr>
        <w:spacing w:line="360" w:lineRule="auto"/>
        <w:jc w:val="center"/>
        <w:rPr>
          <w:rFonts w:ascii="黑体" w:hAnsi="黑体" w:eastAsia="黑体" w:cs="宋体"/>
          <w:sz w:val="36"/>
          <w:szCs w:val="32"/>
        </w:rPr>
      </w:pPr>
    </w:p>
    <w:p>
      <w:pPr>
        <w:spacing w:line="360" w:lineRule="auto"/>
        <w:jc w:val="center"/>
        <w:rPr>
          <w:rFonts w:ascii="黑体" w:hAnsi="黑体" w:eastAsia="黑体" w:cs="宋体"/>
          <w:sz w:val="36"/>
          <w:szCs w:val="32"/>
        </w:rPr>
      </w:pPr>
    </w:p>
    <w:p>
      <w:pPr>
        <w:spacing w:line="360" w:lineRule="auto"/>
        <w:jc w:val="center"/>
        <w:rPr>
          <w:rFonts w:ascii="黑体" w:hAnsi="黑体" w:eastAsia="黑体" w:cs="宋体"/>
          <w:sz w:val="36"/>
          <w:szCs w:val="32"/>
        </w:rPr>
      </w:pPr>
      <w:r>
        <w:rPr>
          <w:rFonts w:hint="eastAsia" w:ascii="黑体" w:hAnsi="黑体" w:eastAsia="黑体" w:cs="宋体"/>
          <w:sz w:val="36"/>
          <w:szCs w:val="32"/>
        </w:rPr>
        <w:t>三、附  则</w:t>
      </w:r>
    </w:p>
    <w:p>
      <w:pPr>
        <w:spacing w:line="360" w:lineRule="auto"/>
        <w:jc w:val="center"/>
        <w:rPr>
          <w:rFonts w:ascii="黑体" w:hAnsi="黑体" w:eastAsia="黑体" w:cs="宋体"/>
          <w:sz w:val="36"/>
          <w:szCs w:val="32"/>
        </w:rPr>
      </w:pP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一）总则规定的国家税务总局罗山县税务局应当承担的主要职责，未列入权责事项表的，国家税务总局罗山县税务局应根据法律法规、税务部门规章、“三定”规定和党中央、国务院有关部署，全面正确履行相关职责。</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（二）未按权责事项表正确履职并产生追责情形的，由相关部门按照党的纪律和国家法律法规进行处理。</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三）国家税务总局罗山县税务局要以方便行政相对人为导向，落实透明、高效、便民的原则，编制并公布行政权力运行流程图和服务指南或工作规范，切实减少工作环节，规范自由裁量权，提高行政权力运行的科学化、规范化水平。</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（四）根据立法变化、机构和职能调整等情况，由国家税务总局罗山县税务局按规定程序相应调整更新权责清单。</w:t>
      </w:r>
    </w:p>
    <w:p>
      <w:pPr>
        <w:spacing w:line="360" w:lineRule="auto"/>
        <w:ind w:firstLine="640" w:firstLineChars="200"/>
        <w:rPr>
          <w:rFonts w:ascii="仿宋_GB2312" w:hAnsi="宋体" w:eastAsia="仿宋_GB2312" w:cs="宋体"/>
          <w:sz w:val="32"/>
          <w:szCs w:val="32"/>
        </w:rPr>
      </w:pP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附注：公布《国家税务总局罗山县税务局权力和责任清单》，旨在听取社会意见，接受社会监督（</w:t>
      </w:r>
      <w:r>
        <w:rPr>
          <w:rFonts w:hint="eastAsia" w:ascii="仿宋" w:hAnsi="仿宋" w:eastAsia="仿宋" w:cs="Times New Roman"/>
          <w:sz w:val="32"/>
          <w:szCs w:val="32"/>
        </w:rPr>
        <w:t>监督电话：</w:t>
      </w:r>
      <w:r>
        <w:rPr>
          <w:rFonts w:ascii="仿宋" w:hAnsi="仿宋" w:eastAsia="仿宋" w:cs="Times New Roman"/>
          <w:sz w:val="32"/>
          <w:szCs w:val="32"/>
        </w:rPr>
        <w:t>0376-2169906</w:t>
      </w:r>
      <w:r>
        <w:rPr>
          <w:rFonts w:hint="eastAsia" w:ascii="仿宋" w:hAnsi="仿宋" w:eastAsia="仿宋" w:cs="Times New Roman"/>
          <w:sz w:val="32"/>
          <w:szCs w:val="32"/>
        </w:rPr>
        <w:t>、</w:t>
      </w:r>
      <w:r>
        <w:rPr>
          <w:rFonts w:ascii="仿宋" w:hAnsi="仿宋" w:eastAsia="仿宋" w:cs="Times New Roman"/>
          <w:sz w:val="32"/>
          <w:szCs w:val="32"/>
        </w:rPr>
        <w:t>监督邮箱：xylssw2018@163.com</w:t>
      </w:r>
      <w:r>
        <w:rPr>
          <w:rFonts w:hint="eastAsia" w:ascii="仿宋_GB2312" w:hAnsi="宋体" w:eastAsia="仿宋_GB2312" w:cs="宋体"/>
          <w:sz w:val="32"/>
          <w:szCs w:val="32"/>
        </w:rPr>
        <w:t>）</w:t>
      </w:r>
    </w:p>
    <w:p>
      <w:pPr>
        <w:shd w:val="clear" w:color="auto" w:fill="FFFFFF" w:themeFill="background1"/>
        <w:tabs>
          <w:tab w:val="left" w:pos="639"/>
        </w:tabs>
        <w:rPr>
          <w:rFonts w:ascii="楷体" w:hAnsi="楷体" w:eastAsia="楷体" w:cs="楷体"/>
          <w:b/>
          <w:bCs/>
          <w:sz w:val="32"/>
          <w:szCs w:val="32"/>
        </w:rPr>
      </w:pPr>
      <w:r>
        <w:rPr>
          <w:rFonts w:hint="eastAsia" w:ascii="楷体" w:hAnsi="楷体" w:eastAsia="楷体" w:cs="楷体"/>
          <w:b/>
          <w:bCs/>
          <w:sz w:val="32"/>
          <w:szCs w:val="32"/>
        </w:rPr>
        <w:t xml:space="preserve"> </w:t>
      </w:r>
    </w:p>
    <w:sectPr>
      <w:footerReference r:id="rId3" w:type="default"/>
      <w:pgSz w:w="23757" w:h="16783"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0151637"/>
    </w:sdtPr>
    <w:sdtContent>
      <w:p>
        <w:pPr>
          <w:pStyle w:val="3"/>
          <w:jc w:val="center"/>
        </w:pPr>
        <w:r>
          <w:fldChar w:fldCharType="begin"/>
        </w:r>
        <w:r>
          <w:instrText xml:space="preserve">PAGE   \* MERGEFORMAT</w:instrText>
        </w:r>
        <w:r>
          <w:fldChar w:fldCharType="separate"/>
        </w:r>
        <w:r>
          <w:rPr>
            <w:lang w:val="zh-CN"/>
          </w:rPr>
          <w:t>114</w:t>
        </w:r>
        <w:r>
          <w:rPr>
            <w:lang w:val="zh-CN"/>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06CA1"/>
    <w:multiLevelType w:val="multilevel"/>
    <w:tmpl w:val="08106CA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D8C"/>
    <w:rsid w:val="0000198C"/>
    <w:rsid w:val="00016719"/>
    <w:rsid w:val="00022A46"/>
    <w:rsid w:val="000300BE"/>
    <w:rsid w:val="000332B2"/>
    <w:rsid w:val="00036103"/>
    <w:rsid w:val="000407F2"/>
    <w:rsid w:val="00045B13"/>
    <w:rsid w:val="0004682F"/>
    <w:rsid w:val="00047B22"/>
    <w:rsid w:val="000505D6"/>
    <w:rsid w:val="00063C32"/>
    <w:rsid w:val="0007320A"/>
    <w:rsid w:val="00097972"/>
    <w:rsid w:val="000A260B"/>
    <w:rsid w:val="000C075B"/>
    <w:rsid w:val="000C2CDE"/>
    <w:rsid w:val="000C4631"/>
    <w:rsid w:val="000C7526"/>
    <w:rsid w:val="000D2083"/>
    <w:rsid w:val="000D49B0"/>
    <w:rsid w:val="000F38FE"/>
    <w:rsid w:val="001256BD"/>
    <w:rsid w:val="00127EFC"/>
    <w:rsid w:val="00131317"/>
    <w:rsid w:val="00136256"/>
    <w:rsid w:val="00143153"/>
    <w:rsid w:val="001505B0"/>
    <w:rsid w:val="0015575F"/>
    <w:rsid w:val="00161A41"/>
    <w:rsid w:val="00162A5B"/>
    <w:rsid w:val="00163A64"/>
    <w:rsid w:val="00166A40"/>
    <w:rsid w:val="001842E3"/>
    <w:rsid w:val="00190DF6"/>
    <w:rsid w:val="001A0878"/>
    <w:rsid w:val="001A0CF5"/>
    <w:rsid w:val="001A7715"/>
    <w:rsid w:val="001B08F9"/>
    <w:rsid w:val="001E77C8"/>
    <w:rsid w:val="001F4285"/>
    <w:rsid w:val="00200756"/>
    <w:rsid w:val="00200E2B"/>
    <w:rsid w:val="00210D21"/>
    <w:rsid w:val="002140E3"/>
    <w:rsid w:val="00223504"/>
    <w:rsid w:val="00230AB2"/>
    <w:rsid w:val="00245376"/>
    <w:rsid w:val="00250DD8"/>
    <w:rsid w:val="00254F96"/>
    <w:rsid w:val="00262CB0"/>
    <w:rsid w:val="00274907"/>
    <w:rsid w:val="00286B14"/>
    <w:rsid w:val="002905F8"/>
    <w:rsid w:val="0029460F"/>
    <w:rsid w:val="002A5F9E"/>
    <w:rsid w:val="002D535A"/>
    <w:rsid w:val="002D6D79"/>
    <w:rsid w:val="002E27D9"/>
    <w:rsid w:val="002F0A3D"/>
    <w:rsid w:val="002F23D9"/>
    <w:rsid w:val="002F5B85"/>
    <w:rsid w:val="002F73AE"/>
    <w:rsid w:val="002F7490"/>
    <w:rsid w:val="00312C0C"/>
    <w:rsid w:val="00330A1A"/>
    <w:rsid w:val="00331234"/>
    <w:rsid w:val="00344786"/>
    <w:rsid w:val="003461DE"/>
    <w:rsid w:val="00350BEF"/>
    <w:rsid w:val="00350EF8"/>
    <w:rsid w:val="00354992"/>
    <w:rsid w:val="00367975"/>
    <w:rsid w:val="00380149"/>
    <w:rsid w:val="00380A27"/>
    <w:rsid w:val="00385CAF"/>
    <w:rsid w:val="00386269"/>
    <w:rsid w:val="003937DC"/>
    <w:rsid w:val="003A64A3"/>
    <w:rsid w:val="003A6906"/>
    <w:rsid w:val="003B2502"/>
    <w:rsid w:val="003B667A"/>
    <w:rsid w:val="003C485B"/>
    <w:rsid w:val="003E2DB1"/>
    <w:rsid w:val="003F09BD"/>
    <w:rsid w:val="00417220"/>
    <w:rsid w:val="004172E4"/>
    <w:rsid w:val="00427D16"/>
    <w:rsid w:val="00430C83"/>
    <w:rsid w:val="0044296E"/>
    <w:rsid w:val="00472221"/>
    <w:rsid w:val="0047457B"/>
    <w:rsid w:val="00482232"/>
    <w:rsid w:val="00483754"/>
    <w:rsid w:val="00491C13"/>
    <w:rsid w:val="00491E0B"/>
    <w:rsid w:val="004B57F8"/>
    <w:rsid w:val="004B7B4C"/>
    <w:rsid w:val="004C4746"/>
    <w:rsid w:val="004C55FA"/>
    <w:rsid w:val="004E4BD4"/>
    <w:rsid w:val="004E5BCA"/>
    <w:rsid w:val="004F213A"/>
    <w:rsid w:val="004F69B5"/>
    <w:rsid w:val="00505C49"/>
    <w:rsid w:val="00506FDB"/>
    <w:rsid w:val="00510AE9"/>
    <w:rsid w:val="00530C31"/>
    <w:rsid w:val="00536E9E"/>
    <w:rsid w:val="0054723D"/>
    <w:rsid w:val="00552D86"/>
    <w:rsid w:val="005608C8"/>
    <w:rsid w:val="00562625"/>
    <w:rsid w:val="005642A1"/>
    <w:rsid w:val="00575A01"/>
    <w:rsid w:val="00581732"/>
    <w:rsid w:val="005831D5"/>
    <w:rsid w:val="00591C07"/>
    <w:rsid w:val="005B013D"/>
    <w:rsid w:val="005B53C1"/>
    <w:rsid w:val="005B6843"/>
    <w:rsid w:val="005B78D4"/>
    <w:rsid w:val="005C1CFD"/>
    <w:rsid w:val="005E762F"/>
    <w:rsid w:val="005F7B6E"/>
    <w:rsid w:val="00600EC5"/>
    <w:rsid w:val="00601666"/>
    <w:rsid w:val="00602D8C"/>
    <w:rsid w:val="00605D2A"/>
    <w:rsid w:val="00614A3B"/>
    <w:rsid w:val="00617B85"/>
    <w:rsid w:val="0062737F"/>
    <w:rsid w:val="00630687"/>
    <w:rsid w:val="006408FF"/>
    <w:rsid w:val="00656A58"/>
    <w:rsid w:val="006668B8"/>
    <w:rsid w:val="00666E5A"/>
    <w:rsid w:val="006674CE"/>
    <w:rsid w:val="006A616A"/>
    <w:rsid w:val="006C1CC3"/>
    <w:rsid w:val="006C26EE"/>
    <w:rsid w:val="006C2993"/>
    <w:rsid w:val="006C7615"/>
    <w:rsid w:val="006D439D"/>
    <w:rsid w:val="006F2DD9"/>
    <w:rsid w:val="00700B3B"/>
    <w:rsid w:val="00710802"/>
    <w:rsid w:val="007261C7"/>
    <w:rsid w:val="00775BBF"/>
    <w:rsid w:val="00777195"/>
    <w:rsid w:val="00785BD3"/>
    <w:rsid w:val="00786D3D"/>
    <w:rsid w:val="00787EA1"/>
    <w:rsid w:val="0079339E"/>
    <w:rsid w:val="007B4B7B"/>
    <w:rsid w:val="007C36FF"/>
    <w:rsid w:val="007D50BA"/>
    <w:rsid w:val="007E0B51"/>
    <w:rsid w:val="007E1F7D"/>
    <w:rsid w:val="007E320E"/>
    <w:rsid w:val="007F0BFF"/>
    <w:rsid w:val="007F4DC5"/>
    <w:rsid w:val="00804675"/>
    <w:rsid w:val="00815E75"/>
    <w:rsid w:val="008316C7"/>
    <w:rsid w:val="00847D67"/>
    <w:rsid w:val="008521A0"/>
    <w:rsid w:val="008529B2"/>
    <w:rsid w:val="00853F43"/>
    <w:rsid w:val="00854116"/>
    <w:rsid w:val="00860E51"/>
    <w:rsid w:val="00861BB2"/>
    <w:rsid w:val="008668A4"/>
    <w:rsid w:val="008751AD"/>
    <w:rsid w:val="00877D33"/>
    <w:rsid w:val="00887220"/>
    <w:rsid w:val="00891481"/>
    <w:rsid w:val="008A60C1"/>
    <w:rsid w:val="008C6928"/>
    <w:rsid w:val="008D0090"/>
    <w:rsid w:val="008D5584"/>
    <w:rsid w:val="008D568E"/>
    <w:rsid w:val="008F07D8"/>
    <w:rsid w:val="008F18D9"/>
    <w:rsid w:val="009009CD"/>
    <w:rsid w:val="009169FF"/>
    <w:rsid w:val="0092745F"/>
    <w:rsid w:val="00937B65"/>
    <w:rsid w:val="009416E8"/>
    <w:rsid w:val="009428EE"/>
    <w:rsid w:val="00945A96"/>
    <w:rsid w:val="00952B38"/>
    <w:rsid w:val="009554B6"/>
    <w:rsid w:val="00963157"/>
    <w:rsid w:val="00970CA1"/>
    <w:rsid w:val="009779F3"/>
    <w:rsid w:val="009819B4"/>
    <w:rsid w:val="00986BA1"/>
    <w:rsid w:val="00995E4A"/>
    <w:rsid w:val="00997BB2"/>
    <w:rsid w:val="009A5653"/>
    <w:rsid w:val="009B620B"/>
    <w:rsid w:val="009C32B9"/>
    <w:rsid w:val="009C593D"/>
    <w:rsid w:val="009C64F2"/>
    <w:rsid w:val="009C72E2"/>
    <w:rsid w:val="009C78DC"/>
    <w:rsid w:val="009D08A6"/>
    <w:rsid w:val="009E15B4"/>
    <w:rsid w:val="009E6DD0"/>
    <w:rsid w:val="009F1337"/>
    <w:rsid w:val="009F3F7A"/>
    <w:rsid w:val="009F51D9"/>
    <w:rsid w:val="00A13CCD"/>
    <w:rsid w:val="00A2689B"/>
    <w:rsid w:val="00A33E92"/>
    <w:rsid w:val="00A42DD0"/>
    <w:rsid w:val="00A46365"/>
    <w:rsid w:val="00A55DD6"/>
    <w:rsid w:val="00A66075"/>
    <w:rsid w:val="00A676DF"/>
    <w:rsid w:val="00A735B7"/>
    <w:rsid w:val="00A76B52"/>
    <w:rsid w:val="00A94D20"/>
    <w:rsid w:val="00AA24F6"/>
    <w:rsid w:val="00AA252A"/>
    <w:rsid w:val="00AA28FF"/>
    <w:rsid w:val="00AA7656"/>
    <w:rsid w:val="00AA7A3B"/>
    <w:rsid w:val="00AB58CB"/>
    <w:rsid w:val="00AB5C5F"/>
    <w:rsid w:val="00AD492E"/>
    <w:rsid w:val="00AE2548"/>
    <w:rsid w:val="00AF1520"/>
    <w:rsid w:val="00B06918"/>
    <w:rsid w:val="00B06EBB"/>
    <w:rsid w:val="00B078CD"/>
    <w:rsid w:val="00B117DB"/>
    <w:rsid w:val="00B15754"/>
    <w:rsid w:val="00B25422"/>
    <w:rsid w:val="00B34C2B"/>
    <w:rsid w:val="00B35635"/>
    <w:rsid w:val="00B45988"/>
    <w:rsid w:val="00B54B8E"/>
    <w:rsid w:val="00B718AB"/>
    <w:rsid w:val="00B73178"/>
    <w:rsid w:val="00B919A8"/>
    <w:rsid w:val="00B929BD"/>
    <w:rsid w:val="00BA1B34"/>
    <w:rsid w:val="00BA2B32"/>
    <w:rsid w:val="00BB1927"/>
    <w:rsid w:val="00BB78EF"/>
    <w:rsid w:val="00BD5C3F"/>
    <w:rsid w:val="00C00208"/>
    <w:rsid w:val="00C020B1"/>
    <w:rsid w:val="00C055EF"/>
    <w:rsid w:val="00C17B1F"/>
    <w:rsid w:val="00C42B1D"/>
    <w:rsid w:val="00C63E80"/>
    <w:rsid w:val="00C7399E"/>
    <w:rsid w:val="00C767CE"/>
    <w:rsid w:val="00CA1785"/>
    <w:rsid w:val="00CA560D"/>
    <w:rsid w:val="00CB0FD9"/>
    <w:rsid w:val="00CB3AD9"/>
    <w:rsid w:val="00CB5B03"/>
    <w:rsid w:val="00CC1C2B"/>
    <w:rsid w:val="00CC4689"/>
    <w:rsid w:val="00CC4A05"/>
    <w:rsid w:val="00CD1C2B"/>
    <w:rsid w:val="00CD216B"/>
    <w:rsid w:val="00CD2721"/>
    <w:rsid w:val="00CD65B7"/>
    <w:rsid w:val="00CE4DD0"/>
    <w:rsid w:val="00D01765"/>
    <w:rsid w:val="00D022E0"/>
    <w:rsid w:val="00D0375A"/>
    <w:rsid w:val="00D0545D"/>
    <w:rsid w:val="00D238B0"/>
    <w:rsid w:val="00D24CA2"/>
    <w:rsid w:val="00D279D3"/>
    <w:rsid w:val="00D33638"/>
    <w:rsid w:val="00D33E20"/>
    <w:rsid w:val="00D365BD"/>
    <w:rsid w:val="00D42088"/>
    <w:rsid w:val="00D42432"/>
    <w:rsid w:val="00D44EA9"/>
    <w:rsid w:val="00D5028C"/>
    <w:rsid w:val="00D76F21"/>
    <w:rsid w:val="00D931D5"/>
    <w:rsid w:val="00D955A0"/>
    <w:rsid w:val="00D96A21"/>
    <w:rsid w:val="00DB12BC"/>
    <w:rsid w:val="00DB4715"/>
    <w:rsid w:val="00DB54D7"/>
    <w:rsid w:val="00DB6CEB"/>
    <w:rsid w:val="00DC2BA7"/>
    <w:rsid w:val="00DC692D"/>
    <w:rsid w:val="00DC6B02"/>
    <w:rsid w:val="00DD1774"/>
    <w:rsid w:val="00DD68A9"/>
    <w:rsid w:val="00DE14F7"/>
    <w:rsid w:val="00DE75C9"/>
    <w:rsid w:val="00E11098"/>
    <w:rsid w:val="00E15EA9"/>
    <w:rsid w:val="00E22CBD"/>
    <w:rsid w:val="00E35423"/>
    <w:rsid w:val="00E36964"/>
    <w:rsid w:val="00E45CA6"/>
    <w:rsid w:val="00E72334"/>
    <w:rsid w:val="00E8154B"/>
    <w:rsid w:val="00E8592C"/>
    <w:rsid w:val="00E8638E"/>
    <w:rsid w:val="00E91289"/>
    <w:rsid w:val="00E92E38"/>
    <w:rsid w:val="00E95250"/>
    <w:rsid w:val="00EA5200"/>
    <w:rsid w:val="00EA5864"/>
    <w:rsid w:val="00EC0D5B"/>
    <w:rsid w:val="00ED005B"/>
    <w:rsid w:val="00EE6648"/>
    <w:rsid w:val="00EE665E"/>
    <w:rsid w:val="00EF7D05"/>
    <w:rsid w:val="00F01252"/>
    <w:rsid w:val="00F10639"/>
    <w:rsid w:val="00F1523E"/>
    <w:rsid w:val="00F16C70"/>
    <w:rsid w:val="00F1735F"/>
    <w:rsid w:val="00F356F7"/>
    <w:rsid w:val="00F372CE"/>
    <w:rsid w:val="00F3744B"/>
    <w:rsid w:val="00F42FBC"/>
    <w:rsid w:val="00F43926"/>
    <w:rsid w:val="00F52442"/>
    <w:rsid w:val="00F53EC0"/>
    <w:rsid w:val="00F723F3"/>
    <w:rsid w:val="00F742A2"/>
    <w:rsid w:val="00F75B4C"/>
    <w:rsid w:val="00F76E06"/>
    <w:rsid w:val="00F90757"/>
    <w:rsid w:val="00F95F59"/>
    <w:rsid w:val="00F96B58"/>
    <w:rsid w:val="00FA1612"/>
    <w:rsid w:val="00FA1F5F"/>
    <w:rsid w:val="00FB131F"/>
    <w:rsid w:val="00FB177E"/>
    <w:rsid w:val="00FB191B"/>
    <w:rsid w:val="00FC4AE3"/>
    <w:rsid w:val="00FC6F31"/>
    <w:rsid w:val="00FD0F19"/>
    <w:rsid w:val="00FD1420"/>
    <w:rsid w:val="00FD6012"/>
    <w:rsid w:val="00FD6F37"/>
    <w:rsid w:val="00FE0F13"/>
    <w:rsid w:val="00FE550D"/>
    <w:rsid w:val="12C2778C"/>
    <w:rsid w:val="13F346D8"/>
    <w:rsid w:val="15272877"/>
    <w:rsid w:val="190E45DF"/>
    <w:rsid w:val="1EBC11BD"/>
    <w:rsid w:val="205B42BA"/>
    <w:rsid w:val="22391380"/>
    <w:rsid w:val="2279745E"/>
    <w:rsid w:val="26D9013C"/>
    <w:rsid w:val="2D9B234C"/>
    <w:rsid w:val="33052EA3"/>
    <w:rsid w:val="43844066"/>
    <w:rsid w:val="43D51BF9"/>
    <w:rsid w:val="44DB59C2"/>
    <w:rsid w:val="4B2F49AC"/>
    <w:rsid w:val="4B874658"/>
    <w:rsid w:val="4F9B1262"/>
    <w:rsid w:val="50137172"/>
    <w:rsid w:val="51A454B1"/>
    <w:rsid w:val="54A67D01"/>
    <w:rsid w:val="583E489D"/>
    <w:rsid w:val="5A3C47FE"/>
    <w:rsid w:val="5AB67083"/>
    <w:rsid w:val="6604783C"/>
    <w:rsid w:val="66624A73"/>
    <w:rsid w:val="67CF0AF1"/>
    <w:rsid w:val="691568F6"/>
    <w:rsid w:val="6D5C7B7A"/>
    <w:rsid w:val="6DB35A20"/>
    <w:rsid w:val="6E1E01A2"/>
    <w:rsid w:val="6F365CCE"/>
    <w:rsid w:val="705E3E76"/>
    <w:rsid w:val="708956EB"/>
    <w:rsid w:val="760E06FA"/>
    <w:rsid w:val="77082CB3"/>
    <w:rsid w:val="77CE306B"/>
    <w:rsid w:val="788734AF"/>
    <w:rsid w:val="79EA70D1"/>
    <w:rsid w:val="7A070334"/>
    <w:rsid w:val="7E4E3BE3"/>
    <w:rsid w:val="7F511655"/>
    <w:rsid w:val="7F810F1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4"/>
    <w:qFormat/>
    <w:uiPriority w:val="9"/>
    <w:pPr>
      <w:keepNext/>
      <w:keepLines/>
      <w:spacing w:before="340" w:after="330" w:line="578" w:lineRule="auto"/>
      <w:outlineLvl w:val="0"/>
    </w:pPr>
    <w:rPr>
      <w:rFonts w:ascii="Times New Roman" w:hAnsi="Times New Roman"/>
      <w:b/>
      <w:bCs/>
      <w:kern w:val="44"/>
      <w:sz w:val="44"/>
      <w:szCs w:val="44"/>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3"/>
    <w:qFormat/>
    <w:uiPriority w:val="99"/>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font11"/>
    <w:basedOn w:val="6"/>
    <w:qFormat/>
    <w:uiPriority w:val="0"/>
    <w:rPr>
      <w:rFonts w:hint="eastAsia" w:ascii="宋体" w:hAnsi="宋体" w:eastAsia="宋体" w:cs="宋体"/>
      <w:strike/>
      <w:color w:val="000000"/>
      <w:sz w:val="24"/>
      <w:szCs w:val="24"/>
    </w:rPr>
  </w:style>
  <w:style w:type="character" w:customStyle="1" w:styleId="8">
    <w:name w:val="font21"/>
    <w:basedOn w:val="6"/>
    <w:qFormat/>
    <w:uiPriority w:val="0"/>
    <w:rPr>
      <w:rFonts w:hint="eastAsia" w:ascii="宋体" w:hAnsi="宋体" w:eastAsia="宋体" w:cs="宋体"/>
      <w:color w:val="000000"/>
      <w:sz w:val="24"/>
      <w:szCs w:val="24"/>
      <w:u w:val="none"/>
    </w:rPr>
  </w:style>
  <w:style w:type="character" w:customStyle="1" w:styleId="9">
    <w:name w:val="font01"/>
    <w:basedOn w:val="6"/>
    <w:qFormat/>
    <w:uiPriority w:val="0"/>
    <w:rPr>
      <w:rFonts w:hint="eastAsia" w:ascii="宋体" w:hAnsi="宋体" w:eastAsia="宋体" w:cs="宋体"/>
      <w:color w:val="FF0000"/>
      <w:sz w:val="24"/>
      <w:szCs w:val="24"/>
      <w:u w:val="none"/>
    </w:rPr>
  </w:style>
  <w:style w:type="character" w:customStyle="1" w:styleId="10">
    <w:name w:val="font41"/>
    <w:basedOn w:val="6"/>
    <w:qFormat/>
    <w:uiPriority w:val="0"/>
    <w:rPr>
      <w:rFonts w:hint="eastAsia" w:ascii="宋体" w:hAnsi="宋体" w:eastAsia="宋体" w:cs="宋体"/>
      <w:color w:val="000000"/>
      <w:sz w:val="24"/>
      <w:szCs w:val="24"/>
      <w:u w:val="none"/>
    </w:rPr>
  </w:style>
  <w:style w:type="character" w:customStyle="1" w:styleId="11">
    <w:name w:val="font61"/>
    <w:basedOn w:val="6"/>
    <w:qFormat/>
    <w:uiPriority w:val="0"/>
    <w:rPr>
      <w:rFonts w:hint="eastAsia" w:ascii="宋体" w:hAnsi="宋体" w:eastAsia="宋体" w:cs="宋体"/>
      <w:color w:val="000000"/>
      <w:sz w:val="24"/>
      <w:szCs w:val="24"/>
      <w:u w:val="none"/>
    </w:rPr>
  </w:style>
  <w:style w:type="character" w:customStyle="1" w:styleId="12">
    <w:name w:val="页眉 字符"/>
    <w:basedOn w:val="6"/>
    <w:link w:val="4"/>
    <w:qFormat/>
    <w:uiPriority w:val="0"/>
    <w:rPr>
      <w:rFonts w:asciiTheme="minorHAnsi" w:hAnsiTheme="minorHAnsi" w:eastAsiaTheme="minorEastAsia" w:cstheme="minorBidi"/>
      <w:kern w:val="2"/>
      <w:sz w:val="18"/>
      <w:szCs w:val="18"/>
    </w:rPr>
  </w:style>
  <w:style w:type="character" w:customStyle="1" w:styleId="13">
    <w:name w:val="页脚 字符"/>
    <w:basedOn w:val="6"/>
    <w:link w:val="3"/>
    <w:qFormat/>
    <w:uiPriority w:val="99"/>
    <w:rPr>
      <w:rFonts w:asciiTheme="minorHAnsi" w:hAnsiTheme="minorHAnsi" w:eastAsiaTheme="minorEastAsia" w:cstheme="minorBidi"/>
      <w:kern w:val="2"/>
      <w:sz w:val="18"/>
      <w:szCs w:val="18"/>
    </w:rPr>
  </w:style>
  <w:style w:type="character" w:customStyle="1" w:styleId="14">
    <w:name w:val="标题 1 字符"/>
    <w:link w:val="2"/>
    <w:qFormat/>
    <w:uiPriority w:val="9"/>
    <w:rPr>
      <w:rFonts w:ascii="Times New Roman" w:hAnsi="Times New Roman"/>
      <w:b/>
      <w:bCs/>
      <w:kern w:val="44"/>
      <w:sz w:val="44"/>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115</Pages>
  <Words>22294</Words>
  <Characters>127078</Characters>
  <Lines>1058</Lines>
  <Paragraphs>298</Paragraphs>
  <TotalTime>2</TotalTime>
  <ScaleCrop>false</ScaleCrop>
  <LinksUpToDate>false</LinksUpToDate>
  <CharactersWithSpaces>149074</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2020-03-08T09:32:00Z</dcterms:created>
  <dc:creator>刘鹏</dc:creator>
  <cp:lastModifiedBy>Administrator</cp:lastModifiedBy>
  <cp:lastPrinted>2020-04-08T01:43:00Z</cp:lastPrinted>
  <dcterms:modified xsi:type="dcterms:W3CDTF">2020-06-22T07:52:20Z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