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284" w:rsidRDefault="009250C7" w:rsidP="00EA1076">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罗山县税务局第一税务分局</w:t>
      </w:r>
      <w:r>
        <w:rPr>
          <w:rFonts w:ascii="方正小标宋简体" w:eastAsia="方正小标宋简体" w:hAnsi="宋体" w:cs="宋体" w:hint="eastAsia"/>
          <w:sz w:val="44"/>
          <w:szCs w:val="44"/>
        </w:rPr>
        <w:t>权力和责任清单</w:t>
      </w:r>
    </w:p>
    <w:p w:rsidR="00EF3284" w:rsidRDefault="009250C7" w:rsidP="00EA1076">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税务局第</w:t>
      </w:r>
      <w:r>
        <w:rPr>
          <w:rFonts w:ascii="仿宋_GB2312" w:eastAsia="仿宋_GB2312" w:hAnsi="宋体" w:cs="宋体" w:hint="eastAsia"/>
          <w:sz w:val="32"/>
          <w:szCs w:val="32"/>
        </w:rPr>
        <w:t>一</w:t>
      </w:r>
      <w:r>
        <w:rPr>
          <w:rFonts w:ascii="仿宋_GB2312" w:eastAsia="仿宋_GB2312" w:hAnsi="宋体" w:cs="宋体" w:hint="eastAsia"/>
          <w:sz w:val="32"/>
          <w:szCs w:val="32"/>
        </w:rPr>
        <w:t>税务分局主要履行以下职责：</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EF3284" w:rsidRDefault="009250C7">
      <w:pPr>
        <w:jc w:val="center"/>
        <w:rPr>
          <w:rFonts w:ascii="黑体" w:eastAsia="黑体" w:hAnsi="黑体" w:cs="黑体"/>
          <w:sz w:val="36"/>
          <w:szCs w:val="32"/>
        </w:rPr>
      </w:pPr>
      <w:r>
        <w:rPr>
          <w:rFonts w:ascii="宋体" w:hAnsi="宋体" w:cs="宋体" w:hint="eastAsia"/>
          <w:sz w:val="44"/>
          <w:szCs w:val="44"/>
        </w:rPr>
        <w:br w:type="page"/>
      </w:r>
    </w:p>
    <w:p w:rsidR="00EF3284" w:rsidRPr="00EA1076" w:rsidRDefault="00EA1076" w:rsidP="00EA1076">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EF3284">
        <w:trPr>
          <w:trHeight w:val="600"/>
          <w:tblHeader/>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63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w:t>
            </w:r>
            <w:r>
              <w:rPr>
                <w:rFonts w:ascii="宋体" w:eastAsia="宋体" w:hAnsi="宋体" w:cs="宋体" w:hint="eastAsia"/>
                <w:color w:val="000000"/>
                <w:kern w:val="0"/>
                <w:sz w:val="24"/>
              </w:rPr>
              <w:t>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3600"/>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w:t>
            </w:r>
            <w:r>
              <w:rPr>
                <w:rFonts w:ascii="宋体" w:eastAsia="宋体" w:hAnsi="宋体" w:cs="宋体" w:hint="eastAsia"/>
                <w:color w:val="000000"/>
                <w:kern w:val="0"/>
                <w:sz w:val="24"/>
              </w:rPr>
              <w:t>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800"/>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w:t>
            </w:r>
            <w:r>
              <w:rPr>
                <w:rFonts w:ascii="宋体" w:eastAsia="宋体" w:hAnsi="宋体" w:cs="宋体" w:hint="eastAsia"/>
                <w:color w:val="000000"/>
                <w:kern w:val="0"/>
                <w:sz w:val="24"/>
              </w:rPr>
              <w:t>除标准的核定采取备案制，备案资料的范围和要求由省级税务机关确定；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w:t>
            </w:r>
            <w:r>
              <w:rPr>
                <w:rFonts w:ascii="宋体" w:eastAsia="宋体" w:hAnsi="宋体" w:cs="宋体" w:hint="eastAsia"/>
                <w:color w:val="000000"/>
                <w:kern w:val="0"/>
                <w:sz w:val="24"/>
              </w:rPr>
              <w:t>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6584"/>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EF3284" w:rsidRDefault="009250C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省税务局对上报的资料进行案头复核，并对逾期增值税扣税凭证信息进行认证、稽核比对，对资料符合条件、稽核比对结果相符的，允许纳税人继续抵扣逾期增值税扣税凭证上所注明或计算的税额</w:t>
            </w:r>
            <w:r>
              <w:rPr>
                <w:rFonts w:ascii="宋体" w:hAnsi="宋体" w:cs="宋体" w:hint="eastAsia"/>
                <w:color w:val="000000"/>
                <w:kern w:val="0"/>
                <w:sz w:val="24"/>
              </w:rPr>
              <w:t>；</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w:t>
            </w:r>
            <w:r>
              <w:rPr>
                <w:rFonts w:ascii="宋体" w:hAnsi="宋体" w:cs="宋体" w:hint="eastAsia"/>
                <w:color w:val="000000"/>
                <w:kern w:val="0"/>
                <w:sz w:val="24"/>
              </w:rPr>
              <w:t>定条件的，仍可按照《国家税务总局关于逾期增值税扣税凭证抵扣问题的公告》规定，继续抵扣进项税额。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w:t>
            </w:r>
            <w:r>
              <w:rPr>
                <w:rFonts w:ascii="宋体" w:eastAsia="宋体" w:hAnsi="宋体" w:cs="宋体" w:hint="eastAsia"/>
                <w:color w:val="000000"/>
                <w:kern w:val="0"/>
                <w:sz w:val="24"/>
              </w:rPr>
              <w:t>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799"/>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F3284" w:rsidRDefault="009250C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1069"/>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1069"/>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7165"/>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2606"/>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9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8055"/>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400"/>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w:t>
            </w:r>
            <w:r>
              <w:rPr>
                <w:rFonts w:ascii="宋体" w:eastAsia="宋体" w:hAnsi="宋体" w:cs="宋体" w:hint="eastAsia"/>
                <w:color w:val="000000"/>
                <w:kern w:val="0"/>
                <w:sz w:val="24"/>
              </w:rPr>
              <w:t>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70"/>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800"/>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纳税人未按照《中华人民共和国土地增值税暂行条例》缴纳土地增值税的，自然资源管理部门不得办理有关的权属变更手续。</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w:t>
            </w:r>
            <w:r>
              <w:rPr>
                <w:rFonts w:ascii="宋体" w:eastAsia="宋体" w:hAnsi="宋体" w:cs="宋体" w:hint="eastAsia"/>
                <w:color w:val="000000"/>
                <w:kern w:val="0"/>
                <w:sz w:val="24"/>
              </w:rPr>
              <w:t>行行政职责的情形。</w:t>
            </w:r>
          </w:p>
        </w:tc>
      </w:tr>
      <w:tr w:rsidR="00EF3284">
        <w:trPr>
          <w:trHeight w:val="3900"/>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w:t>
            </w:r>
            <w:r>
              <w:rPr>
                <w:rFonts w:ascii="宋体" w:eastAsia="宋体" w:hAnsi="宋体" w:cs="宋体" w:hint="eastAsia"/>
                <w:color w:val="000000"/>
                <w:kern w:val="0"/>
                <w:sz w:val="24"/>
              </w:rPr>
              <w:t>“双随机、一公开”税务稽查，加强公正监管，促进共管共治。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613"/>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2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w:t>
            </w:r>
            <w:r>
              <w:rPr>
                <w:rFonts w:ascii="宋体" w:eastAsia="宋体" w:hAnsi="宋体" w:cs="宋体" w:hint="eastAsia"/>
                <w:color w:val="000000"/>
                <w:kern w:val="0"/>
                <w:sz w:val="24"/>
              </w:rPr>
              <w:t>、责成提供纳税担保、实施税收保全措施或者强制执行措施等方式追征，依法加收滞纳金。纳税人、纳税担保人存在税收违法行为的，税务机关依法给予行政处罚；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1534"/>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8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883"/>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749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883"/>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63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33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5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4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EF3284" w:rsidRDefault="009250C7">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7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45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6931"/>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024"/>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7009"/>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733"/>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EF3284">
        <w:trPr>
          <w:trHeight w:val="786"/>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8175"/>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3300"/>
        </w:trPr>
        <w:tc>
          <w:tcPr>
            <w:tcW w:w="861" w:type="dxa"/>
            <w:vMerge w:val="restart"/>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2100"/>
        </w:trPr>
        <w:tc>
          <w:tcPr>
            <w:tcW w:w="861" w:type="dxa"/>
            <w:vMerge/>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1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F3284" w:rsidRDefault="00EF328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2100"/>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316"/>
        </w:trPr>
        <w:tc>
          <w:tcPr>
            <w:tcW w:w="861"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EF3284" w:rsidRDefault="00EF3284">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EF3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EF3284" w:rsidRDefault="00EF3284">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EF3284" w:rsidRDefault="009250C7">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EF3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EF3284" w:rsidRDefault="00EF3284">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EF3284" w:rsidRDefault="00EF3284">
            <w:pPr>
              <w:jc w:val="left"/>
              <w:rPr>
                <w:rFonts w:ascii="宋体" w:hAnsi="宋体" w:cs="宋体"/>
                <w:color w:val="000000"/>
                <w:sz w:val="24"/>
              </w:rPr>
            </w:pPr>
          </w:p>
        </w:tc>
      </w:tr>
      <w:tr w:rsidR="00EF3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EF3284" w:rsidRDefault="00EF3284">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EF3284" w:rsidRDefault="009250C7">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EF3284" w:rsidRDefault="009250C7">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EF3284" w:rsidRDefault="009250C7">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2400"/>
        </w:trPr>
        <w:tc>
          <w:tcPr>
            <w:tcW w:w="861" w:type="dxa"/>
            <w:vMerge w:val="restart"/>
            <w:tcMar>
              <w:top w:w="10" w:type="dxa"/>
              <w:left w:w="10" w:type="dxa"/>
              <w:right w:w="10" w:type="dxa"/>
            </w:tcMar>
            <w:vAlign w:val="center"/>
          </w:tcPr>
          <w:p w:rsidR="00EF3284" w:rsidRDefault="009250C7">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EF3284" w:rsidRDefault="00EF3284">
            <w:pPr>
              <w:widowControl/>
              <w:jc w:val="left"/>
              <w:textAlignment w:val="center"/>
              <w:rPr>
                <w:rFonts w:ascii="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2937"/>
        </w:trPr>
        <w:tc>
          <w:tcPr>
            <w:tcW w:w="861" w:type="dxa"/>
            <w:vMerge/>
            <w:tcMar>
              <w:top w:w="10" w:type="dxa"/>
              <w:left w:w="10" w:type="dxa"/>
              <w:right w:w="10" w:type="dxa"/>
            </w:tcMar>
            <w:vAlign w:val="center"/>
          </w:tcPr>
          <w:p w:rsidR="00EF3284" w:rsidRDefault="00EF3284">
            <w:pPr>
              <w:jc w:val="center"/>
              <w:rPr>
                <w:rFonts w:ascii="宋体" w:hAnsi="宋体" w:cs="宋体"/>
                <w:color w:val="000000"/>
                <w:sz w:val="24"/>
              </w:rPr>
            </w:pPr>
          </w:p>
        </w:tc>
        <w:tc>
          <w:tcPr>
            <w:tcW w:w="1134" w:type="dxa"/>
            <w:vMerge/>
            <w:tcMar>
              <w:top w:w="10" w:type="dxa"/>
              <w:left w:w="10" w:type="dxa"/>
              <w:right w:w="10" w:type="dxa"/>
            </w:tcMar>
            <w:vAlign w:val="center"/>
          </w:tcPr>
          <w:p w:rsidR="00EF3284" w:rsidRDefault="00EF3284">
            <w:pPr>
              <w:jc w:val="left"/>
              <w:rPr>
                <w:rFonts w:ascii="宋体" w:hAnsi="宋体" w:cs="宋体"/>
                <w:color w:val="000000"/>
                <w:sz w:val="24"/>
              </w:rPr>
            </w:pP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EF3284" w:rsidRDefault="009250C7">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2048"/>
        </w:trPr>
        <w:tc>
          <w:tcPr>
            <w:tcW w:w="861" w:type="dxa"/>
            <w:vMerge w:val="restart"/>
            <w:tcMar>
              <w:top w:w="10" w:type="dxa"/>
              <w:left w:w="10" w:type="dxa"/>
              <w:right w:w="10" w:type="dxa"/>
            </w:tcMar>
            <w:vAlign w:val="center"/>
          </w:tcPr>
          <w:p w:rsidR="00EF3284" w:rsidRDefault="009250C7">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EF3284" w:rsidRDefault="009250C7">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EF3284">
        <w:trPr>
          <w:trHeight w:val="2100"/>
        </w:trPr>
        <w:tc>
          <w:tcPr>
            <w:tcW w:w="861" w:type="dxa"/>
            <w:vMerge/>
            <w:tcMar>
              <w:top w:w="10" w:type="dxa"/>
              <w:left w:w="10" w:type="dxa"/>
              <w:right w:w="10" w:type="dxa"/>
            </w:tcMar>
            <w:vAlign w:val="center"/>
          </w:tcPr>
          <w:p w:rsidR="00EF3284" w:rsidRDefault="00EF3284">
            <w:pPr>
              <w:jc w:val="center"/>
              <w:rPr>
                <w:rFonts w:ascii="宋体" w:hAnsi="宋体" w:cs="宋体"/>
                <w:color w:val="000000"/>
                <w:sz w:val="24"/>
              </w:rPr>
            </w:pPr>
          </w:p>
        </w:tc>
        <w:tc>
          <w:tcPr>
            <w:tcW w:w="1134" w:type="dxa"/>
            <w:vMerge/>
            <w:tcMar>
              <w:top w:w="10" w:type="dxa"/>
              <w:left w:w="10" w:type="dxa"/>
              <w:right w:w="10" w:type="dxa"/>
            </w:tcMar>
            <w:vAlign w:val="center"/>
          </w:tcPr>
          <w:p w:rsidR="00EF3284" w:rsidRDefault="00EF3284">
            <w:pPr>
              <w:jc w:val="left"/>
              <w:rPr>
                <w:rFonts w:ascii="宋体" w:hAnsi="宋体" w:cs="宋体"/>
                <w:color w:val="000000"/>
                <w:sz w:val="24"/>
              </w:rPr>
            </w:pP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772"/>
        </w:trPr>
        <w:tc>
          <w:tcPr>
            <w:tcW w:w="861" w:type="dxa"/>
            <w:tcMar>
              <w:top w:w="10" w:type="dxa"/>
              <w:left w:w="10" w:type="dxa"/>
              <w:right w:w="10" w:type="dxa"/>
            </w:tcMar>
            <w:vAlign w:val="center"/>
          </w:tcPr>
          <w:p w:rsidR="00EF3284" w:rsidRDefault="009250C7">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EF3284" w:rsidRDefault="009250C7">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EF3284" w:rsidRDefault="00EF3284">
            <w:pPr>
              <w:widowControl/>
              <w:jc w:val="left"/>
              <w:textAlignment w:val="center"/>
              <w:rPr>
                <w:rFonts w:ascii="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EF3284" w:rsidRDefault="00EF3284">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EF3284">
        <w:trPr>
          <w:trHeight w:val="3437"/>
        </w:trPr>
        <w:tc>
          <w:tcPr>
            <w:tcW w:w="861" w:type="dxa"/>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EF3284" w:rsidRDefault="009250C7">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EF3284" w:rsidRDefault="00EF3284">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EF3284" w:rsidRDefault="009250C7">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387"/>
        </w:trPr>
        <w:tc>
          <w:tcPr>
            <w:tcW w:w="861" w:type="dxa"/>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EF3284" w:rsidRDefault="009250C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819"/>
        </w:trPr>
        <w:tc>
          <w:tcPr>
            <w:tcW w:w="861" w:type="dxa"/>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EF3284" w:rsidRDefault="009250C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EF3284" w:rsidRDefault="00EF328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EF3284" w:rsidRDefault="009250C7">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EF3284" w:rsidRDefault="00EF3284">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EF3284" w:rsidRDefault="00EF328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EF3284" w:rsidRDefault="00EF3284">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EF3284" w:rsidRDefault="00EF328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EF3284" w:rsidRDefault="00EF3284">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EF3284" w:rsidRDefault="009250C7">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EF328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EF3284" w:rsidRDefault="009250C7">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EF3284" w:rsidRDefault="009250C7">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EF3284" w:rsidRDefault="00EF3284">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EF3284" w:rsidRDefault="009250C7">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EF3284" w:rsidRDefault="009250C7">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EF3284" w:rsidRDefault="009250C7">
      <w:r>
        <w:br w:type="page"/>
      </w: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EF3284">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EF3284" w:rsidRDefault="00EF3284">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EF3284">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EF3284">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EF3284" w:rsidRDefault="009250C7">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EF3284" w:rsidRDefault="009250C7">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bl>
    <w:p w:rsidR="00EF3284" w:rsidRDefault="009250C7">
      <w:pPr>
        <w:rPr>
          <w:rFonts w:ascii="楷体" w:eastAsia="楷体" w:hAnsi="楷体" w:cs="楷体"/>
          <w:b/>
          <w:bCs/>
          <w:sz w:val="32"/>
          <w:szCs w:val="32"/>
        </w:rPr>
      </w:pPr>
      <w:r>
        <w:rPr>
          <w:rFonts w:ascii="楷体" w:eastAsia="楷体" w:hAnsi="楷体" w:cs="楷体" w:hint="eastAsia"/>
          <w:b/>
          <w:bCs/>
          <w:sz w:val="32"/>
          <w:szCs w:val="32"/>
        </w:rPr>
        <w:br w:type="page"/>
      </w:r>
    </w:p>
    <w:p w:rsidR="00EF3284" w:rsidRDefault="00EF3284">
      <w:pPr>
        <w:jc w:val="center"/>
        <w:rPr>
          <w:rFonts w:ascii="楷体_GB2312" w:eastAsia="楷体_GB2312" w:hAnsi="楷体" w:cs="楷体"/>
          <w:b/>
          <w:bCs/>
          <w:sz w:val="32"/>
          <w:szCs w:val="32"/>
        </w:rPr>
      </w:pP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EF3284">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jc w:val="center"/>
              <w:rPr>
                <w:rFonts w:ascii="宋体" w:eastAsia="宋体" w:hAnsi="宋体" w:cs="宋体"/>
                <w:color w:val="000000"/>
                <w:sz w:val="24"/>
              </w:rPr>
            </w:pPr>
            <w:r>
              <w:rPr>
                <w:rFonts w:ascii="宋体" w:eastAsia="宋体" w:hAnsi="宋体" w:cs="宋体" w:hint="eastAsia"/>
                <w:color w:val="000000"/>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kern w:val="0"/>
                <w:sz w:val="24"/>
              </w:rPr>
            </w:pPr>
          </w:p>
        </w:tc>
      </w:tr>
      <w:tr w:rsidR="00EF3284">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EF3284" w:rsidRDefault="009250C7">
      <w:pPr>
        <w:jc w:val="left"/>
        <w:rPr>
          <w:rFonts w:ascii="宋体" w:eastAsia="宋体" w:hAnsi="宋体" w:cs="宋体"/>
          <w:color w:val="000000"/>
          <w:sz w:val="24"/>
        </w:rPr>
      </w:pPr>
      <w:r>
        <w:rPr>
          <w:rFonts w:ascii="宋体" w:eastAsia="宋体" w:hAnsi="宋体" w:cs="宋体" w:hint="eastAsia"/>
          <w:color w:val="000000"/>
          <w:sz w:val="24"/>
        </w:rPr>
        <w:br w:type="page"/>
      </w: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EF3284">
        <w:trPr>
          <w:trHeight w:val="600"/>
          <w:tblHeader/>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81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EF3284" w:rsidRDefault="009250C7">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r w:rsidR="00EF3284">
        <w:trPr>
          <w:trHeight w:val="6900"/>
        </w:trPr>
        <w:tc>
          <w:tcPr>
            <w:tcW w:w="762" w:type="dxa"/>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EF3284" w:rsidRDefault="009250C7">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bl>
    <w:p w:rsidR="00EF3284" w:rsidRDefault="009250C7">
      <w:pPr>
        <w:rPr>
          <w:rFonts w:ascii="楷体" w:eastAsia="楷体" w:hAnsi="楷体" w:cs="楷体"/>
          <w:b/>
          <w:bCs/>
          <w:sz w:val="32"/>
          <w:szCs w:val="32"/>
        </w:rPr>
      </w:pPr>
      <w:r>
        <w:rPr>
          <w:rFonts w:ascii="楷体" w:eastAsia="楷体" w:hAnsi="楷体" w:cs="楷体"/>
          <w:b/>
          <w:bCs/>
          <w:sz w:val="32"/>
          <w:szCs w:val="32"/>
        </w:rPr>
        <w:br w:type="page"/>
      </w: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EF3284">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EF3284" w:rsidRDefault="00EF328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EF3284">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EF3284" w:rsidRDefault="00EF328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EF3284">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EF3284" w:rsidRDefault="00EF328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EF3284" w:rsidRDefault="009250C7">
      <w:pPr>
        <w:rPr>
          <w:rFonts w:ascii="楷体" w:eastAsia="楷体" w:hAnsi="楷体" w:cs="楷体"/>
          <w:b/>
          <w:bCs/>
          <w:sz w:val="32"/>
          <w:szCs w:val="32"/>
        </w:rPr>
      </w:pPr>
      <w:r>
        <w:rPr>
          <w:rFonts w:ascii="楷体" w:eastAsia="楷体" w:hAnsi="楷体" w:cs="楷体"/>
          <w:b/>
          <w:bCs/>
          <w:sz w:val="32"/>
          <w:szCs w:val="32"/>
        </w:rPr>
        <w:br w:type="page"/>
      </w: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EF3284">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EF3284" w:rsidRDefault="00EF3284">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eastAsia="宋体" w:hAnsi="宋体" w:cs="宋体"/>
                <w:color w:val="000000"/>
                <w:sz w:val="24"/>
              </w:rPr>
            </w:pPr>
          </w:p>
        </w:tc>
      </w:tr>
    </w:tbl>
    <w:p w:rsidR="00EF3284" w:rsidRDefault="009250C7">
      <w:pPr>
        <w:rPr>
          <w:rFonts w:ascii="楷体" w:eastAsia="楷体" w:hAnsi="楷体" w:cs="楷体"/>
          <w:b/>
          <w:bCs/>
          <w:sz w:val="32"/>
          <w:szCs w:val="32"/>
        </w:rPr>
      </w:pPr>
      <w:r>
        <w:rPr>
          <w:rFonts w:ascii="楷体" w:eastAsia="楷体" w:hAnsi="楷体" w:cs="楷体"/>
          <w:b/>
          <w:bCs/>
          <w:sz w:val="32"/>
          <w:szCs w:val="32"/>
        </w:rPr>
        <w:br w:type="page"/>
      </w:r>
    </w:p>
    <w:p w:rsidR="00EF3284" w:rsidRDefault="00EF3284">
      <w:pPr>
        <w:jc w:val="center"/>
        <w:rPr>
          <w:rFonts w:ascii="楷体_GB2312" w:eastAsia="楷体_GB2312" w:hAnsi="楷体" w:cs="楷体"/>
          <w:b/>
          <w:bCs/>
          <w:sz w:val="32"/>
          <w:szCs w:val="32"/>
        </w:rPr>
      </w:pP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EF3284">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jc w:val="left"/>
              <w:rPr>
                <w:rFonts w:ascii="宋体" w:eastAsia="宋体" w:hAnsi="宋体" w:cs="宋体"/>
                <w:color w:val="000000"/>
                <w:sz w:val="24"/>
              </w:rPr>
            </w:pPr>
          </w:p>
        </w:tc>
      </w:tr>
    </w:tbl>
    <w:p w:rsidR="00EF3284" w:rsidRDefault="009250C7">
      <w:pPr>
        <w:rPr>
          <w:rFonts w:ascii="楷体" w:eastAsia="楷体" w:hAnsi="楷体" w:cs="楷体"/>
          <w:b/>
          <w:bCs/>
          <w:sz w:val="32"/>
          <w:szCs w:val="32"/>
        </w:rPr>
      </w:pPr>
      <w:r>
        <w:rPr>
          <w:rFonts w:ascii="楷体" w:eastAsia="楷体" w:hAnsi="楷体" w:cs="楷体"/>
          <w:b/>
          <w:bCs/>
          <w:sz w:val="32"/>
          <w:szCs w:val="32"/>
        </w:rPr>
        <w:br w:type="page"/>
      </w:r>
    </w:p>
    <w:p w:rsidR="00EF3284" w:rsidRDefault="009250C7">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EF3284">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EF3284">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EF3284" w:rsidRDefault="009250C7">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EF3284">
            <w:pPr>
              <w:widowControl/>
              <w:jc w:val="center"/>
              <w:textAlignment w:val="center"/>
              <w:rPr>
                <w:rFonts w:ascii="宋体" w:eastAsia="宋体" w:hAnsi="宋体" w:cs="宋体"/>
                <w:color w:val="000000"/>
                <w:kern w:val="0"/>
                <w:sz w:val="24"/>
              </w:rPr>
            </w:pPr>
          </w:p>
          <w:p w:rsidR="00EF3284" w:rsidRDefault="009250C7">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EF3284" w:rsidRDefault="00EF328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widowControl/>
              <w:jc w:val="left"/>
              <w:textAlignment w:val="center"/>
              <w:rPr>
                <w:rFonts w:ascii="宋体" w:eastAsia="宋体" w:hAnsi="宋体" w:cs="宋体"/>
                <w:color w:val="000000"/>
                <w:kern w:val="0"/>
                <w:sz w:val="24"/>
              </w:rPr>
            </w:pP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EF3284" w:rsidRDefault="00EF328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EF328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EF3284">
            <w:pPr>
              <w:widowControl/>
              <w:jc w:val="left"/>
              <w:textAlignment w:val="center"/>
              <w:rPr>
                <w:rFonts w:ascii="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EF3284" w:rsidRDefault="00EF328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EF3284">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9250C7">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F3284" w:rsidRDefault="00EF3284">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F3284" w:rsidRDefault="009250C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EF3284" w:rsidRDefault="00EF3284">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F3284" w:rsidRDefault="00EF3284">
            <w:pPr>
              <w:widowControl/>
              <w:jc w:val="left"/>
              <w:textAlignment w:val="center"/>
              <w:rPr>
                <w:rFonts w:ascii="宋体" w:hAnsi="宋体" w:cs="宋体"/>
                <w:color w:val="000000"/>
                <w:kern w:val="0"/>
                <w:sz w:val="24"/>
              </w:rPr>
            </w:pP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EF3284" w:rsidRDefault="009250C7">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EF3284" w:rsidRDefault="00EF3284">
            <w:pPr>
              <w:widowControl/>
              <w:jc w:val="left"/>
              <w:textAlignment w:val="center"/>
              <w:rPr>
                <w:rFonts w:ascii="宋体" w:hAnsi="宋体" w:cs="宋体"/>
                <w:color w:val="000000"/>
                <w:sz w:val="24"/>
              </w:rPr>
            </w:pPr>
          </w:p>
        </w:tc>
      </w:tr>
    </w:tbl>
    <w:p w:rsidR="00EF3284" w:rsidRDefault="00EF3284">
      <w:pPr>
        <w:rPr>
          <w:rFonts w:ascii="宋体" w:hAnsi="宋体" w:cs="宋体"/>
          <w:sz w:val="44"/>
          <w:szCs w:val="44"/>
        </w:rPr>
      </w:pPr>
    </w:p>
    <w:p w:rsidR="00EF3284" w:rsidRDefault="009250C7">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EF3284" w:rsidRDefault="00EF3284">
      <w:pPr>
        <w:spacing w:line="360" w:lineRule="auto"/>
        <w:jc w:val="center"/>
        <w:rPr>
          <w:rFonts w:ascii="黑体" w:eastAsia="黑体" w:hAnsi="黑体" w:cs="宋体"/>
          <w:sz w:val="36"/>
          <w:szCs w:val="32"/>
        </w:rPr>
      </w:pP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w:t>
      </w:r>
      <w:r>
        <w:rPr>
          <w:rFonts w:ascii="仿宋_GB2312" w:eastAsia="仿宋_GB2312" w:hAnsi="宋体" w:cs="宋体" w:hint="eastAsia"/>
          <w:sz w:val="32"/>
          <w:szCs w:val="32"/>
        </w:rPr>
        <w:t>第一</w:t>
      </w:r>
      <w:r>
        <w:rPr>
          <w:rFonts w:ascii="仿宋_GB2312" w:eastAsia="仿宋_GB2312" w:hAnsi="宋体" w:cs="宋体" w:hint="eastAsia"/>
          <w:sz w:val="32"/>
          <w:szCs w:val="32"/>
        </w:rPr>
        <w:t>税务分局应当承担的主要职责，未列入权责事项表的，国家税务总局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w:t>
      </w:r>
      <w:r>
        <w:rPr>
          <w:rFonts w:ascii="仿宋_GB2312" w:eastAsia="仿宋_GB2312" w:hAnsi="宋体" w:cs="宋体" w:hint="eastAsia"/>
          <w:sz w:val="32"/>
          <w:szCs w:val="32"/>
        </w:rPr>
        <w:t>第一</w:t>
      </w:r>
      <w:r>
        <w:rPr>
          <w:rFonts w:ascii="仿宋_GB2312" w:eastAsia="仿宋_GB2312" w:hAnsi="宋体" w:cs="宋体" w:hint="eastAsia"/>
          <w:sz w:val="32"/>
          <w:szCs w:val="32"/>
        </w:rPr>
        <w:t>税务分局应根据法律法规、税务部门规章、“三定”规定和党中央、国务院有关部署，全面正确履行相关职责。</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w:t>
      </w:r>
      <w:r>
        <w:rPr>
          <w:rFonts w:ascii="仿宋_GB2312" w:eastAsia="仿宋_GB2312" w:hAnsi="宋体" w:cs="宋体" w:hint="eastAsia"/>
          <w:sz w:val="32"/>
          <w:szCs w:val="32"/>
        </w:rPr>
        <w:t>第一</w:t>
      </w:r>
      <w:r>
        <w:rPr>
          <w:rFonts w:ascii="仿宋_GB2312" w:eastAsia="仿宋_GB2312" w:hAnsi="宋体" w:cs="宋体" w:hint="eastAsia"/>
          <w:sz w:val="32"/>
          <w:szCs w:val="32"/>
        </w:rPr>
        <w:t>税务分局要以方便行政相对人为导向，落实透明、高效、便民的原则，编制并公布行政权力运行流程图和服务指南或工作规范，切实减少工作环节，规范自由裁量权，提高行政权力运行的科学化、规范化水平。</w:t>
      </w: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w:t>
      </w:r>
      <w:r>
        <w:rPr>
          <w:rFonts w:ascii="仿宋_GB2312" w:eastAsia="仿宋_GB2312" w:hAnsi="宋体" w:cs="宋体" w:hint="eastAsia"/>
          <w:sz w:val="32"/>
          <w:szCs w:val="32"/>
        </w:rPr>
        <w:t>第一</w:t>
      </w:r>
      <w:r>
        <w:rPr>
          <w:rFonts w:ascii="仿宋_GB2312" w:eastAsia="仿宋_GB2312" w:hAnsi="宋体" w:cs="宋体" w:hint="eastAsia"/>
          <w:sz w:val="32"/>
          <w:szCs w:val="32"/>
        </w:rPr>
        <w:t>税务分局按规定程序相应调整更新权责清单。</w:t>
      </w:r>
    </w:p>
    <w:p w:rsidR="00EF3284" w:rsidRDefault="00EF3284">
      <w:pPr>
        <w:spacing w:line="360" w:lineRule="auto"/>
        <w:ind w:firstLineChars="200" w:firstLine="640"/>
        <w:rPr>
          <w:rFonts w:ascii="仿宋_GB2312" w:eastAsia="仿宋_GB2312" w:hAnsi="宋体" w:cs="宋体"/>
          <w:sz w:val="32"/>
          <w:szCs w:val="32"/>
        </w:rPr>
      </w:pPr>
    </w:p>
    <w:p w:rsidR="00EF3284" w:rsidRDefault="009250C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罗山县</w:t>
      </w:r>
      <w:r>
        <w:rPr>
          <w:rFonts w:ascii="仿宋_GB2312" w:eastAsia="仿宋_GB2312" w:hAnsi="宋体" w:cs="宋体" w:hint="eastAsia"/>
          <w:sz w:val="32"/>
          <w:szCs w:val="32"/>
        </w:rPr>
        <w:t>税务局</w:t>
      </w:r>
      <w:r>
        <w:rPr>
          <w:rFonts w:ascii="仿宋_GB2312" w:eastAsia="仿宋_GB2312" w:hAnsi="宋体" w:cs="宋体" w:hint="eastAsia"/>
          <w:sz w:val="32"/>
          <w:szCs w:val="32"/>
        </w:rPr>
        <w:t>第一</w:t>
      </w:r>
      <w:r>
        <w:rPr>
          <w:rFonts w:ascii="仿宋_GB2312" w:eastAsia="仿宋_GB2312" w:hAnsi="宋体" w:cs="宋体" w:hint="eastAsia"/>
          <w:sz w:val="32"/>
          <w:szCs w:val="32"/>
        </w:rPr>
        <w:t>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0376-</w:t>
      </w:r>
      <w:r>
        <w:rPr>
          <w:rFonts w:ascii="仿宋_GB2312" w:eastAsia="仿宋_GB2312" w:hAnsi="宋体" w:cs="宋体" w:hint="eastAsia"/>
          <w:sz w:val="32"/>
          <w:szCs w:val="32"/>
        </w:rPr>
        <w:t>2203061</w:t>
      </w:r>
      <w:r>
        <w:rPr>
          <w:rFonts w:ascii="仿宋_GB2312" w:eastAsia="仿宋_GB2312" w:hAnsi="宋体" w:cs="宋体" w:hint="eastAsia"/>
          <w:sz w:val="32"/>
          <w:szCs w:val="32"/>
        </w:rPr>
        <w:t>）</w:t>
      </w:r>
    </w:p>
    <w:sectPr w:rsidR="00EF3284">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0C7" w:rsidRDefault="009250C7">
      <w:r>
        <w:separator/>
      </w:r>
    </w:p>
  </w:endnote>
  <w:endnote w:type="continuationSeparator" w:id="0">
    <w:p w:rsidR="009250C7" w:rsidRDefault="0092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EF3284" w:rsidRDefault="009250C7">
        <w:pPr>
          <w:pStyle w:val="a4"/>
          <w:jc w:val="center"/>
        </w:pPr>
        <w:r>
          <w:fldChar w:fldCharType="begin"/>
        </w:r>
        <w:r>
          <w:instrText>PAGE   \* MERGEFORMAT</w:instrText>
        </w:r>
        <w:r>
          <w:fldChar w:fldCharType="separate"/>
        </w:r>
        <w:r w:rsidR="00EA1076" w:rsidRPr="00EA1076">
          <w:rPr>
            <w:noProof/>
            <w:lang w:val="zh-CN"/>
          </w:rPr>
          <w:t>1</w:t>
        </w:r>
        <w:r>
          <w:rPr>
            <w:lang w:val="zh-CN"/>
          </w:rPr>
          <w:fldChar w:fldCharType="end"/>
        </w:r>
      </w:p>
    </w:sdtContent>
  </w:sdt>
  <w:p w:rsidR="00EF3284" w:rsidRDefault="00EF32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0C7" w:rsidRDefault="009250C7">
      <w:r>
        <w:separator/>
      </w:r>
    </w:p>
  </w:footnote>
  <w:footnote w:type="continuationSeparator" w:id="0">
    <w:p w:rsidR="009250C7" w:rsidRDefault="00925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250C7"/>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1076"/>
    <w:rsid w:val="00EA359A"/>
    <w:rsid w:val="00EA485D"/>
    <w:rsid w:val="00EB6DE5"/>
    <w:rsid w:val="00EC3369"/>
    <w:rsid w:val="00ED2299"/>
    <w:rsid w:val="00EE343E"/>
    <w:rsid w:val="00EF1043"/>
    <w:rsid w:val="00EF3284"/>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3147CA2"/>
    <w:rsid w:val="1BFC3271"/>
    <w:rsid w:val="296E30C7"/>
    <w:rsid w:val="2C157621"/>
    <w:rsid w:val="2E1E3CEC"/>
    <w:rsid w:val="338F7B2B"/>
    <w:rsid w:val="36932AA8"/>
    <w:rsid w:val="384513C3"/>
    <w:rsid w:val="3CB725F3"/>
    <w:rsid w:val="4C986D6D"/>
    <w:rsid w:val="508E38C8"/>
    <w:rsid w:val="5DD53C08"/>
    <w:rsid w:val="64AA51EE"/>
    <w:rsid w:val="66CB7428"/>
    <w:rsid w:val="6A686C5F"/>
    <w:rsid w:val="6C156BCF"/>
    <w:rsid w:val="76290FB1"/>
    <w:rsid w:val="776C7B7C"/>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rPr>
      <w:rFonts w:ascii="宋体" w:eastAsia="宋体" w:hAnsi="宋体" w:cs="宋体" w:hint="eastAsia"/>
      <w:color w:val="000000"/>
      <w:sz w:val="24"/>
      <w:szCs w:val="24"/>
      <w:u w:val="none"/>
    </w:rPr>
  </w:style>
  <w:style w:type="character" w:customStyle="1" w:styleId="Char2">
    <w:name w:val="批注框文本 Char"/>
    <w:rPr>
      <w:rFonts w:ascii="Calibri" w:hAnsi="Calibri"/>
      <w:kern w:val="2"/>
      <w:sz w:val="18"/>
      <w:szCs w:val="18"/>
    </w:rPr>
  </w:style>
  <w:style w:type="character" w:customStyle="1" w:styleId="Char1">
    <w:name w:val="批注框文本 Char1"/>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10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17362</Words>
  <Characters>98968</Characters>
  <Application>Microsoft Office Word</Application>
  <DocSecurity>0</DocSecurity>
  <Lines>824</Lines>
  <Paragraphs>232</Paragraphs>
  <ScaleCrop>false</ScaleCrop>
  <Company>Microsoft</Company>
  <LinksUpToDate>false</LinksUpToDate>
  <CharactersWithSpaces>116098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