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Style w:val="7"/>
          <w:rFonts w:hint="eastAsia" w:ascii="仿宋" w:hAnsi="仿宋" w:eastAsia="仿宋" w:cs="仿宋"/>
          <w:color w:val="666666"/>
          <w:kern w:val="0"/>
          <w:sz w:val="32"/>
          <w:szCs w:val="32"/>
          <w:shd w:val="clear" w:color="auto" w:fill="FFFFFF"/>
          <w:lang w:eastAsia="zh-CN"/>
        </w:rPr>
      </w:pPr>
      <w:r>
        <w:rPr>
          <w:rStyle w:val="7"/>
          <w:rFonts w:hint="eastAsia" w:ascii="仿宋" w:hAnsi="仿宋" w:eastAsia="仿宋" w:cs="仿宋"/>
          <w:color w:val="666666"/>
          <w:kern w:val="0"/>
          <w:sz w:val="32"/>
          <w:szCs w:val="32"/>
          <w:shd w:val="clear" w:color="auto" w:fill="FFFFFF"/>
        </w:rPr>
        <w:t>2021年</w:t>
      </w:r>
      <w:r>
        <w:rPr>
          <w:rStyle w:val="7"/>
          <w:rFonts w:hint="eastAsia" w:ascii="仿宋" w:hAnsi="仿宋" w:eastAsia="仿宋" w:cs="仿宋"/>
          <w:color w:val="666666"/>
          <w:kern w:val="0"/>
          <w:sz w:val="32"/>
          <w:szCs w:val="32"/>
          <w:shd w:val="clear" w:color="auto" w:fill="FFFFFF"/>
          <w:lang w:eastAsia="zh-CN"/>
        </w:rPr>
        <w:t>罗山县委统战部</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部门预算公开</w:t>
      </w:r>
    </w:p>
    <w:p>
      <w:pPr>
        <w:widowControl/>
        <w:shd w:val="clear" w:color="auto" w:fill="FFFFFF"/>
        <w:spacing w:before="300" w:line="420" w:lineRule="atLeast"/>
        <w:rPr>
          <w:rFonts w:hint="eastAsia" w:ascii="仿宋" w:hAnsi="仿宋" w:eastAsia="仿宋" w:cs="仿宋"/>
          <w:color w:val="666666"/>
          <w:sz w:val="32"/>
          <w:szCs w:val="32"/>
        </w:rPr>
      </w:pPr>
      <w:r>
        <w:rPr>
          <w:rFonts w:hint="eastAsia" w:ascii="仿宋" w:hAnsi="仿宋" w:eastAsia="仿宋" w:cs="仿宋"/>
          <w:color w:val="666666"/>
          <w:kern w:val="0"/>
          <w:sz w:val="32"/>
          <w:szCs w:val="32"/>
          <w:shd w:val="clear" w:color="auto" w:fill="FFFFFF"/>
        </w:rPr>
        <w:t> </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目 录</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第一部分 </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概况 </w:t>
      </w:r>
    </w:p>
    <w:p>
      <w:pPr>
        <w:widowControl/>
        <w:shd w:val="clear" w:color="auto" w:fill="FFFFFF"/>
        <w:spacing w:line="420" w:lineRule="atLeast"/>
        <w:jc w:val="center"/>
        <w:rPr>
          <w:rFonts w:hint="eastAsia" w:ascii="仿宋" w:hAnsi="仿宋" w:eastAsia="仿宋" w:cs="仿宋"/>
          <w:color w:val="666666"/>
          <w:sz w:val="32"/>
          <w:szCs w:val="32"/>
        </w:rPr>
      </w:pPr>
      <w:r>
        <w:rPr>
          <w:rFonts w:hint="eastAsia" w:ascii="仿宋" w:hAnsi="仿宋" w:eastAsia="仿宋" w:cs="仿宋"/>
          <w:color w:val="666666"/>
          <w:kern w:val="0"/>
          <w:sz w:val="32"/>
          <w:szCs w:val="32"/>
          <w:shd w:val="clear" w:color="auto" w:fill="FFFFFF"/>
        </w:rPr>
        <w:t>一、主要职能</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二、机构设置</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三、部门预算单位构成</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第二部分 </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2021年度部门预算情况说明 </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第三部分 名词解释</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附件： </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2021年度部门预算表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一、部门收支总体情况表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二、部门收入总体情况表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三、部门支出总体情况表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四、财政拨款收支总体情况表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五、一般公共预算支出情况表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六、一般公共预算基本支出情况表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七、一般公共预算“三公”经费支出情况表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八、政府性基金预算支出情况表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九、部门（单位）整体绩效目标表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十、部门预算项目绩效目标表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 </w:t>
      </w:r>
    </w:p>
    <w:p>
      <w:pPr>
        <w:widowControl/>
        <w:spacing w:before="300"/>
        <w:jc w:val="left"/>
        <w:rPr>
          <w:rFonts w:hint="eastAsia" w:ascii="仿宋" w:hAnsi="仿宋" w:eastAsia="仿宋" w:cs="仿宋"/>
          <w:sz w:val="32"/>
          <w:szCs w:val="32"/>
        </w:rPr>
      </w:pPr>
      <w:r>
        <w:rPr>
          <w:rFonts w:hint="eastAsia" w:ascii="仿宋" w:hAnsi="仿宋" w:eastAsia="仿宋" w:cs="仿宋"/>
          <w:color w:val="666666"/>
          <w:kern w:val="0"/>
          <w:sz w:val="32"/>
          <w:szCs w:val="32"/>
          <w:shd w:val="clear" w:color="auto" w:fill="FFFFFF"/>
        </w:rPr>
        <w:t> </w:t>
      </w:r>
    </w:p>
    <w:p>
      <w:pPr>
        <w:widowControl/>
        <w:shd w:val="clear" w:color="auto" w:fill="FFFFFF"/>
        <w:spacing w:line="420" w:lineRule="atLeast"/>
        <w:jc w:val="center"/>
        <w:rPr>
          <w:rFonts w:hint="eastAsia" w:ascii="仿宋" w:hAnsi="仿宋" w:eastAsia="仿宋" w:cs="仿宋"/>
          <w:b/>
          <w:bCs w:val="0"/>
          <w:color w:val="666666"/>
          <w:sz w:val="32"/>
          <w:szCs w:val="32"/>
        </w:rPr>
      </w:pPr>
      <w:r>
        <w:rPr>
          <w:rStyle w:val="7"/>
          <w:rFonts w:hint="eastAsia" w:ascii="仿宋" w:hAnsi="仿宋" w:eastAsia="仿宋" w:cs="仿宋"/>
          <w:b/>
          <w:bCs w:val="0"/>
          <w:color w:val="666666"/>
          <w:kern w:val="0"/>
          <w:sz w:val="32"/>
          <w:szCs w:val="32"/>
          <w:shd w:val="clear" w:color="auto" w:fill="FFFFFF"/>
        </w:rPr>
        <w:t>第一部分</w:t>
      </w:r>
      <w:r>
        <w:rPr>
          <w:rStyle w:val="7"/>
          <w:rFonts w:hint="eastAsia" w:ascii="仿宋" w:hAnsi="仿宋" w:eastAsia="仿宋" w:cs="仿宋"/>
          <w:b/>
          <w:bCs w:val="0"/>
          <w:color w:val="666666"/>
          <w:kern w:val="0"/>
          <w:sz w:val="32"/>
          <w:szCs w:val="32"/>
          <w:shd w:val="clear" w:color="auto" w:fill="FFFFFF"/>
        </w:rPr>
        <w:br w:type="textWrapping"/>
      </w:r>
      <w:r>
        <w:rPr>
          <w:rStyle w:val="7"/>
          <w:rFonts w:hint="eastAsia" w:ascii="仿宋" w:hAnsi="仿宋" w:eastAsia="仿宋" w:cs="仿宋"/>
          <w:b/>
          <w:bCs w:val="0"/>
          <w:color w:val="666666"/>
          <w:kern w:val="0"/>
          <w:sz w:val="32"/>
          <w:szCs w:val="32"/>
          <w:shd w:val="clear" w:color="auto" w:fill="FFFFFF"/>
          <w:lang w:eastAsia="zh-CN"/>
        </w:rPr>
        <w:t>罗山县委统战部</w:t>
      </w:r>
      <w:r>
        <w:rPr>
          <w:rStyle w:val="7"/>
          <w:rFonts w:hint="eastAsia" w:ascii="仿宋" w:hAnsi="仿宋" w:eastAsia="仿宋" w:cs="仿宋"/>
          <w:b/>
          <w:bCs w:val="0"/>
          <w:color w:val="666666"/>
          <w:kern w:val="0"/>
          <w:sz w:val="32"/>
          <w:szCs w:val="32"/>
          <w:shd w:val="clear" w:color="auto" w:fill="FFFFFF"/>
        </w:rPr>
        <w:t>概况</w:t>
      </w:r>
    </w:p>
    <w:p>
      <w:pPr>
        <w:widowControl/>
        <w:spacing w:before="300"/>
        <w:jc w:val="left"/>
        <w:rPr>
          <w:rStyle w:val="7"/>
          <w:rFonts w:hint="eastAsia" w:ascii="仿宋" w:hAnsi="仿宋" w:eastAsia="仿宋" w:cs="仿宋"/>
          <w:color w:val="666666"/>
          <w:kern w:val="0"/>
          <w:sz w:val="32"/>
          <w:szCs w:val="32"/>
          <w:shd w:val="clear" w:color="auto" w:fill="FFFFFF"/>
        </w:rPr>
      </w:pPr>
      <w:r>
        <w:rPr>
          <w:rFonts w:hint="eastAsia" w:ascii="仿宋" w:hAnsi="仿宋" w:eastAsia="仿宋" w:cs="仿宋"/>
          <w:color w:val="666666"/>
          <w:kern w:val="0"/>
          <w:sz w:val="32"/>
          <w:szCs w:val="32"/>
          <w:shd w:val="clear" w:color="auto" w:fill="FFFFFF"/>
        </w:rPr>
        <w:t> </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一、</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主要职责</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一）贯彻落实党对统一战线工作集中统一领导的要求，是县委统战工作的参谋机构、组织协调机构、具体执行机构、督促检查机构。贯彻落实党中央、省委、市委和县委关于统一战线工作的决策部署，了解情况、掌握政策、协调关系、安排人事、增进共识、加强团结，协调统一战线各方面关系，巩固壮大最广泛的统一战线。</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（二）研究拟订全县统一战线工作的政策和规范性文件并推动落实。深入调查研究，及时向县委报告统一战线情况并提出意见建议。统筹协调和指导全县各部门各单位统一战线工作。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（三）贯彻落实党的宣传工作方针，统筹推动全县统一战线宣传工作，拟订全县统一战线宣传工作政策和规划并组织实施，研判涉及统一战线的舆情并协调有关部门应对处置。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四）负责发现、培养党外代表人士，负责党外人士的政治安排，会同有关部门做好安排党外人士担任政府和司法机关等领导职务的工作，协助县工商联、县侨联做好干部管理工作，反映和协调解决党外代表人士工作生活中的实际困难。</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五）贯彻落实民族宗教工作方针政策。研究拟订民族宗教工作的政策和重大措施。协调处理民族宗教工作中的重大问题，依法管理民族宗教事务，根据分工联系少数民族和宗教界代表人士，做好少数民族干部工作。引导各宗教坚持中国化方向，巩固和发展同宗教界的爱国统一战线。</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六）参与拟定、推动落实全县鼓励支持引导非公有制经济发展政策，调查研究非公有制经济人士情况并提出政策建议，了解和反映非公有制经济人士的意见，团结、服务、引导、教育非公有制经济人士，促进非公有制经济健康发展和非公有制经济人士健康成长。</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七）承担对台工作职责，开展对台统战工作。贯彻执行党中央、国务院对台方针政策和省委、市委、县委对台工作部署，研究拟订全县对台工作计划和实施意见。组织、指导、管理、协调全县对台工作，会同有关部门统筹协调和指导全县对台经贸、科技、文化、教育、体育、新闻等领域的交流合作。负责处理我县涉台重大事件，指导县工商联和其他社会团体有关重点人士、重点活动等方面的涉台工作。负责组织、协调来我县台湾各界人士的接待服务工作；完成上级交办的其他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八）统一管理涉港澳事务，开展港澳统战工作。贯彻落实香港、澳门地区统战方面的方针政策，拟订全县港澳统战工作政策和规划并推动落实，开展全县涉香港、澳门地区统战工作的调查研究，并提出意见建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九）负责联系、培养无党派代表人士，支持、帮助无党派人士加强自身建设、发挥作用。调查研究全县党外知识分子和新的社会阶层人士情况并提出政策性建议，联系、培养党外知识分子和新的社会阶层代表人士，开展思想政治工作，指导全县国有企业和社会组织开展党外知识分子和新的社会阶层人士统战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十）统一管理全县侨务工作，承担根亲文化工作。贯彻落实党的侨务工作的方针政策，负责拟订全县侨务工作政策并组织协调、督促检查落实，调查研究全县侨情和侨务工作情况，管理侨务行政事务。统筹协调有关部门和社会团体涉侨工作，联系海外有关侨团和代表人士，指导推动涉侨宣传、文化交流工作等，保护华侨和归侨侨眷在国内的合法权益和利益。加强与县外、市外，特别是香港、澳门、台湾、海外同胞中姓氏源于罗山的各界人士的联络联谊。举办根亲文化活动，进一步激发广大海外人士的民族认同。</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十一）受县委委托，指导县侨联工作。领导县工商联党组，指导县工商联工作。管理县委台湾工作办公室（县政府台湾事务办公室）和县政府侨务办公室。管理县台湾同胞联谊会、罗山县党外知识分子联谊会。做好统一战线有关单位和团体的管理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（十二）完成县委交办的其他任务。</w:t>
      </w:r>
    </w:p>
    <w:p>
      <w:pPr>
        <w:tabs>
          <w:tab w:val="left" w:pos="8190"/>
        </w:tabs>
        <w:kinsoku w:val="0"/>
        <w:overflowPunct w:val="0"/>
        <w:adjustRightInd w:val="0"/>
        <w:snapToGrid w:val="0"/>
        <w:spacing w:line="360" w:lineRule="auto"/>
        <w:ind w:right="106" w:rightChars="0" w:firstLine="640"/>
        <w:jc w:val="left"/>
        <w:outlineLvl w:val="0"/>
        <w:rPr>
          <w:rStyle w:val="7"/>
          <w:rFonts w:hint="eastAsia" w:ascii="仿宋" w:hAnsi="仿宋" w:eastAsia="仿宋" w:cs="仿宋"/>
          <w:color w:val="666666"/>
          <w:kern w:val="0"/>
          <w:sz w:val="32"/>
          <w:szCs w:val="32"/>
          <w:shd w:val="clear" w:color="auto" w:fill="FFFFFF"/>
        </w:rPr>
      </w:pPr>
      <w:r>
        <w:rPr>
          <w:rFonts w:hint="eastAsia" w:ascii="仿宋" w:hAnsi="仿宋" w:eastAsia="仿宋" w:cs="仿宋"/>
          <w:sz w:val="32"/>
          <w:szCs w:val="32"/>
          <w:lang w:val="en-US" w:eastAsia="zh-CN"/>
        </w:rPr>
        <w:t>　</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机构设置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一）办公室。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（二）民族宗教事务工作室。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（三）非公有制经济工作室。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（四）对台工作室（港澳工作室）。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（五）无党派人士和党外知识分子工作</w:t>
      </w:r>
      <w:r>
        <w:rPr>
          <w:rFonts w:hint="eastAsia" w:ascii="仿宋" w:hAnsi="仿宋" w:eastAsia="仿宋" w:cs="仿宋"/>
          <w:sz w:val="32"/>
          <w:szCs w:val="32"/>
          <w:lang w:eastAsia="zh-CN"/>
        </w:rPr>
        <w:t>室</w:t>
      </w:r>
      <w:r>
        <w:rPr>
          <w:rFonts w:hint="eastAsia" w:ascii="仿宋" w:hAnsi="仿宋" w:eastAsia="仿宋" w:cs="仿宋"/>
          <w:sz w:val="32"/>
          <w:szCs w:val="32"/>
        </w:rPr>
        <w:t>（新的社会阶层人士统战工作</w:t>
      </w:r>
      <w:r>
        <w:rPr>
          <w:rFonts w:hint="eastAsia" w:ascii="仿宋" w:hAnsi="仿宋" w:eastAsia="仿宋" w:cs="仿宋"/>
          <w:sz w:val="32"/>
          <w:szCs w:val="32"/>
          <w:lang w:eastAsia="zh-CN"/>
        </w:rPr>
        <w:t>室</w:t>
      </w:r>
      <w:r>
        <w:rPr>
          <w:rFonts w:hint="eastAsia" w:ascii="仿宋" w:hAnsi="仿宋" w:eastAsia="仿宋" w:cs="仿宋"/>
          <w:sz w:val="32"/>
          <w:szCs w:val="32"/>
        </w:rPr>
        <w:t>）。</w:t>
      </w:r>
    </w:p>
    <w:p>
      <w:pPr>
        <w:spacing w:line="600" w:lineRule="exact"/>
        <w:ind w:firstLine="645"/>
        <w:rPr>
          <w:rStyle w:val="7"/>
          <w:rFonts w:hint="eastAsia" w:ascii="仿宋" w:hAnsi="仿宋" w:eastAsia="仿宋" w:cs="仿宋"/>
          <w:color w:val="666666"/>
          <w:kern w:val="0"/>
          <w:sz w:val="32"/>
          <w:szCs w:val="32"/>
          <w:shd w:val="clear" w:color="auto" w:fill="FFFFFF"/>
        </w:rPr>
      </w:pPr>
      <w:r>
        <w:rPr>
          <w:rFonts w:hint="eastAsia" w:ascii="仿宋" w:hAnsi="仿宋" w:eastAsia="仿宋" w:cs="仿宋"/>
          <w:sz w:val="32"/>
          <w:szCs w:val="32"/>
        </w:rPr>
        <w:t>（六）侨务工作室（根亲文化工作室）。</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预算单位构成</w:t>
      </w:r>
    </w:p>
    <w:p>
      <w:pPr>
        <w:pStyle w:val="4"/>
        <w:snapToGrid w:val="0"/>
        <w:spacing w:line="52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罗山县委统战部</w:t>
      </w:r>
      <w:r>
        <w:rPr>
          <w:rFonts w:hint="eastAsia" w:ascii="仿宋" w:hAnsi="仿宋" w:eastAsia="仿宋" w:cs="仿宋"/>
          <w:color w:val="333333"/>
          <w:sz w:val="32"/>
          <w:szCs w:val="32"/>
        </w:rPr>
        <w:t>为一级预算单位。</w:t>
      </w:r>
    </w:p>
    <w:p>
      <w:pPr>
        <w:pStyle w:val="4"/>
        <w:snapToGrid w:val="0"/>
        <w:spacing w:line="52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从预算单位构成看，</w:t>
      </w:r>
      <w:r>
        <w:rPr>
          <w:rFonts w:hint="eastAsia" w:ascii="仿宋" w:hAnsi="仿宋" w:eastAsia="仿宋" w:cs="仿宋"/>
          <w:color w:val="333333"/>
          <w:sz w:val="32"/>
          <w:szCs w:val="32"/>
          <w:lang w:eastAsia="zh-CN"/>
        </w:rPr>
        <w:t>罗山</w:t>
      </w:r>
      <w:r>
        <w:rPr>
          <w:rFonts w:hint="eastAsia" w:ascii="仿宋" w:hAnsi="仿宋" w:eastAsia="仿宋" w:cs="仿宋"/>
          <w:color w:val="333333"/>
          <w:sz w:val="32"/>
          <w:szCs w:val="32"/>
        </w:rPr>
        <w:t>县</w:t>
      </w:r>
      <w:r>
        <w:rPr>
          <w:rFonts w:hint="eastAsia" w:ascii="仿宋" w:hAnsi="仿宋" w:eastAsia="仿宋" w:cs="仿宋"/>
          <w:color w:val="333333"/>
          <w:sz w:val="32"/>
          <w:szCs w:val="32"/>
          <w:lang w:eastAsia="zh-CN"/>
        </w:rPr>
        <w:t>委统战部</w:t>
      </w:r>
      <w:r>
        <w:rPr>
          <w:rFonts w:hint="eastAsia" w:ascii="仿宋" w:hAnsi="仿宋" w:eastAsia="仿宋" w:cs="仿宋"/>
          <w:color w:val="333333"/>
          <w:sz w:val="32"/>
          <w:szCs w:val="32"/>
        </w:rPr>
        <w:t>部门预算包括：本级预算。</w:t>
      </w:r>
    </w:p>
    <w:p>
      <w:pPr>
        <w:pStyle w:val="4"/>
        <w:snapToGrid w:val="0"/>
        <w:spacing w:line="520" w:lineRule="exact"/>
        <w:ind w:firstLine="640" w:firstLineChars="200"/>
        <w:rPr>
          <w:rStyle w:val="7"/>
          <w:rFonts w:hint="eastAsia" w:ascii="仿宋" w:hAnsi="仿宋" w:eastAsia="仿宋" w:cs="仿宋"/>
          <w:color w:val="666666"/>
          <w:kern w:val="0"/>
          <w:sz w:val="32"/>
          <w:szCs w:val="32"/>
          <w:shd w:val="clear" w:color="auto" w:fill="FFFFFF"/>
        </w:rPr>
      </w:pPr>
      <w:r>
        <w:rPr>
          <w:rFonts w:hint="eastAsia" w:ascii="仿宋" w:hAnsi="仿宋" w:eastAsia="仿宋" w:cs="仿宋"/>
          <w:color w:val="333333"/>
          <w:sz w:val="32"/>
          <w:szCs w:val="32"/>
        </w:rPr>
        <w:t>本预算为汇总预算，纳入本部门20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年度部门</w:t>
      </w:r>
      <w:r>
        <w:rPr>
          <w:rFonts w:hint="eastAsia" w:ascii="仿宋" w:hAnsi="仿宋" w:eastAsia="仿宋" w:cs="仿宋"/>
          <w:color w:val="333333"/>
          <w:sz w:val="32"/>
          <w:szCs w:val="32"/>
          <w:lang w:eastAsia="zh-CN"/>
        </w:rPr>
        <w:t>预</w:t>
      </w:r>
      <w:r>
        <w:rPr>
          <w:rFonts w:hint="eastAsia" w:ascii="仿宋" w:hAnsi="仿宋" w:eastAsia="仿宋" w:cs="仿宋"/>
          <w:color w:val="333333"/>
          <w:sz w:val="32"/>
          <w:szCs w:val="32"/>
        </w:rPr>
        <w:t>算编报范围的预算单位包括</w:t>
      </w:r>
      <w:r>
        <w:rPr>
          <w:rFonts w:hint="eastAsia" w:ascii="仿宋" w:hAnsi="仿宋" w:eastAsia="仿宋" w:cs="仿宋"/>
          <w:color w:val="333333"/>
          <w:sz w:val="32"/>
          <w:szCs w:val="32"/>
          <w:lang w:eastAsia="zh-CN"/>
        </w:rPr>
        <w:t>县委统战部</w:t>
      </w:r>
      <w:r>
        <w:rPr>
          <w:rFonts w:hint="eastAsia" w:ascii="仿宋" w:hAnsi="仿宋" w:eastAsia="仿宋" w:cs="仿宋"/>
          <w:color w:val="333333"/>
          <w:sz w:val="32"/>
          <w:szCs w:val="32"/>
        </w:rPr>
        <w:t>本级、所属0个二级单位</w:t>
      </w:r>
      <w:r>
        <w:rPr>
          <w:rFonts w:hint="eastAsia" w:ascii="仿宋" w:hAnsi="仿宋" w:eastAsia="仿宋" w:cs="仿宋"/>
          <w:color w:val="333333"/>
          <w:sz w:val="32"/>
          <w:szCs w:val="32"/>
          <w:lang w:eastAsia="zh-CN"/>
        </w:rPr>
        <w:t>。</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lang w:eastAsia="zh-CN"/>
        </w:rPr>
        <w:t>　　　　　　　　　　　</w:t>
      </w:r>
    </w:p>
    <w:p>
      <w:pPr>
        <w:pStyle w:val="4"/>
        <w:snapToGrid w:val="0"/>
        <w:spacing w:line="520" w:lineRule="exact"/>
        <w:ind w:firstLine="643" w:firstLineChars="200"/>
        <w:jc w:val="center"/>
        <w:rPr>
          <w:rStyle w:val="7"/>
          <w:rFonts w:hint="eastAsia" w:ascii="仿宋" w:hAnsi="仿宋" w:eastAsia="仿宋" w:cs="仿宋"/>
          <w:color w:val="666666"/>
          <w:kern w:val="0"/>
          <w:sz w:val="32"/>
          <w:szCs w:val="32"/>
          <w:shd w:val="clear" w:color="auto" w:fill="FFFFFF"/>
        </w:rPr>
      </w:pPr>
    </w:p>
    <w:p>
      <w:pPr>
        <w:pStyle w:val="4"/>
        <w:snapToGrid w:val="0"/>
        <w:spacing w:line="520" w:lineRule="exact"/>
        <w:ind w:firstLine="643" w:firstLineChars="200"/>
        <w:jc w:val="center"/>
        <w:rPr>
          <w:rStyle w:val="7"/>
          <w:rFonts w:hint="eastAsia" w:ascii="仿宋" w:hAnsi="仿宋" w:eastAsia="仿宋" w:cs="仿宋"/>
          <w:color w:val="666666"/>
          <w:kern w:val="0"/>
          <w:sz w:val="32"/>
          <w:szCs w:val="32"/>
          <w:shd w:val="clear" w:color="auto" w:fill="FFFFFF"/>
        </w:rPr>
      </w:pPr>
      <w:r>
        <w:rPr>
          <w:rStyle w:val="7"/>
          <w:rFonts w:hint="eastAsia" w:ascii="仿宋" w:hAnsi="仿宋" w:eastAsia="仿宋" w:cs="仿宋"/>
          <w:color w:val="666666"/>
          <w:kern w:val="0"/>
          <w:sz w:val="32"/>
          <w:szCs w:val="32"/>
          <w:shd w:val="clear" w:color="auto" w:fill="FFFFFF"/>
        </w:rPr>
        <w:t>第二部分</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lang w:eastAsia="zh-CN"/>
        </w:rPr>
        <w:t>　　　罗山县委统战部</w:t>
      </w:r>
      <w:r>
        <w:rPr>
          <w:rStyle w:val="7"/>
          <w:rFonts w:hint="eastAsia" w:ascii="仿宋" w:hAnsi="仿宋" w:eastAsia="仿宋" w:cs="仿宋"/>
          <w:color w:val="666666"/>
          <w:kern w:val="0"/>
          <w:sz w:val="32"/>
          <w:szCs w:val="32"/>
          <w:shd w:val="clear" w:color="auto" w:fill="FFFFFF"/>
        </w:rPr>
        <w:t>2021年度部门预算情况说明</w:t>
      </w:r>
    </w:p>
    <w:p>
      <w:pPr>
        <w:pStyle w:val="4"/>
        <w:snapToGrid w:val="0"/>
        <w:spacing w:line="520" w:lineRule="exact"/>
        <w:ind w:firstLine="643" w:firstLineChars="200"/>
        <w:jc w:val="left"/>
        <w:rPr>
          <w:rStyle w:val="7"/>
          <w:rFonts w:hint="eastAsia" w:ascii="仿宋" w:hAnsi="仿宋" w:eastAsia="仿宋" w:cs="仿宋"/>
          <w:color w:val="666666"/>
          <w:kern w:val="0"/>
          <w:sz w:val="32"/>
          <w:szCs w:val="32"/>
          <w:shd w:val="clear" w:color="auto" w:fill="FFFFFF"/>
        </w:rPr>
      </w:pPr>
    </w:p>
    <w:p>
      <w:pPr>
        <w:widowControl/>
        <w:spacing w:before="300"/>
        <w:jc w:val="left"/>
        <w:rPr>
          <w:rFonts w:hint="eastAsia" w:ascii="仿宋" w:hAnsi="仿宋" w:eastAsia="仿宋" w:cs="仿宋"/>
          <w:color w:val="666666"/>
          <w:kern w:val="0"/>
          <w:sz w:val="32"/>
          <w:szCs w:val="32"/>
          <w:shd w:val="clear" w:color="auto" w:fill="FFFFFF"/>
          <w:lang w:eastAsia="zh-CN"/>
        </w:rPr>
      </w:pPr>
      <w:r>
        <w:rPr>
          <w:rStyle w:val="7"/>
          <w:rFonts w:hint="eastAsia" w:ascii="仿宋" w:hAnsi="仿宋" w:eastAsia="仿宋" w:cs="仿宋"/>
          <w:color w:val="666666"/>
          <w:kern w:val="0"/>
          <w:sz w:val="32"/>
          <w:szCs w:val="32"/>
          <w:shd w:val="clear" w:color="auto" w:fill="FFFFFF"/>
        </w:rPr>
        <w:t>一、收入支出预算总体情况说明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2021年收入总计</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万元，支出总计</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万元，与2020年预算相比，收入增加</w:t>
      </w:r>
      <w:r>
        <w:rPr>
          <w:rFonts w:hint="eastAsia" w:ascii="仿宋" w:hAnsi="仿宋" w:eastAsia="仿宋" w:cs="仿宋"/>
          <w:color w:val="666666"/>
          <w:kern w:val="0"/>
          <w:sz w:val="32"/>
          <w:szCs w:val="32"/>
          <w:shd w:val="clear" w:color="auto" w:fill="FFFFFF"/>
          <w:lang w:val="en-US" w:eastAsia="zh-CN"/>
        </w:rPr>
        <w:t>49.43</w:t>
      </w:r>
      <w:r>
        <w:rPr>
          <w:rFonts w:hint="eastAsia" w:ascii="仿宋" w:hAnsi="仿宋" w:eastAsia="仿宋" w:cs="仿宋"/>
          <w:color w:val="666666"/>
          <w:kern w:val="0"/>
          <w:sz w:val="32"/>
          <w:szCs w:val="32"/>
          <w:shd w:val="clear" w:color="auto" w:fill="FFFFFF"/>
        </w:rPr>
        <w:t>万元，增长</w:t>
      </w:r>
      <w:r>
        <w:rPr>
          <w:rFonts w:hint="eastAsia" w:ascii="仿宋" w:hAnsi="仿宋" w:eastAsia="仿宋" w:cs="仿宋"/>
          <w:color w:val="666666"/>
          <w:kern w:val="0"/>
          <w:sz w:val="32"/>
          <w:szCs w:val="32"/>
          <w:shd w:val="clear" w:color="auto" w:fill="FFFFFF"/>
          <w:lang w:val="en-US" w:eastAsia="zh-CN"/>
        </w:rPr>
        <w:t>36.10</w:t>
      </w:r>
      <w:r>
        <w:rPr>
          <w:rFonts w:hint="eastAsia" w:ascii="仿宋" w:hAnsi="仿宋" w:eastAsia="仿宋" w:cs="仿宋"/>
          <w:color w:val="666666"/>
          <w:kern w:val="0"/>
          <w:sz w:val="32"/>
          <w:szCs w:val="32"/>
          <w:shd w:val="clear" w:color="auto" w:fill="FFFFFF"/>
        </w:rPr>
        <w:t>%。主要原因：人员增加，经费增加;支出增加</w:t>
      </w:r>
      <w:r>
        <w:rPr>
          <w:rFonts w:hint="eastAsia" w:ascii="仿宋" w:hAnsi="仿宋" w:eastAsia="仿宋" w:cs="仿宋"/>
          <w:color w:val="666666"/>
          <w:kern w:val="0"/>
          <w:sz w:val="32"/>
          <w:szCs w:val="32"/>
          <w:shd w:val="clear" w:color="auto" w:fill="FFFFFF"/>
          <w:lang w:val="en-US" w:eastAsia="zh-CN"/>
        </w:rPr>
        <w:t>49.43</w:t>
      </w:r>
      <w:r>
        <w:rPr>
          <w:rFonts w:hint="eastAsia" w:ascii="仿宋" w:hAnsi="仿宋" w:eastAsia="仿宋" w:cs="仿宋"/>
          <w:color w:val="666666"/>
          <w:kern w:val="0"/>
          <w:sz w:val="32"/>
          <w:szCs w:val="32"/>
          <w:shd w:val="clear" w:color="auto" w:fill="FFFFFF"/>
        </w:rPr>
        <w:t>万元，增长</w:t>
      </w:r>
      <w:r>
        <w:rPr>
          <w:rFonts w:hint="eastAsia" w:ascii="仿宋" w:hAnsi="仿宋" w:eastAsia="仿宋" w:cs="仿宋"/>
          <w:color w:val="666666"/>
          <w:kern w:val="0"/>
          <w:sz w:val="32"/>
          <w:szCs w:val="32"/>
          <w:shd w:val="clear" w:color="auto" w:fill="FFFFFF"/>
          <w:lang w:val="en-US" w:eastAsia="zh-CN"/>
        </w:rPr>
        <w:t>36.10</w:t>
      </w:r>
      <w:r>
        <w:rPr>
          <w:rFonts w:hint="eastAsia" w:ascii="仿宋" w:hAnsi="仿宋" w:eastAsia="仿宋" w:cs="仿宋"/>
          <w:color w:val="666666"/>
          <w:kern w:val="0"/>
          <w:sz w:val="32"/>
          <w:szCs w:val="32"/>
          <w:shd w:val="clear" w:color="auto" w:fill="FFFFFF"/>
        </w:rPr>
        <w:t>%。主要原因：人员增加，经费增加。</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二、收入预算总体情况说明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2021年收入合计</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万元，其中：一般公共预算</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 政府性基金收入0万元；专户管理的教育收费0万元。</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三、支出预算总体情况说明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2021年支出合计</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万元，其中：基本支出</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万元，占</w:t>
      </w:r>
      <w:r>
        <w:rPr>
          <w:rFonts w:hint="eastAsia" w:ascii="仿宋" w:hAnsi="仿宋" w:eastAsia="仿宋" w:cs="仿宋"/>
          <w:color w:val="666666"/>
          <w:kern w:val="0"/>
          <w:sz w:val="32"/>
          <w:szCs w:val="32"/>
          <w:shd w:val="clear" w:color="auto" w:fill="FFFFFF"/>
          <w:lang w:val="en-US" w:eastAsia="zh-CN"/>
        </w:rPr>
        <w:t>100</w:t>
      </w:r>
      <w:r>
        <w:rPr>
          <w:rFonts w:hint="eastAsia" w:ascii="仿宋" w:hAnsi="仿宋" w:eastAsia="仿宋" w:cs="仿宋"/>
          <w:color w:val="666666"/>
          <w:kern w:val="0"/>
          <w:sz w:val="32"/>
          <w:szCs w:val="32"/>
          <w:shd w:val="clear" w:color="auto" w:fill="FFFFFF"/>
        </w:rPr>
        <w:t>%；项目支出</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万元，占</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四、财政拨款收入支出预算总体情况说明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2021年一般公共预算收支预算</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万元，政府性基金收支预算0万元。与 2020年相比，一般公共预算收支预算各增加4</w:t>
      </w:r>
      <w:r>
        <w:rPr>
          <w:rFonts w:hint="eastAsia" w:ascii="仿宋" w:hAnsi="仿宋" w:eastAsia="仿宋" w:cs="仿宋"/>
          <w:color w:val="666666"/>
          <w:kern w:val="0"/>
          <w:sz w:val="32"/>
          <w:szCs w:val="32"/>
          <w:shd w:val="clear" w:color="auto" w:fill="FFFFFF"/>
          <w:lang w:val="en-US" w:eastAsia="zh-CN"/>
        </w:rPr>
        <w:t>9.43</w:t>
      </w:r>
      <w:r>
        <w:rPr>
          <w:rFonts w:hint="eastAsia" w:ascii="仿宋" w:hAnsi="仿宋" w:eastAsia="仿宋" w:cs="仿宋"/>
          <w:color w:val="666666"/>
          <w:kern w:val="0"/>
          <w:sz w:val="32"/>
          <w:szCs w:val="32"/>
          <w:shd w:val="clear" w:color="auto" w:fill="FFFFFF"/>
        </w:rPr>
        <w:t>万元，增长</w:t>
      </w:r>
      <w:r>
        <w:rPr>
          <w:rFonts w:hint="eastAsia" w:ascii="仿宋" w:hAnsi="仿宋" w:eastAsia="仿宋" w:cs="仿宋"/>
          <w:color w:val="666666"/>
          <w:kern w:val="0"/>
          <w:sz w:val="32"/>
          <w:szCs w:val="32"/>
          <w:shd w:val="clear" w:color="auto" w:fill="FFFFFF"/>
          <w:lang w:val="en-US" w:eastAsia="zh-CN"/>
        </w:rPr>
        <w:t>36.10</w:t>
      </w:r>
      <w:r>
        <w:rPr>
          <w:rFonts w:hint="eastAsia" w:ascii="仿宋" w:hAnsi="仿宋" w:eastAsia="仿宋" w:cs="仿宋"/>
          <w:color w:val="666666"/>
          <w:kern w:val="0"/>
          <w:sz w:val="32"/>
          <w:szCs w:val="32"/>
          <w:shd w:val="clear" w:color="auto" w:fill="FFFFFF"/>
        </w:rPr>
        <w:t>%，主要原因：人员增加，经费增加；政府性基金收支预算增加0万元，与2020年相比无差异。</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五、一般公共预算支出预算情况说明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2021年一般公共预算支出年初预算为</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万元。主要用于以下方面：人员工资及商品服务支出</w:t>
      </w:r>
      <w:r>
        <w:rPr>
          <w:rFonts w:hint="eastAsia" w:ascii="仿宋" w:hAnsi="仿宋" w:eastAsia="仿宋" w:cs="仿宋"/>
          <w:color w:val="666666"/>
          <w:kern w:val="0"/>
          <w:sz w:val="32"/>
          <w:szCs w:val="32"/>
          <w:shd w:val="clear" w:color="auto" w:fill="FFFFFF"/>
          <w:lang w:val="en-US" w:eastAsia="zh-CN"/>
        </w:rPr>
        <w:t>174.46</w:t>
      </w:r>
      <w:r>
        <w:rPr>
          <w:rFonts w:hint="eastAsia" w:ascii="仿宋" w:hAnsi="仿宋" w:eastAsia="仿宋" w:cs="仿宋"/>
          <w:color w:val="666666"/>
          <w:kern w:val="0"/>
          <w:sz w:val="32"/>
          <w:szCs w:val="32"/>
          <w:shd w:val="clear" w:color="auto" w:fill="FFFFFF"/>
        </w:rPr>
        <w:t>万元，占年初预算</w:t>
      </w:r>
      <w:r>
        <w:rPr>
          <w:rFonts w:hint="eastAsia" w:ascii="仿宋" w:hAnsi="仿宋" w:eastAsia="仿宋" w:cs="仿宋"/>
          <w:color w:val="666666"/>
          <w:kern w:val="0"/>
          <w:sz w:val="32"/>
          <w:szCs w:val="32"/>
          <w:shd w:val="clear" w:color="auto" w:fill="FFFFFF"/>
          <w:lang w:val="en-US" w:eastAsia="zh-CN"/>
        </w:rPr>
        <w:t>93.62</w:t>
      </w:r>
      <w:r>
        <w:rPr>
          <w:rFonts w:hint="eastAsia" w:ascii="仿宋" w:hAnsi="仿宋" w:eastAsia="仿宋" w:cs="仿宋"/>
          <w:color w:val="666666"/>
          <w:kern w:val="0"/>
          <w:sz w:val="32"/>
          <w:szCs w:val="32"/>
          <w:shd w:val="clear" w:color="auto" w:fill="FFFFFF"/>
        </w:rPr>
        <w:t>%；运转类项目支出</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万元，占年初预算</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%；住房保障类支出1</w:t>
      </w:r>
      <w:r>
        <w:rPr>
          <w:rFonts w:hint="eastAsia" w:ascii="仿宋" w:hAnsi="仿宋" w:eastAsia="仿宋" w:cs="仿宋"/>
          <w:color w:val="666666"/>
          <w:kern w:val="0"/>
          <w:sz w:val="32"/>
          <w:szCs w:val="32"/>
          <w:shd w:val="clear" w:color="auto" w:fill="FFFFFF"/>
          <w:lang w:val="en-US" w:eastAsia="zh-CN"/>
        </w:rPr>
        <w:t>1.89</w:t>
      </w:r>
      <w:r>
        <w:rPr>
          <w:rFonts w:hint="eastAsia" w:ascii="仿宋" w:hAnsi="仿宋" w:eastAsia="仿宋" w:cs="仿宋"/>
          <w:color w:val="666666"/>
          <w:kern w:val="0"/>
          <w:sz w:val="32"/>
          <w:szCs w:val="32"/>
          <w:shd w:val="clear" w:color="auto" w:fill="FFFFFF"/>
        </w:rPr>
        <w:t>万元，占年初预算</w:t>
      </w:r>
      <w:r>
        <w:rPr>
          <w:rFonts w:hint="eastAsia" w:ascii="仿宋" w:hAnsi="仿宋" w:eastAsia="仿宋" w:cs="仿宋"/>
          <w:color w:val="666666"/>
          <w:kern w:val="0"/>
          <w:sz w:val="32"/>
          <w:szCs w:val="32"/>
          <w:shd w:val="clear" w:color="auto" w:fill="FFFFFF"/>
          <w:lang w:val="en-US" w:eastAsia="zh-CN"/>
        </w:rPr>
        <w:t>6.38</w:t>
      </w:r>
      <w:r>
        <w:rPr>
          <w:rFonts w:hint="eastAsia" w:ascii="仿宋" w:hAnsi="仿宋" w:eastAsia="仿宋" w:cs="仿宋"/>
          <w:color w:val="666666"/>
          <w:kern w:val="0"/>
          <w:sz w:val="32"/>
          <w:szCs w:val="32"/>
          <w:shd w:val="clear" w:color="auto" w:fill="FFFFFF"/>
        </w:rPr>
        <w:t>%。</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六、一般公共预算基本支出预算情况说明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2021年一般公共预算基本支出</w:t>
      </w:r>
      <w:r>
        <w:rPr>
          <w:rFonts w:hint="eastAsia" w:ascii="仿宋" w:hAnsi="仿宋" w:eastAsia="仿宋" w:cs="仿宋"/>
          <w:color w:val="666666"/>
          <w:kern w:val="0"/>
          <w:sz w:val="32"/>
          <w:szCs w:val="32"/>
          <w:shd w:val="clear" w:color="auto" w:fill="FFFFFF"/>
          <w:lang w:val="en-US" w:eastAsia="zh-CN"/>
        </w:rPr>
        <w:t>186.35</w:t>
      </w:r>
      <w:r>
        <w:rPr>
          <w:rFonts w:hint="eastAsia" w:ascii="仿宋" w:hAnsi="仿宋" w:eastAsia="仿宋" w:cs="仿宋"/>
          <w:color w:val="666666"/>
          <w:kern w:val="0"/>
          <w:sz w:val="32"/>
          <w:szCs w:val="32"/>
          <w:shd w:val="clear" w:color="auto" w:fill="FFFFFF"/>
        </w:rPr>
        <w:t>万元，其中：人员经费</w:t>
      </w:r>
      <w:r>
        <w:rPr>
          <w:rFonts w:hint="eastAsia" w:ascii="仿宋" w:hAnsi="仿宋" w:eastAsia="仿宋" w:cs="仿宋"/>
          <w:color w:val="666666"/>
          <w:kern w:val="0"/>
          <w:sz w:val="32"/>
          <w:szCs w:val="32"/>
          <w:shd w:val="clear" w:color="auto" w:fill="FFFFFF"/>
          <w:lang w:val="en-US" w:eastAsia="zh-CN"/>
        </w:rPr>
        <w:t>169.12</w:t>
      </w:r>
      <w:r>
        <w:rPr>
          <w:rFonts w:hint="eastAsia" w:ascii="仿宋" w:hAnsi="仿宋" w:eastAsia="仿宋" w:cs="仿宋"/>
          <w:color w:val="666666"/>
          <w:kern w:val="0"/>
          <w:sz w:val="32"/>
          <w:szCs w:val="32"/>
          <w:shd w:val="clear" w:color="auto" w:fill="FFFFFF"/>
        </w:rPr>
        <w:t>万元，主要包括：基本工资、津贴补贴、奖金、社会保障缴费、绩效工资、离休费、退休费、遗属补助、住房公积金等；公用经费</w:t>
      </w:r>
      <w:r>
        <w:rPr>
          <w:rFonts w:hint="eastAsia" w:ascii="仿宋" w:hAnsi="仿宋" w:eastAsia="仿宋" w:cs="仿宋"/>
          <w:color w:val="666666"/>
          <w:kern w:val="0"/>
          <w:sz w:val="32"/>
          <w:szCs w:val="32"/>
          <w:shd w:val="clear" w:color="auto" w:fill="FFFFFF"/>
          <w:lang w:val="en-US" w:eastAsia="zh-CN"/>
        </w:rPr>
        <w:t>17.23</w:t>
      </w:r>
      <w:r>
        <w:rPr>
          <w:rFonts w:hint="eastAsia" w:ascii="仿宋" w:hAnsi="仿宋" w:eastAsia="仿宋" w:cs="仿宋"/>
          <w:color w:val="666666"/>
          <w:kern w:val="0"/>
          <w:sz w:val="32"/>
          <w:szCs w:val="32"/>
          <w:shd w:val="clear" w:color="auto" w:fill="FFFFFF"/>
        </w:rPr>
        <w:t>万元，主要包括：办公费、印刷费、咨询费、手续费、水费、电费、邮电费、取暖费、物业管理费、差旅费、因公出国（境）费、维修（护）费、租赁费、会议费、培训费、公务接待费、专用材料费、劳务费、工会经费、福利费、公务用车运行维护费、其他交通费用等。</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七、政府性基金预算支出预算情况说明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我</w:t>
      </w:r>
      <w:r>
        <w:rPr>
          <w:rFonts w:hint="eastAsia" w:ascii="仿宋" w:hAnsi="仿宋" w:eastAsia="仿宋" w:cs="仿宋"/>
          <w:color w:val="666666"/>
          <w:kern w:val="0"/>
          <w:sz w:val="32"/>
          <w:szCs w:val="32"/>
          <w:shd w:val="clear" w:color="auto" w:fill="FFFFFF"/>
          <w:lang w:eastAsia="zh-CN"/>
        </w:rPr>
        <w:t>部</w:t>
      </w:r>
      <w:r>
        <w:rPr>
          <w:rFonts w:hint="eastAsia" w:ascii="仿宋" w:hAnsi="仿宋" w:eastAsia="仿宋" w:cs="仿宋"/>
          <w:color w:val="666666"/>
          <w:kern w:val="0"/>
          <w:sz w:val="32"/>
          <w:szCs w:val="32"/>
          <w:shd w:val="clear" w:color="auto" w:fill="FFFFFF"/>
        </w:rPr>
        <w:t>2021年无使用政府性基金预算拨款安排的支出。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八、 “三公”经费支出预算情况说明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我</w:t>
      </w:r>
      <w:r>
        <w:rPr>
          <w:rFonts w:hint="eastAsia" w:ascii="仿宋" w:hAnsi="仿宋" w:eastAsia="仿宋" w:cs="仿宋"/>
          <w:color w:val="666666"/>
          <w:kern w:val="0"/>
          <w:sz w:val="32"/>
          <w:szCs w:val="32"/>
          <w:shd w:val="clear" w:color="auto" w:fill="FFFFFF"/>
          <w:lang w:eastAsia="zh-CN"/>
        </w:rPr>
        <w:t>部</w:t>
      </w:r>
      <w:r>
        <w:rPr>
          <w:rFonts w:hint="eastAsia" w:ascii="仿宋" w:hAnsi="仿宋" w:eastAsia="仿宋" w:cs="仿宋"/>
          <w:color w:val="666666"/>
          <w:kern w:val="0"/>
          <w:sz w:val="32"/>
          <w:szCs w:val="32"/>
          <w:shd w:val="clear" w:color="auto" w:fill="FFFFFF"/>
        </w:rPr>
        <w:t>2021年“三公”经费预算为</w:t>
      </w:r>
      <w:r>
        <w:rPr>
          <w:rFonts w:hint="eastAsia" w:ascii="仿宋" w:hAnsi="仿宋" w:eastAsia="仿宋" w:cs="仿宋"/>
          <w:color w:val="666666"/>
          <w:kern w:val="0"/>
          <w:sz w:val="32"/>
          <w:szCs w:val="32"/>
          <w:shd w:val="clear" w:color="auto" w:fill="FFFFFF"/>
          <w:lang w:val="en-US" w:eastAsia="zh-CN"/>
        </w:rPr>
        <w:t>3.5</w:t>
      </w:r>
      <w:r>
        <w:rPr>
          <w:rFonts w:hint="eastAsia" w:ascii="仿宋" w:hAnsi="仿宋" w:eastAsia="仿宋" w:cs="仿宋"/>
          <w:color w:val="666666"/>
          <w:kern w:val="0"/>
          <w:sz w:val="32"/>
          <w:szCs w:val="32"/>
          <w:shd w:val="clear" w:color="auto" w:fill="FFFFFF"/>
        </w:rPr>
        <w:t>万元。2021年“三公”经费支出预算数比 2020年减少</w:t>
      </w:r>
      <w:r>
        <w:rPr>
          <w:rFonts w:hint="eastAsia" w:ascii="仿宋" w:hAnsi="仿宋" w:eastAsia="仿宋" w:cs="仿宋"/>
          <w:color w:val="666666"/>
          <w:kern w:val="0"/>
          <w:sz w:val="32"/>
          <w:szCs w:val="32"/>
          <w:shd w:val="clear" w:color="auto" w:fill="FFFFFF"/>
          <w:lang w:val="en-US" w:eastAsia="zh-CN"/>
        </w:rPr>
        <w:t>0.1</w:t>
      </w:r>
      <w:r>
        <w:rPr>
          <w:rFonts w:hint="eastAsia" w:ascii="仿宋" w:hAnsi="仿宋" w:eastAsia="仿宋" w:cs="仿宋"/>
          <w:color w:val="666666"/>
          <w:kern w:val="0"/>
          <w:sz w:val="32"/>
          <w:szCs w:val="32"/>
          <w:shd w:val="clear" w:color="auto" w:fill="FFFFFF"/>
        </w:rPr>
        <w:t>万元。</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具体支出情况如下：</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（一）因公出国（境）费</w:t>
      </w:r>
      <w:r>
        <w:rPr>
          <w:rFonts w:hint="eastAsia" w:ascii="仿宋" w:hAnsi="仿宋" w:eastAsia="仿宋" w:cs="仿宋"/>
          <w:color w:val="666666"/>
          <w:kern w:val="0"/>
          <w:sz w:val="32"/>
          <w:szCs w:val="32"/>
          <w:shd w:val="clear" w:color="auto" w:fill="FFFFFF"/>
        </w:rPr>
        <w:t>0万元，主要用于单位工作人员公务出国（境）的住宿费、旅费、伙食补助费、杂费、培训费等支出。预算数比 2020年增加0万元，与2020年相比无差异。</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（二）公务用车购置及运行费</w:t>
      </w:r>
      <w:r>
        <w:rPr>
          <w:rStyle w:val="7"/>
          <w:rFonts w:hint="eastAsia" w:ascii="仿宋" w:hAnsi="仿宋" w:eastAsia="仿宋" w:cs="仿宋"/>
          <w:color w:val="666666"/>
          <w:kern w:val="0"/>
          <w:sz w:val="32"/>
          <w:szCs w:val="32"/>
          <w:shd w:val="clear" w:color="auto" w:fill="FFFFFF"/>
          <w:lang w:val="en-US" w:eastAsia="zh-CN"/>
        </w:rPr>
        <w:t>3.5</w:t>
      </w:r>
      <w:r>
        <w:rPr>
          <w:rFonts w:hint="eastAsia" w:ascii="仿宋" w:hAnsi="仿宋" w:eastAsia="仿宋" w:cs="仿宋"/>
          <w:color w:val="666666"/>
          <w:kern w:val="0"/>
          <w:sz w:val="32"/>
          <w:szCs w:val="32"/>
          <w:shd w:val="clear" w:color="auto" w:fill="FFFFFF"/>
        </w:rPr>
        <w:t>万元，其中，公务用车购置费0万元；公务用车运行维护费</w:t>
      </w:r>
      <w:r>
        <w:rPr>
          <w:rFonts w:hint="eastAsia" w:ascii="仿宋" w:hAnsi="仿宋" w:eastAsia="仿宋" w:cs="仿宋"/>
          <w:color w:val="666666"/>
          <w:kern w:val="0"/>
          <w:sz w:val="32"/>
          <w:szCs w:val="32"/>
          <w:shd w:val="clear" w:color="auto" w:fill="FFFFFF"/>
          <w:lang w:val="en-US" w:eastAsia="zh-CN"/>
        </w:rPr>
        <w:t>3.5</w:t>
      </w:r>
      <w:r>
        <w:rPr>
          <w:rFonts w:hint="eastAsia" w:ascii="仿宋" w:hAnsi="仿宋" w:eastAsia="仿宋" w:cs="仿宋"/>
          <w:color w:val="666666"/>
          <w:kern w:val="0"/>
          <w:sz w:val="32"/>
          <w:szCs w:val="32"/>
          <w:shd w:val="clear" w:color="auto" w:fill="FFFFFF"/>
        </w:rPr>
        <w:t>万元，主要用于开展工作所需公务用车的燃料费、维修费、过路过桥费、保险费、安全奖励费用等支出。公务用车购置费预算数比 2020年增加0万元，与2020年相比无差异。公务用车运行维护费预算数比 2020年</w:t>
      </w:r>
      <w:r>
        <w:rPr>
          <w:rFonts w:hint="eastAsia" w:ascii="仿宋" w:hAnsi="仿宋" w:eastAsia="仿宋" w:cs="仿宋"/>
          <w:color w:val="666666"/>
          <w:kern w:val="0"/>
          <w:sz w:val="32"/>
          <w:szCs w:val="32"/>
          <w:shd w:val="clear" w:color="auto" w:fill="FFFFFF"/>
          <w:lang w:eastAsia="zh-CN"/>
        </w:rPr>
        <w:t>减少</w:t>
      </w:r>
      <w:r>
        <w:rPr>
          <w:rFonts w:hint="eastAsia" w:ascii="仿宋" w:hAnsi="仿宋" w:eastAsia="仿宋" w:cs="仿宋"/>
          <w:color w:val="666666"/>
          <w:kern w:val="0"/>
          <w:sz w:val="32"/>
          <w:szCs w:val="32"/>
          <w:shd w:val="clear" w:color="auto" w:fill="FFFFFF"/>
          <w:lang w:val="en-US" w:eastAsia="zh-CN"/>
        </w:rPr>
        <w:t>0.1</w:t>
      </w:r>
      <w:r>
        <w:rPr>
          <w:rFonts w:hint="eastAsia" w:ascii="仿宋" w:hAnsi="仿宋" w:eastAsia="仿宋" w:cs="仿宋"/>
          <w:color w:val="666666"/>
          <w:kern w:val="0"/>
          <w:sz w:val="32"/>
          <w:szCs w:val="32"/>
          <w:shd w:val="clear" w:color="auto" w:fill="FFFFFF"/>
        </w:rPr>
        <w:t>万元，主要原因：牢固树立过紧日子思想，按照本</w:t>
      </w:r>
      <w:r>
        <w:rPr>
          <w:rFonts w:hint="eastAsia" w:ascii="仿宋" w:hAnsi="仿宋" w:eastAsia="仿宋" w:cs="仿宋"/>
          <w:color w:val="666666"/>
          <w:kern w:val="0"/>
          <w:sz w:val="32"/>
          <w:szCs w:val="32"/>
          <w:shd w:val="clear" w:color="auto" w:fill="FFFFFF"/>
          <w:lang w:eastAsia="zh-CN"/>
        </w:rPr>
        <w:t>县</w:t>
      </w:r>
      <w:r>
        <w:rPr>
          <w:rFonts w:hint="eastAsia" w:ascii="仿宋" w:hAnsi="仿宋" w:eastAsia="仿宋" w:cs="仿宋"/>
          <w:color w:val="666666"/>
          <w:kern w:val="0"/>
          <w:sz w:val="32"/>
          <w:szCs w:val="32"/>
          <w:shd w:val="clear" w:color="auto" w:fill="FFFFFF"/>
        </w:rPr>
        <w:t>压减非急需非刚性资金支出要求，减少部分资金支出。。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（三）公务接待费</w:t>
      </w:r>
      <w:r>
        <w:rPr>
          <w:rStyle w:val="7"/>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万元，</w:t>
      </w:r>
      <w:r>
        <w:rPr>
          <w:rFonts w:hint="eastAsia" w:ascii="仿宋" w:hAnsi="仿宋" w:eastAsia="仿宋" w:cs="仿宋"/>
          <w:color w:val="666666"/>
          <w:kern w:val="0"/>
          <w:sz w:val="32"/>
          <w:szCs w:val="32"/>
          <w:shd w:val="clear" w:color="auto" w:fill="FFFFFF"/>
          <w:lang w:eastAsia="zh-CN"/>
        </w:rPr>
        <w:t>主要用于按规定开支的各类公务接待（含外宾接待）支出，比</w:t>
      </w:r>
      <w:r>
        <w:rPr>
          <w:rFonts w:hint="eastAsia" w:ascii="仿宋" w:hAnsi="仿宋" w:eastAsia="仿宋" w:cs="仿宋"/>
          <w:color w:val="666666"/>
          <w:kern w:val="0"/>
          <w:sz w:val="32"/>
          <w:szCs w:val="32"/>
          <w:shd w:val="clear" w:color="auto" w:fill="FFFFFF"/>
          <w:lang w:val="en-US" w:eastAsia="zh-CN"/>
        </w:rPr>
        <w:t>2020年减少0万元，下降0%，主要原因是公</w:t>
      </w:r>
      <w:r>
        <w:rPr>
          <w:rFonts w:hint="eastAsia" w:ascii="仿宋" w:hAnsi="仿宋" w:eastAsia="仿宋" w:cs="仿宋"/>
          <w:color w:val="666666"/>
          <w:kern w:val="0"/>
          <w:sz w:val="32"/>
          <w:szCs w:val="32"/>
          <w:shd w:val="clear" w:color="auto" w:fill="FFFFFF"/>
          <w:lang w:eastAsia="zh-CN"/>
        </w:rPr>
        <w:t>务接待由机关事务管理局负责安排。</w:t>
      </w:r>
    </w:p>
    <w:p>
      <w:pPr>
        <w:widowControl/>
        <w:numPr>
          <w:ilvl w:val="0"/>
          <w:numId w:val="0"/>
        </w:numPr>
        <w:spacing w:before="300"/>
        <w:ind w:firstLine="642"/>
        <w:jc w:val="left"/>
        <w:rPr>
          <w:rStyle w:val="7"/>
          <w:rFonts w:hint="eastAsia" w:ascii="仿宋" w:hAnsi="仿宋" w:eastAsia="仿宋" w:cs="仿宋"/>
          <w:color w:val="666666"/>
          <w:kern w:val="0"/>
          <w:sz w:val="32"/>
          <w:szCs w:val="32"/>
          <w:shd w:val="clear" w:color="auto" w:fill="FFFFFF"/>
        </w:rPr>
      </w:pPr>
      <w:r>
        <w:rPr>
          <w:rFonts w:hint="eastAsia" w:ascii="仿宋" w:hAnsi="仿宋" w:eastAsia="仿宋" w:cs="仿宋"/>
          <w:b/>
          <w:bCs/>
          <w:color w:val="666666"/>
          <w:kern w:val="0"/>
          <w:sz w:val="32"/>
          <w:szCs w:val="32"/>
          <w:shd w:val="clear" w:color="auto" w:fill="FFFFFF"/>
          <w:lang w:eastAsia="zh-CN"/>
        </w:rPr>
        <w:t>九、</w:t>
      </w:r>
      <w:r>
        <w:rPr>
          <w:rFonts w:hint="eastAsia" w:ascii="仿宋" w:hAnsi="仿宋" w:eastAsia="仿宋" w:cs="仿宋"/>
          <w:color w:val="666666"/>
          <w:kern w:val="0"/>
          <w:sz w:val="32"/>
          <w:szCs w:val="32"/>
          <w:shd w:val="clear" w:color="auto" w:fill="FFFFFF"/>
        </w:rPr>
        <w:t>其他重要事项情况说明（以下情况金额为0的，仍需进行情况说明）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（一）机关运行经费支出情况</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2021年机关运行经费支出预算</w:t>
      </w:r>
      <w:r>
        <w:rPr>
          <w:rFonts w:hint="eastAsia" w:ascii="仿宋" w:hAnsi="仿宋" w:eastAsia="仿宋" w:cs="仿宋"/>
          <w:color w:val="666666"/>
          <w:kern w:val="0"/>
          <w:sz w:val="32"/>
          <w:szCs w:val="32"/>
          <w:shd w:val="clear" w:color="auto" w:fill="FFFFFF"/>
          <w:lang w:val="en-US" w:eastAsia="zh-CN"/>
        </w:rPr>
        <w:t>17.23</w:t>
      </w:r>
      <w:r>
        <w:rPr>
          <w:rFonts w:hint="eastAsia" w:ascii="仿宋" w:hAnsi="仿宋" w:eastAsia="仿宋" w:cs="仿宋"/>
          <w:color w:val="666666"/>
          <w:kern w:val="0"/>
          <w:sz w:val="32"/>
          <w:szCs w:val="32"/>
          <w:shd w:val="clear" w:color="auto" w:fill="FFFFFF"/>
        </w:rPr>
        <w:t>万元，主要保障机构正常运转及正常履职需要，完成预算年度主要工作任务需要。</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（二）政府采购支出情况</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2021年</w:t>
      </w:r>
      <w:r>
        <w:rPr>
          <w:rFonts w:hint="eastAsia" w:ascii="仿宋" w:hAnsi="仿宋" w:eastAsia="仿宋" w:cs="仿宋"/>
          <w:color w:val="666666"/>
          <w:kern w:val="0"/>
          <w:sz w:val="32"/>
          <w:szCs w:val="32"/>
          <w:shd w:val="clear" w:color="auto" w:fill="FFFFFF"/>
          <w:lang w:eastAsia="zh-CN"/>
        </w:rPr>
        <w:t>政府采购预算安排为</w:t>
      </w:r>
      <w:r>
        <w:rPr>
          <w:rFonts w:hint="eastAsia" w:ascii="仿宋" w:hAnsi="仿宋" w:eastAsia="仿宋" w:cs="仿宋"/>
          <w:color w:val="666666"/>
          <w:kern w:val="0"/>
          <w:sz w:val="32"/>
          <w:szCs w:val="32"/>
          <w:shd w:val="clear" w:color="auto" w:fill="FFFFFF"/>
          <w:lang w:val="en-US" w:eastAsia="zh-CN"/>
        </w:rPr>
        <w:t>6万元，其中政府采购货物预算为6万元、政府采购工程预算为0万元、政府采购服务预算为0万元。2021年罗山县委统战部政府采购支出为0万元。</w:t>
      </w:r>
      <w:bookmarkStart w:id="0" w:name="_GoBack"/>
      <w:bookmarkEnd w:id="0"/>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（三）绩效目标设置情况</w:t>
      </w:r>
    </w:p>
    <w:p>
      <w:pPr>
        <w:widowControl/>
        <w:numPr>
          <w:ilvl w:val="0"/>
          <w:numId w:val="0"/>
        </w:numPr>
        <w:spacing w:before="300"/>
        <w:ind w:firstLine="642"/>
        <w:jc w:val="left"/>
        <w:rPr>
          <w:rFonts w:hint="eastAsia" w:ascii="仿宋" w:hAnsi="仿宋" w:eastAsia="仿宋" w:cs="仿宋"/>
          <w:sz w:val="32"/>
          <w:szCs w:val="32"/>
        </w:rPr>
      </w:pP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21</w:t>
      </w:r>
      <w:r>
        <w:rPr>
          <w:rFonts w:hint="eastAsia" w:ascii="仿宋" w:hAnsi="仿宋" w:eastAsia="仿宋" w:cs="仿宋"/>
          <w:color w:val="000000"/>
          <w:kern w:val="0"/>
          <w:sz w:val="32"/>
          <w:szCs w:val="32"/>
        </w:rPr>
        <w:t>年没有开展项目预算绩效评价。</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（四）国有资产占用情况。</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2020年期末，我</w:t>
      </w:r>
      <w:r>
        <w:rPr>
          <w:rFonts w:hint="eastAsia" w:ascii="仿宋" w:hAnsi="仿宋" w:eastAsia="仿宋" w:cs="仿宋"/>
          <w:color w:val="666666"/>
          <w:kern w:val="0"/>
          <w:sz w:val="32"/>
          <w:szCs w:val="32"/>
          <w:shd w:val="clear" w:color="auto" w:fill="FFFFFF"/>
          <w:lang w:eastAsia="zh-CN"/>
        </w:rPr>
        <w:t>部</w:t>
      </w:r>
      <w:r>
        <w:rPr>
          <w:rFonts w:hint="eastAsia" w:ascii="仿宋" w:hAnsi="仿宋" w:eastAsia="仿宋" w:cs="仿宋"/>
          <w:color w:val="666666"/>
          <w:kern w:val="0"/>
          <w:sz w:val="32"/>
          <w:szCs w:val="32"/>
          <w:shd w:val="clear" w:color="auto" w:fill="FFFFFF"/>
        </w:rPr>
        <w:t>共有车辆</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辆，其中：一般公务用车</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辆；单价50万元以上通用设备0台（套），单位价值100万元以上专用设备0台（套）。</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 </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第三部分</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名词解释</w:t>
      </w:r>
    </w:p>
    <w:p>
      <w:pPr>
        <w:widowControl/>
        <w:spacing w:before="300"/>
        <w:jc w:val="left"/>
      </w:pP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一、财政拨款收入：是指省级财政当年拨付的资金。</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二、事业收入：是指事业单位开展专业活动及辅助活动所取 得的收入。</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三、其他收入：是指部门取得的除“财政拨款”、“事业收入”、“事业单位经营收入”等以外的收入。</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五、基本支出：是指为保障机构正常运转、完成日常工作任务所必需的开支，其内容包括人员经费和日常公用经费两部分。</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六、项目支出：是指在基本支出之外，为完成特定的行政工作任务或事业发展目标所发生的支出。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 </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附件:</w:t>
      </w:r>
      <w:r>
        <w:rPr>
          <w:rFonts w:hint="eastAsia" w:ascii="仿宋" w:hAnsi="仿宋" w:eastAsia="仿宋" w:cs="仿宋"/>
          <w:color w:val="666666"/>
          <w:kern w:val="0"/>
          <w:sz w:val="32"/>
          <w:szCs w:val="32"/>
          <w:shd w:val="clear" w:color="auto" w:fill="FFFFFF"/>
        </w:rPr>
        <w:br w:type="textWrapping"/>
      </w:r>
      <w:r>
        <w:rPr>
          <w:rFonts w:hint="eastAsia" w:ascii="楷体" w:hAnsi="楷体" w:eastAsia="楷体" w:cs="楷体"/>
          <w:color w:val="666666"/>
          <w:kern w:val="0"/>
          <w:sz w:val="27"/>
          <w:szCs w:val="27"/>
          <w:shd w:val="clear" w:color="auto" w:fill="FFFFFF"/>
        </w:rPr>
        <w:t> </w:t>
      </w:r>
    </w:p>
    <w:tbl>
      <w:tblPr>
        <w:tblStyle w:val="5"/>
        <w:tblW w:w="6750" w:type="dxa"/>
        <w:tblInd w:w="0" w:type="dxa"/>
        <w:tblLayout w:type="autofit"/>
        <w:tblCellMar>
          <w:top w:w="0" w:type="dxa"/>
          <w:left w:w="0" w:type="dxa"/>
          <w:bottom w:w="0" w:type="dxa"/>
          <w:right w:w="0" w:type="dxa"/>
        </w:tblCellMar>
      </w:tblPr>
      <w:tblGrid>
        <w:gridCol w:w="300"/>
        <w:gridCol w:w="6450"/>
      </w:tblGrid>
      <w:tr>
        <w:trPr>
          <w:trHeight w:val="450" w:hRule="atLeast"/>
        </w:trPr>
        <w:tc>
          <w:tcPr>
            <w:tcW w:w="300" w:type="dxa"/>
            <w:shd w:val="clear" w:color="auto" w:fill="auto"/>
            <w:vAlign w:val="center"/>
          </w:tcPr>
          <w:p>
            <w:pPr>
              <w:widowControl/>
              <w:spacing w:line="360" w:lineRule="atLeast"/>
              <w:jc w:val="left"/>
              <w:rPr>
                <w:rFonts w:ascii="微软雅黑" w:hAnsi="微软雅黑" w:eastAsia="微软雅黑" w:cs="微软雅黑"/>
                <w:color w:val="2E2E2E"/>
                <w:sz w:val="18"/>
                <w:szCs w:val="18"/>
              </w:rPr>
            </w:pPr>
            <w:r>
              <w:rPr>
                <w:rFonts w:hint="eastAsia" w:ascii="微软雅黑" w:hAnsi="微软雅黑" w:eastAsia="微软雅黑" w:cs="微软雅黑"/>
                <w:color w:val="6E6E6E"/>
                <w:sz w:val="18"/>
                <w:szCs w:val="18"/>
              </w:rPr>
              <w:drawing>
                <wp:inline distT="0" distB="0" distL="114300" distR="114300">
                  <wp:extent cx="171450" cy="171450"/>
                  <wp:effectExtent l="0" t="0" r="0" b="0"/>
                  <wp:docPr id="1" name="图片 1"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widowControl/>
              <w:spacing w:line="360" w:lineRule="atLeast"/>
              <w:jc w:val="left"/>
              <w:rPr>
                <w:rFonts w:ascii="微软雅黑" w:hAnsi="微软雅黑" w:eastAsia="微软雅黑" w:cs="微软雅黑"/>
                <w:color w:val="2E2E2E"/>
                <w:sz w:val="18"/>
                <w:szCs w:val="18"/>
              </w:rPr>
            </w:pPr>
            <w:r>
              <w:fldChar w:fldCharType="begin"/>
            </w:r>
            <w:r>
              <w:instrText xml:space="preserve"> HYPERLINK "http://czj.xinyang.gov.cn/uploads/soft/210707/6-210FG53600.xlsx" \t "http://czj.xinyang.gov.cn/c/392/2021/0707/_blank" </w:instrText>
            </w:r>
            <w:r>
              <w:fldChar w:fldCharType="separate"/>
            </w:r>
            <w:r>
              <w:rPr>
                <w:rStyle w:val="8"/>
                <w:rFonts w:hint="eastAsia" w:ascii="微软雅黑" w:hAnsi="微软雅黑" w:eastAsia="微软雅黑" w:cs="微软雅黑"/>
                <w:color w:val="6E6E6E"/>
                <w:sz w:val="18"/>
                <w:szCs w:val="18"/>
              </w:rPr>
              <w:t>2021年</w:t>
            </w:r>
            <w:r>
              <w:rPr>
                <w:rStyle w:val="8"/>
                <w:rFonts w:hint="eastAsia" w:ascii="微软雅黑" w:hAnsi="微软雅黑" w:eastAsia="微软雅黑" w:cs="微软雅黑"/>
                <w:color w:val="6E6E6E"/>
                <w:sz w:val="18"/>
                <w:szCs w:val="18"/>
                <w:lang w:eastAsia="zh-CN"/>
              </w:rPr>
              <w:t>罗山县委统战部</w:t>
            </w:r>
            <w:r>
              <w:rPr>
                <w:rStyle w:val="8"/>
                <w:rFonts w:hint="eastAsia" w:ascii="微软雅黑" w:hAnsi="微软雅黑" w:eastAsia="微软雅黑" w:cs="微软雅黑"/>
                <w:color w:val="6E6E6E"/>
                <w:sz w:val="18"/>
                <w:szCs w:val="18"/>
              </w:rPr>
              <w:t>部门预算公开表</w:t>
            </w:r>
            <w:r>
              <w:rPr>
                <w:rStyle w:val="8"/>
                <w:rFonts w:hint="eastAsia" w:ascii="微软雅黑" w:hAnsi="微软雅黑" w:eastAsia="微软雅黑" w:cs="微软雅黑"/>
                <w:color w:val="6E6E6E"/>
                <w:sz w:val="18"/>
                <w:szCs w:val="18"/>
              </w:rPr>
              <w:fldChar w:fldCharType="end"/>
            </w:r>
          </w:p>
        </w:tc>
      </w:tr>
    </w:tbl>
    <w:p>
      <w:pPr>
        <w:widowControl/>
        <w:spacing w:before="300"/>
        <w:jc w:val="lef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Q2M2YzNmFkMjhlOGIzZjMzMzUzNDc5YmVjZWM3NzcifQ=="/>
  </w:docVars>
  <w:rsids>
    <w:rsidRoot w:val="58914A84"/>
    <w:rsid w:val="002A1DBF"/>
    <w:rsid w:val="005956C0"/>
    <w:rsid w:val="00A415FD"/>
    <w:rsid w:val="05BE4F1C"/>
    <w:rsid w:val="0D953998"/>
    <w:rsid w:val="176506BB"/>
    <w:rsid w:val="21E37332"/>
    <w:rsid w:val="39135ECB"/>
    <w:rsid w:val="4C1E3D53"/>
    <w:rsid w:val="4DA7696A"/>
    <w:rsid w:val="4E5F36FB"/>
    <w:rsid w:val="529919DC"/>
    <w:rsid w:val="58914A84"/>
    <w:rsid w:val="5B780A8E"/>
    <w:rsid w:val="678659F1"/>
    <w:rsid w:val="690B6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czj.xinyang.gov.cn/uploads/soft/210707/6-210FG53600.xlsx"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4036</Words>
  <Characters>4247</Characters>
  <Lines>27</Lines>
  <Paragraphs>7</Paragraphs>
  <TotalTime>71</TotalTime>
  <ScaleCrop>false</ScaleCrop>
  <LinksUpToDate>false</LinksUpToDate>
  <CharactersWithSpaces>4355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2021-07-14T02:51:00Z</dcterms:created>
  <dc:creator>LENOVO</dc:creator>
  <cp:lastModifiedBy>Administrator</cp:lastModifiedBy>
  <cp:lastPrinted>2022-09-02T00:32:26Z</cp:lastPrinted>
  <dcterms:modified xsi:type="dcterms:W3CDTF">2022-09-02T01:55:11Z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442309FE82D84E6398C4B77AC905F827</vt:lpwstr>
  </property>
</Properties>
</file>