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widowControl w:val="0"/>
        <w:shd w:val="clear" w:color="auto" w:fill="auto"/>
        <w:bidi w:val="0"/>
        <w:spacing w:before="4520" w:after="340" w:line="240" w:lineRule="auto"/>
        <w:ind w:left="0" w:right="0" w:firstLine="1560" w:firstLineChars="300"/>
        <w:jc w:val="both"/>
        <w:rPr>
          <w:sz w:val="52"/>
          <w:szCs w:val="52"/>
        </w:rPr>
      </w:pPr>
      <w:r>
        <w:rPr>
          <w:color w:val="000000"/>
          <w:spacing w:val="0"/>
          <w:w w:val="100"/>
          <w:position w:val="0"/>
          <w:sz w:val="52"/>
          <w:szCs w:val="52"/>
          <w:shd w:val="clear" w:color="auto" w:fill="auto"/>
        </w:rPr>
        <w:t>罗山县发展和改革委员会</w:t>
      </w:r>
    </w:p>
    <w:p>
      <w:pPr>
        <w:pStyle w:val="10"/>
        <w:keepNext w:val="0"/>
        <w:keepLines w:val="0"/>
        <w:widowControl w:val="0"/>
        <w:shd w:val="clear" w:color="auto" w:fill="auto"/>
        <w:bidi w:val="0"/>
        <w:spacing w:before="0" w:after="6040" w:line="240" w:lineRule="auto"/>
        <w:ind w:left="0" w:right="0" w:firstLine="0"/>
        <w:jc w:val="center"/>
        <w:rPr>
          <w:rFonts w:hint="eastAsia" w:eastAsia="黑体"/>
          <w:sz w:val="52"/>
          <w:szCs w:val="52"/>
          <w:lang w:val="en-US" w:eastAsia="zh-CN"/>
        </w:rPr>
      </w:pPr>
      <w:r>
        <w:rPr>
          <w:rFonts w:hint="eastAsia"/>
          <w:color w:val="000000"/>
          <w:spacing w:val="0"/>
          <w:w w:val="100"/>
          <w:position w:val="0"/>
          <w:sz w:val="52"/>
          <w:szCs w:val="52"/>
          <w:shd w:val="clear" w:color="auto" w:fill="auto"/>
          <w:lang w:eastAsia="zh-CN"/>
        </w:rPr>
        <w:t>20</w:t>
      </w:r>
      <w:r>
        <w:rPr>
          <w:rFonts w:hint="eastAsia"/>
          <w:color w:val="000000"/>
          <w:spacing w:val="0"/>
          <w:w w:val="100"/>
          <w:position w:val="0"/>
          <w:sz w:val="52"/>
          <w:szCs w:val="52"/>
          <w:shd w:val="clear" w:color="auto" w:fill="auto"/>
          <w:lang w:val="en-US" w:eastAsia="zh-CN"/>
        </w:rPr>
        <w:t>20</w:t>
      </w:r>
      <w:r>
        <w:rPr>
          <w:color w:val="000000"/>
          <w:spacing w:val="0"/>
          <w:w w:val="100"/>
          <w:position w:val="0"/>
          <w:sz w:val="52"/>
          <w:szCs w:val="52"/>
          <w:shd w:val="clear" w:color="auto" w:fill="auto"/>
        </w:rPr>
        <w:t>年度部门决算</w:t>
      </w:r>
      <w:r>
        <w:rPr>
          <w:rFonts w:hint="eastAsia"/>
          <w:color w:val="000000"/>
          <w:spacing w:val="0"/>
          <w:w w:val="100"/>
          <w:position w:val="0"/>
          <w:sz w:val="52"/>
          <w:szCs w:val="52"/>
          <w:shd w:val="clear" w:color="auto" w:fill="auto"/>
          <w:lang w:val="en-US" w:eastAsia="zh-CN"/>
        </w:rPr>
        <w:t>公开</w:t>
      </w:r>
    </w:p>
    <w:p>
      <w:pPr>
        <w:jc w:val="center"/>
        <w:rPr>
          <w:rFonts w:ascii="黑体" w:hAnsi="黑体" w:eastAsia="黑体" w:cs="黑体"/>
          <w:sz w:val="32"/>
          <w:szCs w:val="32"/>
        </w:rPr>
        <w:sectPr>
          <w:headerReference r:id="rId5" w:type="default"/>
          <w:footerReference r:id="rId6" w:type="default"/>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w:t>
      </w:r>
      <w:r>
        <w:rPr>
          <w:rFonts w:hint="eastAsia" w:ascii="黑体" w:hAnsi="黑体" w:eastAsia="黑体" w:cs="黑体"/>
          <w:sz w:val="32"/>
          <w:szCs w:val="32"/>
          <w:lang w:val="en-US" w:eastAsia="zh-CN"/>
        </w:rPr>
        <w:t>一</w:t>
      </w:r>
      <w:r>
        <w:rPr>
          <w:rFonts w:hint="eastAsia" w:ascii="黑体" w:hAnsi="黑体" w:eastAsia="黑体" w:cs="黑体"/>
          <w:sz w:val="32"/>
          <w:szCs w:val="32"/>
        </w:rPr>
        <w:t>年</w:t>
      </w:r>
      <w:r>
        <w:rPr>
          <w:rFonts w:hint="eastAsia" w:ascii="黑体" w:hAnsi="黑体" w:eastAsia="黑体" w:cs="黑体"/>
          <w:sz w:val="32"/>
          <w:szCs w:val="32"/>
          <w:lang w:val="en-US" w:eastAsia="zh-CN"/>
        </w:rPr>
        <w:t>十</w:t>
      </w:r>
      <w:r>
        <w:rPr>
          <w:rFonts w:hint="eastAsia" w:ascii="黑体" w:hAnsi="黑体" w:eastAsia="黑体" w:cs="黑体"/>
          <w:sz w:val="32"/>
          <w:szCs w:val="32"/>
        </w:rPr>
        <w:t>月</w:t>
      </w:r>
    </w:p>
    <w:p>
      <w:pPr>
        <w:pStyle w:val="11"/>
        <w:keepNext w:val="0"/>
        <w:keepLines w:val="0"/>
        <w:widowControl w:val="0"/>
        <w:shd w:val="clear" w:color="auto" w:fill="auto"/>
        <w:bidi w:val="0"/>
        <w:spacing w:before="0" w:after="0" w:line="240" w:lineRule="auto"/>
        <w:ind w:left="0" w:right="0" w:firstLine="0"/>
        <w:jc w:val="center"/>
        <w:rPr>
          <w:sz w:val="32"/>
          <w:szCs w:val="32"/>
        </w:rPr>
      </w:pPr>
    </w:p>
    <w:p>
      <w:pPr>
        <w:jc w:val="center"/>
        <w:rPr>
          <w:rFonts w:hint="eastAsia" w:ascii="文星标宋" w:hAnsi="文星标宋" w:eastAsia="文星标宋" w:cs="文星标宋"/>
          <w:sz w:val="44"/>
          <w:szCs w:val="44"/>
        </w:rPr>
      </w:pPr>
      <w:r>
        <w:rPr>
          <w:rFonts w:hint="eastAsia" w:ascii="文星标宋" w:hAnsi="文星标宋" w:eastAsia="文星标宋" w:cs="文星标宋"/>
          <w:sz w:val="44"/>
          <w:szCs w:val="44"/>
        </w:rPr>
        <w:t>目</w:t>
      </w:r>
      <w:r>
        <w:rPr>
          <w:rFonts w:hint="eastAsia" w:ascii="文星标宋" w:hAnsi="文星标宋" w:eastAsia="文星标宋" w:cs="文星标宋"/>
          <w:sz w:val="44"/>
          <w:szCs w:val="44"/>
          <w:lang w:val="en-US" w:eastAsia="zh-CN"/>
        </w:rPr>
        <w:t xml:space="preserve">  </w:t>
      </w:r>
      <w:r>
        <w:rPr>
          <w:rFonts w:hint="eastAsia" w:ascii="文星标宋" w:hAnsi="文星标宋" w:eastAsia="文星标宋" w:cs="文星标宋"/>
          <w:sz w:val="44"/>
          <w:szCs w:val="44"/>
        </w:rPr>
        <w:t>录</w:t>
      </w: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第一部分 罗山县发展和改革委员会概况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一、部门职责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w:t>
      </w:r>
      <w:r>
        <w:rPr>
          <w:rFonts w:hint="eastAsia" w:ascii="黑体" w:hAnsi="黑体" w:eastAsia="黑体" w:cs="黑体"/>
          <w:sz w:val="32"/>
          <w:szCs w:val="32"/>
        </w:rPr>
        <w:t xml:space="preserve">部分 </w:t>
      </w:r>
      <w:r>
        <w:rPr>
          <w:rFonts w:hint="eastAsia" w:ascii="黑体" w:hAnsi="黑体" w:eastAsia="黑体" w:cs="黑体"/>
          <w:sz w:val="32"/>
          <w:szCs w:val="32"/>
          <w:lang w:eastAsia="zh-CN"/>
        </w:rPr>
        <w:t>20</w:t>
      </w:r>
      <w:r>
        <w:rPr>
          <w:rFonts w:hint="eastAsia" w:ascii="黑体" w:hAnsi="黑体" w:eastAsia="黑体" w:cs="黑体"/>
          <w:sz w:val="32"/>
          <w:szCs w:val="32"/>
          <w:lang w:val="en-US" w:eastAsia="zh-CN"/>
        </w:rPr>
        <w:t>20</w:t>
      </w:r>
      <w:r>
        <w:rPr>
          <w:rFonts w:hint="eastAsia" w:ascii="黑体" w:hAnsi="黑体" w:eastAsia="黑体" w:cs="黑体"/>
          <w:sz w:val="32"/>
          <w:szCs w:val="32"/>
        </w:rPr>
        <w:t xml:space="preserve">年度部门决算情况说明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一、收入支出决算总体情况说明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七、一般公共预算财政拨款“三公”经费支出决算情况说明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八、预算绩效情况说明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十、机关运行经费支出情况说明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十一、政府采购支出情况说明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十二、国有资产占用情况说明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第三部分</w:t>
      </w:r>
      <w:r>
        <w:rPr>
          <w:rFonts w:hint="eastAsia" w:ascii="黑体" w:hAnsi="黑体" w:eastAsia="黑体" w:cs="黑体"/>
          <w:sz w:val="32"/>
          <w:szCs w:val="32"/>
        </w:rPr>
        <w:t>名词解释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 xml:space="preserve">部分 </w:t>
      </w:r>
      <w:r>
        <w:rPr>
          <w:rFonts w:hint="eastAsia" w:ascii="黑体" w:hAnsi="黑体" w:eastAsia="黑体" w:cs="黑体"/>
          <w:sz w:val="32"/>
          <w:szCs w:val="32"/>
          <w:lang w:eastAsia="zh-CN"/>
        </w:rPr>
        <w:t>2</w:t>
      </w:r>
      <w:r>
        <w:rPr>
          <w:rFonts w:hint="eastAsia" w:ascii="黑体" w:hAnsi="黑体" w:eastAsia="黑体" w:cs="黑体"/>
          <w:sz w:val="32"/>
          <w:szCs w:val="32"/>
          <w:lang w:val="en-US" w:eastAsia="zh-CN"/>
        </w:rPr>
        <w:t>020</w:t>
      </w:r>
      <w:r>
        <w:rPr>
          <w:rFonts w:hint="eastAsia" w:ascii="黑体" w:hAnsi="黑体" w:eastAsia="黑体" w:cs="黑体"/>
          <w:sz w:val="32"/>
          <w:szCs w:val="32"/>
        </w:rPr>
        <w:t xml:space="preserve"> 年度部门决算表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七、一般公共预算财政拨款“三公”经费支出决算表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八、政府性基金预算财政拨款收入支出决算表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文星标宋" w:hAnsi="文星标宋" w:eastAsia="文星标宋" w:cs="文星标宋"/>
          <w:sz w:val="32"/>
          <w:szCs w:val="32"/>
        </w:rPr>
      </w:pPr>
      <w:r>
        <w:rPr>
          <w:rFonts w:hint="eastAsia" w:ascii="文星标宋" w:hAnsi="文星标宋" w:eastAsia="文星标宋" w:cs="文星标宋"/>
          <w:sz w:val="32"/>
          <w:szCs w:val="32"/>
        </w:rPr>
        <w:t>第一部分 罗山县发展和改革委员会概况</w:t>
      </w:r>
    </w:p>
    <w:p>
      <w:pPr>
        <w:keepNext w:val="0"/>
        <w:keepLines w:val="0"/>
        <w:pageBreakBefore w:val="0"/>
        <w:widowControl w:val="0"/>
        <w:kinsoku/>
        <w:wordWrap/>
        <w:overflowPunct/>
        <w:topLinePunct w:val="0"/>
        <w:autoSpaceDE/>
        <w:autoSpaceDN/>
        <w:bidi w:val="0"/>
        <w:adjustRightInd/>
        <w:snapToGrid/>
        <w:spacing w:line="360" w:lineRule="auto"/>
        <w:ind w:firstLine="960" w:firstLineChars="3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部门职责</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拟定并组织实施全县国民经济和社会发展中长期规划和年度计划。（二）提出全县加快建设现代化经济体系、推动高质量发展的总体目标、重大任务以及相关政策。（三）统筹提出全县国民经济和社会发展主要目标，监测预测预警宏观经济和社会发展态势趋势，提出政策建议。（四）指导推进和综合协调全县经济体制改革有关工作，提出相关改革建议，牵头推进供给侧结构性改革，牵头推进优化营商环境工作。（五）提出全县利用外资和境外投资的规划、总量平衡和结构优化政策。（六）负责全县投资综合管理。（七）推进落实国家和省、市级区域协调发展战略型城镇化战略和重大政策，组织拟订相关区域规划和政策统筹推进实施国家、省、市重大区域发展战略。（八）组织拟订全县综合性产业政策。（九）推动实施全县创新驱动发展。（十）跟踪研判全县涉及经济安全、生态安全、资源安全、科技安全、社会安全等的各类风险隐患，提出相关工作建议。（十一）负责全县社会发展与国民经济发展的政策衔接、协调有关重大问题。（十二）推进实施可持续发展战略，推动生态文明建设，协调生态环境保护与修复、能源资源节约和综合利用等工作。（十三）会同有关部门拟定推进全县经济建设与国防建设协调发展的规划和政策。（十四）健全完善全县统一规范的公共资源交易平台。（十五）研究提出全县粮食流通和物流储备产业发展战略的建议。（十六）承担罗山县重大项目建设领导小组等有关具体工作。（十七）完成县委、县政府交办的其它任务</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二、机构设置</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根据上述职责，县发展和改革委员会设 11个内设机构。 （一）办公室（人事股）；（二）国民经济综合股（罗山县公共资源交易管理委员会办公室）（三）固定资产投资股；（四）工业经济发展股；（五）农村经济股和地方振兴股（罗山县以工代赈办公室）；（六）城镇和服务业发展股；（七）外资和财政金融股（罗山县社会信用体系建设领导小组办公室）；（八）罗山县能源规划建设股 ；（九）社会事业发展股；（十） 罗山县物价管理办公室；（十一）罗山县粮食和物质储备办公室。</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从决算单位构成看，罗山县</w:t>
      </w:r>
      <w:r>
        <w:rPr>
          <w:rFonts w:hint="eastAsia" w:ascii="仿宋_GB2312" w:hAnsi="仿宋_GB2312" w:eastAsia="仿宋_GB2312" w:cs="仿宋_GB2312"/>
          <w:sz w:val="32"/>
          <w:szCs w:val="32"/>
        </w:rPr>
        <w:t>发</w:t>
      </w:r>
      <w:r>
        <w:rPr>
          <w:rFonts w:hint="eastAsia" w:ascii="仿宋_GB2312" w:hAnsi="仿宋_GB2312" w:eastAsia="仿宋_GB2312" w:cs="仿宋_GB2312"/>
          <w:sz w:val="32"/>
          <w:szCs w:val="32"/>
          <w:lang w:val="en-US" w:eastAsia="zh-CN"/>
        </w:rPr>
        <w:t>展和改革委会</w:t>
      </w:r>
      <w:r>
        <w:rPr>
          <w:rFonts w:hint="eastAsia" w:ascii="仿宋_GB2312" w:hAnsi="仿宋_GB2312" w:eastAsia="仿宋_GB2312" w:cs="仿宋_GB2312"/>
          <w:sz w:val="32"/>
          <w:szCs w:val="32"/>
        </w:rPr>
        <w:t>部门决算</w:t>
      </w:r>
      <w:r>
        <w:rPr>
          <w:rFonts w:hint="eastAsia" w:ascii="仿宋_GB2312" w:hAnsi="仿宋_GB2312" w:eastAsia="仿宋_GB2312" w:cs="仿宋_GB2312"/>
          <w:sz w:val="32"/>
          <w:szCs w:val="32"/>
          <w:lang w:val="en-US" w:eastAsia="zh-CN"/>
        </w:rPr>
        <w:t>为：本级决算。</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纳入本部门2020年度部门决算编制范围的单位共1个，具体是</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发改委本级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文星标宋" w:hAnsi="文星标宋" w:eastAsia="文星标宋" w:cs="文星标宋"/>
          <w:sz w:val="32"/>
          <w:szCs w:val="32"/>
          <w:lang w:val="en-US" w:eastAsia="zh-CN"/>
        </w:rPr>
      </w:pPr>
      <w:r>
        <w:rPr>
          <w:rFonts w:hint="eastAsia" w:ascii="文星标宋" w:hAnsi="文星标宋" w:eastAsia="文星标宋" w:cs="文星标宋"/>
          <w:sz w:val="32"/>
          <w:szCs w:val="32"/>
          <w:lang w:val="en-US" w:eastAsia="zh-CN"/>
        </w:rPr>
        <w:t>第二部分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文星标宋" w:hAnsi="文星标宋" w:eastAsia="文星标宋" w:cs="文星标宋"/>
          <w:sz w:val="32"/>
          <w:szCs w:val="32"/>
          <w:lang w:val="en-US" w:eastAsia="zh-CN"/>
        </w:rPr>
      </w:pPr>
      <w:r>
        <w:rPr>
          <w:rFonts w:hint="eastAsia" w:ascii="文星标宋" w:hAnsi="文星标宋" w:eastAsia="文星标宋" w:cs="文星标宋"/>
          <w:sz w:val="32"/>
          <w:szCs w:val="32"/>
          <w:lang w:val="en-US" w:eastAsia="zh-CN"/>
        </w:rPr>
        <w:t>罗山县发展和改革委员会</w:t>
      </w:r>
      <w:r>
        <w:rPr>
          <w:rFonts w:hint="eastAsia" w:ascii="文星标宋" w:hAnsi="文星标宋" w:eastAsia="文星标宋" w:cs="文星标宋"/>
          <w:sz w:val="32"/>
          <w:szCs w:val="32"/>
          <w:lang w:eastAsia="zh-CN"/>
        </w:rPr>
        <w:t>20</w:t>
      </w:r>
      <w:r>
        <w:rPr>
          <w:rFonts w:hint="eastAsia" w:ascii="文星标宋" w:hAnsi="文星标宋" w:eastAsia="文星标宋" w:cs="文星标宋"/>
          <w:sz w:val="32"/>
          <w:szCs w:val="32"/>
          <w:lang w:val="en-US" w:eastAsia="zh-CN"/>
        </w:rPr>
        <w:t>20</w:t>
      </w:r>
      <w:r>
        <w:rPr>
          <w:rFonts w:hint="eastAsia" w:ascii="文星标宋" w:hAnsi="文星标宋" w:eastAsia="文星标宋" w:cs="文星标宋"/>
          <w:sz w:val="32"/>
          <w:szCs w:val="32"/>
        </w:rPr>
        <w:t>年度部门决算情况说明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一、关于收入支出决算总体情况说明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color w:val="0000FF"/>
          <w:sz w:val="32"/>
          <w:szCs w:val="32"/>
          <w:lang w:val="en-US" w:eastAsia="zh-CN"/>
        </w:rPr>
      </w:pP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年度收</w:t>
      </w:r>
      <w:r>
        <w:rPr>
          <w:rFonts w:hint="eastAsia" w:ascii="仿宋_GB2312" w:hAnsi="仿宋_GB2312" w:eastAsia="仿宋_GB2312" w:cs="仿宋_GB2312"/>
          <w:sz w:val="32"/>
          <w:szCs w:val="32"/>
          <w:lang w:val="en-US" w:eastAsia="zh-CN"/>
        </w:rPr>
        <w:t>支</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1915.62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其中:2020年财政拨款收入957.25万元，年初结转和结余958.37万元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 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年相比，收</w:t>
      </w:r>
      <w:r>
        <w:rPr>
          <w:rFonts w:hint="eastAsia" w:ascii="仿宋_GB2312" w:hAnsi="仿宋_GB2312" w:eastAsia="仿宋_GB2312" w:cs="仿宋_GB2312"/>
          <w:sz w:val="32"/>
          <w:szCs w:val="32"/>
          <w:lang w:val="en-US" w:eastAsia="zh-CN"/>
        </w:rPr>
        <w:t>、支总计各减少1610.66万元，下降45.7%，</w:t>
      </w:r>
      <w:r>
        <w:rPr>
          <w:rFonts w:hint="eastAsia" w:ascii="仿宋_GB2312" w:hAnsi="仿宋_GB2312" w:eastAsia="仿宋_GB2312" w:cs="仿宋_GB2312"/>
          <w:sz w:val="32"/>
          <w:szCs w:val="32"/>
        </w:rPr>
        <w:t>收</w:t>
      </w:r>
      <w:r>
        <w:rPr>
          <w:rFonts w:hint="eastAsia" w:ascii="仿宋_GB2312" w:hAnsi="仿宋_GB2312" w:eastAsia="仿宋_GB2312" w:cs="仿宋_GB2312"/>
          <w:color w:val="auto"/>
          <w:sz w:val="32"/>
          <w:szCs w:val="32"/>
        </w:rPr>
        <w:t>支增减变动主要原因是</w:t>
      </w:r>
      <w:r>
        <w:rPr>
          <w:rFonts w:hint="eastAsia" w:ascii="仿宋_GB2312" w:hAnsi="仿宋_GB2312" w:eastAsia="仿宋_GB2312" w:cs="仿宋_GB2312"/>
          <w:color w:val="auto"/>
          <w:sz w:val="32"/>
          <w:szCs w:val="32"/>
          <w:lang w:val="en-US" w:eastAsia="zh-CN"/>
        </w:rPr>
        <w:t>合理控制开支。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二、关于收入决算情况说明</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161" w:leftChars="67"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 xml:space="preserve"> 年度收入合计 </w:t>
      </w:r>
      <w:r>
        <w:rPr>
          <w:rFonts w:hint="eastAsia" w:ascii="仿宋_GB2312" w:hAnsi="仿宋_GB2312" w:eastAsia="仿宋_GB2312" w:cs="仿宋_GB2312"/>
          <w:sz w:val="32"/>
          <w:szCs w:val="32"/>
          <w:lang w:val="en-US" w:eastAsia="zh-CN"/>
        </w:rPr>
        <w:t>957.25</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957.25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占</w:t>
      </w:r>
      <w:r>
        <w:rPr>
          <w:rFonts w:hint="eastAsia" w:ascii="仿宋_GB2312" w:hAnsi="仿宋_GB2312" w:eastAsia="仿宋_GB2312" w:cs="仿宋_GB2312"/>
          <w:sz w:val="32"/>
          <w:szCs w:val="32"/>
        </w:rPr>
        <w:t>100%。</w:t>
      </w:r>
      <w:r>
        <w:rPr>
          <w:rFonts w:hint="eastAsia" w:ascii="仿宋_GB2312" w:eastAsia="仿宋_GB2312"/>
          <w:sz w:val="32"/>
          <w:szCs w:val="32"/>
        </w:rPr>
        <w:t>上级补助收入 0.00万元，占0.00%；事业收入</w:t>
      </w:r>
      <w:r>
        <w:rPr>
          <w:rFonts w:hint="eastAsia" w:ascii="仿宋_GB2312" w:eastAsia="仿宋_GB2312"/>
          <w:sz w:val="32"/>
          <w:szCs w:val="32"/>
          <w:lang w:val="en-US" w:eastAsia="zh-CN"/>
        </w:rPr>
        <w:t>0</w:t>
      </w:r>
      <w:r>
        <w:rPr>
          <w:rFonts w:hint="eastAsia" w:ascii="仿宋_GB2312" w:eastAsia="仿宋_GB2312"/>
          <w:sz w:val="32"/>
          <w:szCs w:val="32"/>
        </w:rPr>
        <w:t xml:space="preserve">.00万元，占 </w:t>
      </w:r>
      <w:r>
        <w:rPr>
          <w:rFonts w:hint="eastAsia" w:ascii="仿宋_GB2312" w:eastAsia="仿宋_GB2312"/>
          <w:sz w:val="32"/>
          <w:szCs w:val="32"/>
          <w:lang w:val="en-US" w:eastAsia="zh-CN"/>
        </w:rPr>
        <w:t>0.00</w:t>
      </w:r>
      <w:r>
        <w:rPr>
          <w:rFonts w:hint="eastAsia" w:ascii="仿宋_GB2312" w:eastAsia="仿宋_GB2312"/>
          <w:sz w:val="32"/>
          <w:szCs w:val="32"/>
        </w:rPr>
        <w:t>%；经营收入0.00万元，占0.00%；附属单位上缴收入 0.00万元，占0.00%；其他收入</w:t>
      </w:r>
      <w:r>
        <w:rPr>
          <w:rFonts w:hint="eastAsia" w:ascii="仿宋_GB2312" w:eastAsia="仿宋_GB2312"/>
          <w:sz w:val="32"/>
          <w:szCs w:val="32"/>
          <w:lang w:val="en-US" w:eastAsia="zh-CN"/>
        </w:rPr>
        <w:t>0.00</w:t>
      </w:r>
      <w:r>
        <w:rPr>
          <w:rFonts w:hint="eastAsia" w:ascii="仿宋_GB2312" w:eastAsia="仿宋_GB2312"/>
          <w:sz w:val="32"/>
          <w:szCs w:val="32"/>
        </w:rPr>
        <w:t>万元，占 0.00%。</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三、关于支出决算情况说明</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020</w:t>
      </w:r>
      <w:r>
        <w:rPr>
          <w:rFonts w:hint="eastAsia" w:ascii="仿宋_GB2312" w:hAnsi="仿宋_GB2312" w:eastAsia="仿宋_GB2312" w:cs="仿宋_GB2312"/>
          <w:sz w:val="32"/>
          <w:szCs w:val="32"/>
        </w:rPr>
        <w:t xml:space="preserve"> 年度支出合计 </w:t>
      </w:r>
      <w:r>
        <w:rPr>
          <w:rFonts w:hint="eastAsia" w:ascii="仿宋_GB2312" w:hAnsi="仿宋_GB2312" w:eastAsia="仿宋_GB2312" w:cs="仿宋_GB2312"/>
          <w:sz w:val="32"/>
          <w:szCs w:val="32"/>
          <w:lang w:val="en-US" w:eastAsia="zh-CN"/>
        </w:rPr>
        <w:t>1915.62</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602.72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 xml:space="preserve">%，项目支出 </w:t>
      </w:r>
      <w:r>
        <w:rPr>
          <w:rFonts w:hint="eastAsia" w:ascii="仿宋_GB2312" w:hAnsi="仿宋_GB2312" w:eastAsia="仿宋_GB2312" w:cs="仿宋_GB2312"/>
          <w:sz w:val="32"/>
          <w:szCs w:val="32"/>
          <w:lang w:val="en-US" w:eastAsia="zh-CN"/>
        </w:rPr>
        <w:t>1312.9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占69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eastAsia="仿宋_GB2312"/>
          <w:sz w:val="32"/>
          <w:szCs w:val="32"/>
        </w:rPr>
        <w:t>上缴上级支出0.00万元，占 0.00%；经营支出0.00万元，占0.00%；对附属单位补助支出 0.00万元，占0.00%。</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关于财政拨款收入支出决算总体情况说明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财政拨款</w:t>
      </w:r>
      <w:r>
        <w:rPr>
          <w:rFonts w:hint="eastAsia" w:ascii="仿宋_GB2312" w:hAnsi="仿宋_GB2312" w:eastAsia="仿宋_GB2312" w:cs="仿宋_GB2312"/>
          <w:sz w:val="32"/>
          <w:szCs w:val="32"/>
        </w:rPr>
        <w:t>收</w:t>
      </w:r>
      <w:r>
        <w:rPr>
          <w:rFonts w:hint="eastAsia" w:ascii="仿宋_GB2312" w:hAnsi="仿宋_GB2312" w:eastAsia="仿宋_GB2312" w:cs="仿宋_GB2312"/>
          <w:sz w:val="32"/>
          <w:szCs w:val="32"/>
          <w:lang w:val="en-US" w:eastAsia="zh-CN"/>
        </w:rPr>
        <w:t>入</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1915.62</w:t>
      </w:r>
      <w:r>
        <w:rPr>
          <w:rFonts w:hint="eastAsia" w:ascii="仿宋_GB2312" w:hAnsi="仿宋_GB2312" w:eastAsia="仿宋_GB2312" w:cs="仿宋_GB2312"/>
          <w:sz w:val="32"/>
          <w:szCs w:val="32"/>
        </w:rPr>
        <w:t>万元，支出总计</w:t>
      </w:r>
      <w:r>
        <w:rPr>
          <w:rFonts w:hint="eastAsia" w:ascii="仿宋_GB2312" w:hAnsi="仿宋_GB2312" w:eastAsia="仿宋_GB2312" w:cs="仿宋_GB2312"/>
          <w:sz w:val="32"/>
          <w:szCs w:val="32"/>
          <w:lang w:val="en-US" w:eastAsia="zh-CN"/>
        </w:rPr>
        <w:t>1915.62</w:t>
      </w:r>
      <w:r>
        <w:rPr>
          <w:rFonts w:hint="eastAsia" w:ascii="仿宋_GB2312" w:hAnsi="仿宋_GB2312" w:eastAsia="仿宋_GB2312" w:cs="仿宋_GB2312"/>
          <w:sz w:val="32"/>
          <w:szCs w:val="32"/>
        </w:rPr>
        <w:t>万元，与 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年相比，</w:t>
      </w:r>
      <w:r>
        <w:rPr>
          <w:rFonts w:hint="eastAsia" w:ascii="仿宋_GB2312" w:eastAsia="仿宋_GB2312"/>
          <w:sz w:val="32"/>
          <w:szCs w:val="32"/>
        </w:rPr>
        <w:t>财政拨款收、支总计各</w:t>
      </w:r>
      <w:r>
        <w:rPr>
          <w:rFonts w:hint="eastAsia" w:ascii="仿宋_GB2312" w:hAnsi="仿宋_GB2312" w:eastAsia="仿宋_GB2312" w:cs="仿宋_GB2312"/>
          <w:sz w:val="32"/>
          <w:szCs w:val="32"/>
          <w:lang w:val="en-US" w:eastAsia="zh-CN"/>
        </w:rPr>
        <w:t>减少1610.66万元，减少45.7%，</w:t>
      </w:r>
      <w:r>
        <w:rPr>
          <w:rFonts w:hint="eastAsia" w:ascii="仿宋_GB2312" w:hAnsi="仿宋_GB2312" w:eastAsia="仿宋_GB2312" w:cs="仿宋_GB2312"/>
          <w:color w:val="auto"/>
          <w:sz w:val="32"/>
          <w:szCs w:val="32"/>
        </w:rPr>
        <w:t>主要原因</w:t>
      </w:r>
      <w:r>
        <w:rPr>
          <w:rFonts w:hint="eastAsia" w:ascii="仿宋_GB2312" w:hAnsi="仿宋_GB2312" w:eastAsia="仿宋_GB2312" w:cs="仿宋_GB2312"/>
          <w:color w:val="auto"/>
          <w:sz w:val="32"/>
          <w:szCs w:val="32"/>
          <w:lang w:val="en-US" w:eastAsia="zh-CN"/>
        </w:rPr>
        <w:t>是合理控制开支。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五、关于一般公共预算财政拨款支出决算情况说明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（一）财政拨款支出决算总体情况。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 xml:space="preserve">年一般公共预算财政拨款支出 </w:t>
      </w:r>
      <w:r>
        <w:rPr>
          <w:rFonts w:hint="eastAsia" w:ascii="仿宋_GB2312" w:hAnsi="仿宋_GB2312" w:eastAsia="仿宋_GB2312" w:cs="仿宋_GB2312"/>
          <w:sz w:val="32"/>
          <w:szCs w:val="32"/>
          <w:lang w:val="en-US" w:eastAsia="zh-CN"/>
        </w:rPr>
        <w:t>1915.62</w:t>
      </w:r>
      <w:r>
        <w:rPr>
          <w:rFonts w:hint="eastAsia" w:ascii="仿宋_GB2312" w:hAnsi="仿宋_GB2312" w:eastAsia="仿宋_GB2312" w:cs="仿宋_GB2312"/>
          <w:sz w:val="32"/>
          <w:szCs w:val="32"/>
        </w:rPr>
        <w:t xml:space="preserve"> 万元，占支出合计的100%。与201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年相比，一般公共预算财政拨款支出</w:t>
      </w:r>
      <w:r>
        <w:rPr>
          <w:rFonts w:hint="eastAsia" w:ascii="仿宋_GB2312" w:hAnsi="仿宋_GB2312" w:eastAsia="仿宋_GB2312" w:cs="仿宋_GB2312"/>
          <w:sz w:val="32"/>
          <w:szCs w:val="32"/>
          <w:lang w:val="en-US" w:eastAsia="zh-CN"/>
        </w:rPr>
        <w:t>减少652.28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下降25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主要原因是合理控制开支。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（二）财政拨款支出决算结构情况。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 xml:space="preserve">年度一般公共预算财政拨款支出 </w:t>
      </w:r>
      <w:r>
        <w:rPr>
          <w:rFonts w:hint="eastAsia" w:ascii="仿宋_GB2312" w:hAnsi="仿宋_GB2312" w:eastAsia="仿宋_GB2312" w:cs="仿宋_GB2312"/>
          <w:sz w:val="32"/>
          <w:szCs w:val="32"/>
          <w:lang w:val="en-US" w:eastAsia="zh-CN"/>
        </w:rPr>
        <w:t>1915.62</w:t>
      </w:r>
      <w:r>
        <w:rPr>
          <w:rFonts w:hint="eastAsia" w:ascii="仿宋_GB2312" w:hAnsi="仿宋_GB2312" w:eastAsia="仿宋_GB2312" w:cs="仿宋_GB2312"/>
          <w:sz w:val="32"/>
          <w:szCs w:val="32"/>
        </w:rPr>
        <w:t>万元，主要用于以下方面：一般公共服务支出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1641.07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86</w:t>
      </w:r>
      <w:r>
        <w:rPr>
          <w:rFonts w:hint="eastAsia" w:ascii="仿宋_GB2312" w:hAnsi="仿宋_GB2312" w:eastAsia="仿宋_GB2312" w:cs="仿宋_GB2312"/>
          <w:sz w:val="32"/>
          <w:szCs w:val="32"/>
        </w:rPr>
        <w:t xml:space="preserve">%； 社会保障和就业支出 </w:t>
      </w:r>
      <w:r>
        <w:rPr>
          <w:rFonts w:hint="eastAsia" w:ascii="仿宋_GB2312" w:hAnsi="仿宋_GB2312" w:eastAsia="仿宋_GB2312" w:cs="仿宋_GB2312"/>
          <w:sz w:val="32"/>
          <w:szCs w:val="32"/>
          <w:lang w:val="en-US" w:eastAsia="zh-CN"/>
        </w:rPr>
        <w:t>(类）52.1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%；医疗卫生与计划生育支出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19.89</w:t>
      </w:r>
      <w:r>
        <w:rPr>
          <w:rFonts w:hint="eastAsia" w:ascii="仿宋_GB2312" w:hAnsi="仿宋_GB2312" w:eastAsia="仿宋_GB2312" w:cs="仿宋_GB2312"/>
          <w:sz w:val="32"/>
          <w:szCs w:val="32"/>
        </w:rPr>
        <w:t>万元，占1%；</w:t>
      </w:r>
      <w:r>
        <w:rPr>
          <w:rFonts w:hint="eastAsia" w:ascii="仿宋_GB2312" w:hAnsi="仿宋_GB2312" w:eastAsia="仿宋_GB2312" w:cs="仿宋_GB2312"/>
          <w:sz w:val="32"/>
          <w:szCs w:val="32"/>
          <w:lang w:val="en-US" w:eastAsia="zh-CN"/>
        </w:rPr>
        <w:t>农林水支出（类）175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27.56</w:t>
      </w:r>
      <w:r>
        <w:rPr>
          <w:rFonts w:hint="eastAsia" w:ascii="仿宋_GB2312" w:hAnsi="仿宋_GB2312" w:eastAsia="仿宋_GB2312" w:cs="仿宋_GB2312"/>
          <w:sz w:val="32"/>
          <w:szCs w:val="32"/>
        </w:rPr>
        <w:t>万元，占1%。</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（三）财政拨款支出决算具体情况。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年度一般公共预算财政拨款支出年初预算为</w:t>
      </w:r>
      <w:r>
        <w:rPr>
          <w:rFonts w:hint="eastAsia" w:ascii="仿宋_GB2312" w:hAnsi="仿宋_GB2312" w:eastAsia="仿宋_GB2312" w:cs="仿宋_GB2312"/>
          <w:sz w:val="32"/>
          <w:szCs w:val="32"/>
          <w:lang w:val="en-US" w:eastAsia="zh-CN"/>
        </w:rPr>
        <w:t>514.12</w:t>
      </w:r>
      <w:r>
        <w:rPr>
          <w:rFonts w:hint="eastAsia" w:ascii="仿宋_GB2312" w:hAnsi="仿宋_GB2312" w:eastAsia="仿宋_GB2312" w:cs="仿宋_GB2312"/>
          <w:sz w:val="32"/>
          <w:szCs w:val="32"/>
        </w:rPr>
        <w:t xml:space="preserve">万 元，支出决算为 </w:t>
      </w:r>
      <w:r>
        <w:rPr>
          <w:rFonts w:hint="eastAsia" w:ascii="仿宋_GB2312" w:hAnsi="仿宋_GB2312" w:eastAsia="仿宋_GB2312" w:cs="仿宋_GB2312"/>
          <w:sz w:val="32"/>
          <w:szCs w:val="32"/>
          <w:lang w:val="en-US" w:eastAsia="zh-CN"/>
        </w:rPr>
        <w:t>1915.62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372</w:t>
      </w:r>
      <w:r>
        <w:rPr>
          <w:rFonts w:hint="eastAsia" w:ascii="仿宋_GB2312" w:hAnsi="仿宋_GB2312" w:eastAsia="仿宋_GB2312" w:cs="仿宋_GB2312"/>
          <w:sz w:val="32"/>
          <w:szCs w:val="32"/>
        </w:rPr>
        <w:t>%。决算数大于预算数的主要原因：</w:t>
      </w:r>
      <w:r>
        <w:rPr>
          <w:rFonts w:hint="eastAsia" w:ascii="仿宋_GB2312" w:hAnsi="仿宋_GB2312" w:eastAsia="仿宋_GB2312" w:cs="仿宋_GB2312"/>
          <w:sz w:val="32"/>
          <w:szCs w:val="32"/>
          <w:lang w:val="en-US" w:eastAsia="zh-CN"/>
        </w:rPr>
        <w:t>财政增拨了</w:t>
      </w:r>
      <w:r>
        <w:rPr>
          <w:rFonts w:hint="eastAsia" w:ascii="仿宋_GB2312" w:hAnsi="仿宋_GB2312" w:eastAsia="仿宋_GB2312" w:cs="仿宋_GB2312"/>
          <w:color w:val="auto"/>
          <w:sz w:val="32"/>
          <w:szCs w:val="32"/>
        </w:rPr>
        <w:t>政府项目资金。</w:t>
      </w:r>
      <w:r>
        <w:rPr>
          <w:rFonts w:hint="eastAsia" w:ascii="仿宋_GB2312" w:hAnsi="仿宋_GB2312" w:eastAsia="仿宋_GB2312" w:cs="仿宋_GB2312"/>
          <w:sz w:val="32"/>
          <w:szCs w:val="32"/>
        </w:rPr>
        <w:t>其中：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一般公共服务</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（类）发展与改革事务（款）行政运行（项）。年初预算为</w:t>
      </w:r>
      <w:r>
        <w:rPr>
          <w:rFonts w:hint="eastAsia" w:ascii="仿宋_GB2312" w:hAnsi="仿宋_GB2312" w:eastAsia="仿宋_GB2312" w:cs="仿宋_GB2312"/>
          <w:sz w:val="32"/>
          <w:szCs w:val="32"/>
          <w:lang w:val="en-US" w:eastAsia="zh-CN"/>
        </w:rPr>
        <w:t>417.42万</w:t>
      </w:r>
      <w:r>
        <w:rPr>
          <w:rFonts w:hint="eastAsia" w:ascii="仿宋_GB2312" w:hAnsi="仿宋_GB2312" w:eastAsia="仿宋_GB2312" w:cs="仿宋_GB2312"/>
          <w:sz w:val="32"/>
          <w:szCs w:val="32"/>
        </w:rPr>
        <w:t xml:space="preserve">元，支出决算为 </w:t>
      </w:r>
      <w:r>
        <w:rPr>
          <w:rFonts w:hint="eastAsia" w:ascii="仿宋_GB2312" w:hAnsi="仿宋_GB2312" w:eastAsia="仿宋_GB2312" w:cs="仿宋_GB2312"/>
          <w:sz w:val="32"/>
          <w:szCs w:val="32"/>
          <w:lang w:val="en-US" w:eastAsia="zh-CN"/>
        </w:rPr>
        <w:t>798.96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191</w:t>
      </w:r>
      <w:r>
        <w:rPr>
          <w:rFonts w:hint="eastAsia" w:ascii="仿宋_GB2312" w:hAnsi="仿宋_GB2312" w:eastAsia="仿宋_GB2312" w:cs="仿宋_GB2312"/>
          <w:sz w:val="32"/>
          <w:szCs w:val="32"/>
        </w:rPr>
        <w:t>%。决算数大于预算数的主要原因是</w:t>
      </w:r>
      <w:r>
        <w:rPr>
          <w:rFonts w:hint="eastAsia" w:ascii="仿宋_GB2312" w:hAnsi="仿宋_GB2312" w:eastAsia="仿宋_GB2312" w:cs="仿宋_GB2312"/>
          <w:sz w:val="32"/>
          <w:szCs w:val="32"/>
          <w:lang w:val="en-US" w:eastAsia="zh-CN"/>
        </w:rPr>
        <w:t>增人增资，工资晋级晋档及单位运行经费增加。</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一般公共服务</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（类）发展与改革事务（款）</w:t>
      </w:r>
      <w:r>
        <w:rPr>
          <w:rFonts w:hint="eastAsia" w:ascii="仿宋_GB2312" w:hAnsi="仿宋_GB2312" w:eastAsia="仿宋_GB2312" w:cs="仿宋_GB2312"/>
          <w:sz w:val="32"/>
          <w:szCs w:val="32"/>
          <w:lang w:val="en-US" w:eastAsia="zh-CN"/>
        </w:rPr>
        <w:t>一般行政管理事务</w:t>
      </w:r>
      <w:r>
        <w:rPr>
          <w:rFonts w:hint="eastAsia" w:ascii="仿宋_GB2312" w:hAnsi="仿宋_GB2312" w:eastAsia="仿宋_GB2312" w:cs="仿宋_GB2312"/>
          <w:sz w:val="32"/>
          <w:szCs w:val="32"/>
        </w:rPr>
        <w:t>（项）。年初预算为</w:t>
      </w:r>
      <w:r>
        <w:rPr>
          <w:rFonts w:hint="eastAsia" w:ascii="仿宋_GB2312" w:hAnsi="仿宋_GB2312" w:eastAsia="仿宋_GB2312" w:cs="仿宋_GB2312"/>
          <w:sz w:val="32"/>
          <w:szCs w:val="32"/>
          <w:lang w:val="en-US" w:eastAsia="zh-CN"/>
        </w:rPr>
        <w:t>0万</w:t>
      </w:r>
      <w:r>
        <w:rPr>
          <w:rFonts w:hint="eastAsia" w:ascii="仿宋_GB2312" w:hAnsi="仿宋_GB2312" w:eastAsia="仿宋_GB2312" w:cs="仿宋_GB2312"/>
          <w:sz w:val="32"/>
          <w:szCs w:val="32"/>
        </w:rPr>
        <w:t xml:space="preserve">元，支出决算为 </w:t>
      </w:r>
      <w:r>
        <w:rPr>
          <w:rFonts w:hint="eastAsia" w:ascii="仿宋_GB2312" w:hAnsi="仿宋_GB2312" w:eastAsia="仿宋_GB2312" w:cs="仿宋_GB2312"/>
          <w:sz w:val="32"/>
          <w:szCs w:val="32"/>
          <w:lang w:val="en-US" w:eastAsia="zh-CN"/>
        </w:rPr>
        <w:t>645.08</w:t>
      </w:r>
      <w:r>
        <w:rPr>
          <w:rFonts w:hint="eastAsia" w:ascii="仿宋_GB2312" w:hAnsi="仿宋_GB2312" w:eastAsia="仿宋_GB2312" w:cs="仿宋_GB2312"/>
          <w:sz w:val="32"/>
          <w:szCs w:val="32"/>
        </w:rPr>
        <w:t>万元，决算数大于预算数的主要原因是</w:t>
      </w:r>
      <w:r>
        <w:rPr>
          <w:rFonts w:hint="eastAsia" w:ascii="仿宋_GB2312" w:hAnsi="仿宋_GB2312" w:eastAsia="仿宋_GB2312" w:cs="仿宋_GB2312"/>
          <w:sz w:val="32"/>
          <w:szCs w:val="32"/>
          <w:lang w:val="en-US" w:eastAsia="zh-CN"/>
        </w:rPr>
        <w:t>财政增拨了单位公用运行经费和项目运行经费。</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一般公共服务</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（类）发展与改革事务（款）</w:t>
      </w:r>
      <w:r>
        <w:rPr>
          <w:rFonts w:hint="eastAsia" w:ascii="仿宋_GB2312" w:hAnsi="仿宋_GB2312" w:eastAsia="仿宋_GB2312" w:cs="仿宋_GB2312"/>
          <w:sz w:val="32"/>
          <w:szCs w:val="32"/>
          <w:lang w:val="en-US" w:eastAsia="zh-CN"/>
        </w:rPr>
        <w:t>社会事业发展规划</w:t>
      </w:r>
      <w:r>
        <w:rPr>
          <w:rFonts w:hint="eastAsia" w:ascii="仿宋_GB2312" w:hAnsi="仿宋_GB2312" w:eastAsia="仿宋_GB2312" w:cs="仿宋_GB2312"/>
          <w:sz w:val="32"/>
          <w:szCs w:val="32"/>
        </w:rPr>
        <w:t xml:space="preserve">（项）。年初预算为 </w:t>
      </w:r>
      <w:r>
        <w:rPr>
          <w:rFonts w:hint="eastAsia" w:ascii="仿宋_GB2312" w:hAnsi="仿宋_GB2312" w:eastAsia="仿宋_GB2312" w:cs="仿宋_GB2312"/>
          <w:sz w:val="32"/>
          <w:szCs w:val="32"/>
          <w:lang w:val="en-US" w:eastAsia="zh-CN"/>
        </w:rPr>
        <w:t>0万</w:t>
      </w:r>
      <w:r>
        <w:rPr>
          <w:rFonts w:hint="eastAsia" w:ascii="仿宋_GB2312" w:hAnsi="仿宋_GB2312" w:eastAsia="仿宋_GB2312" w:cs="仿宋_GB2312"/>
          <w:sz w:val="32"/>
          <w:szCs w:val="32"/>
        </w:rPr>
        <w:t xml:space="preserve">元，支出决算为 </w:t>
      </w:r>
      <w:r>
        <w:rPr>
          <w:rFonts w:hint="eastAsia" w:ascii="仿宋_GB2312" w:hAnsi="仿宋_GB2312" w:eastAsia="仿宋_GB2312" w:cs="仿宋_GB2312"/>
          <w:sz w:val="32"/>
          <w:szCs w:val="32"/>
          <w:lang w:val="en-US" w:eastAsia="zh-CN"/>
        </w:rPr>
        <w:t>27.98</w:t>
      </w:r>
      <w:r>
        <w:rPr>
          <w:rFonts w:hint="eastAsia" w:ascii="仿宋_GB2312" w:hAnsi="仿宋_GB2312" w:eastAsia="仿宋_GB2312" w:cs="仿宋_GB2312"/>
          <w:sz w:val="32"/>
          <w:szCs w:val="32"/>
        </w:rPr>
        <w:t>万元，决算数大于预算数的主要原因是</w:t>
      </w:r>
      <w:r>
        <w:rPr>
          <w:rFonts w:hint="eastAsia" w:ascii="仿宋_GB2312" w:hAnsi="仿宋_GB2312" w:eastAsia="仿宋_GB2312" w:cs="仿宋_GB2312"/>
          <w:sz w:val="32"/>
          <w:szCs w:val="32"/>
          <w:lang w:val="en-US" w:eastAsia="zh-CN"/>
        </w:rPr>
        <w:t>财政增拨了乡村振兴编制经费。</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一般公共服务</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（类）发展与改革事务（款）</w:t>
      </w:r>
      <w:r>
        <w:rPr>
          <w:rFonts w:hint="eastAsia" w:ascii="仿宋_GB2312" w:hAnsi="仿宋_GB2312" w:eastAsia="仿宋_GB2312" w:cs="仿宋_GB2312"/>
          <w:sz w:val="32"/>
          <w:szCs w:val="32"/>
          <w:lang w:val="en-US" w:eastAsia="zh-CN"/>
        </w:rPr>
        <w:t>其他发展与改革事务支出</w:t>
      </w:r>
      <w:r>
        <w:rPr>
          <w:rFonts w:hint="eastAsia" w:ascii="仿宋_GB2312" w:hAnsi="仿宋_GB2312" w:eastAsia="仿宋_GB2312" w:cs="仿宋_GB2312"/>
          <w:sz w:val="32"/>
          <w:szCs w:val="32"/>
        </w:rPr>
        <w:t xml:space="preserve">（项）。年初预算为 </w:t>
      </w:r>
      <w:r>
        <w:rPr>
          <w:rFonts w:hint="eastAsia" w:ascii="仿宋_GB2312" w:hAnsi="仿宋_GB2312" w:eastAsia="仿宋_GB2312" w:cs="仿宋_GB2312"/>
          <w:sz w:val="32"/>
          <w:szCs w:val="32"/>
          <w:lang w:val="en-US" w:eastAsia="zh-CN"/>
        </w:rPr>
        <w:t>0万</w:t>
      </w:r>
      <w:r>
        <w:rPr>
          <w:rFonts w:hint="eastAsia" w:ascii="仿宋_GB2312" w:hAnsi="仿宋_GB2312" w:eastAsia="仿宋_GB2312" w:cs="仿宋_GB2312"/>
          <w:sz w:val="32"/>
          <w:szCs w:val="32"/>
        </w:rPr>
        <w:t xml:space="preserve">元，支出决算为 </w:t>
      </w:r>
      <w:r>
        <w:rPr>
          <w:rFonts w:hint="eastAsia" w:ascii="仿宋_GB2312" w:hAnsi="仿宋_GB2312" w:eastAsia="仿宋_GB2312" w:cs="仿宋_GB2312"/>
          <w:sz w:val="32"/>
          <w:szCs w:val="32"/>
          <w:lang w:val="en-US" w:eastAsia="zh-CN"/>
        </w:rPr>
        <w:t>169.05</w:t>
      </w:r>
      <w:r>
        <w:rPr>
          <w:rFonts w:hint="eastAsia" w:ascii="仿宋_GB2312" w:hAnsi="仿宋_GB2312" w:eastAsia="仿宋_GB2312" w:cs="仿宋_GB2312"/>
          <w:sz w:val="32"/>
          <w:szCs w:val="32"/>
        </w:rPr>
        <w:t>万元，决算数大于预算数的主要原因是</w:t>
      </w:r>
      <w:r>
        <w:rPr>
          <w:rFonts w:hint="eastAsia" w:ascii="仿宋_GB2312" w:hAnsi="仿宋_GB2312" w:eastAsia="仿宋_GB2312" w:cs="仿宋_GB2312"/>
          <w:sz w:val="32"/>
          <w:szCs w:val="32"/>
          <w:lang w:val="en-US" w:eastAsia="zh-CN"/>
        </w:rPr>
        <w:t>财政增拨了项目投资咨询评估费。</w:t>
      </w:r>
    </w:p>
    <w:p>
      <w:pPr>
        <w:pStyle w:val="2"/>
        <w:numPr>
          <w:ilvl w:val="0"/>
          <w:numId w:val="0"/>
        </w:numPr>
        <w:ind w:right="0" w:rightChars="0"/>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5、社会保障和就业支出（类）行政事业养老支出（款）机关事业基本养老保险缴费支出（项）年初预算49.24万元，支出决算为47.48万元，完成年初预算的96%，决算数与预算数差异的主要原因是中途有人员退休；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6、社会保障和就业支出（类）抚恤（款）死亡抚恤（项）年初预算0万元，支出决算为4.62万元，</w:t>
      </w:r>
      <w:r>
        <w:rPr>
          <w:rFonts w:hint="eastAsia" w:ascii="仿宋_GB2312" w:hAnsi="仿宋_GB2312" w:eastAsia="仿宋_GB2312" w:cs="仿宋_GB2312"/>
          <w:sz w:val="32"/>
          <w:szCs w:val="32"/>
        </w:rPr>
        <w:t>决算数大于预算数的</w:t>
      </w:r>
      <w:r>
        <w:rPr>
          <w:rFonts w:hint="eastAsia" w:ascii="仿宋_GB2312" w:hAnsi="仿宋_GB2312" w:eastAsia="仿宋_GB2312" w:cs="仿宋_GB2312"/>
          <w:sz w:val="32"/>
          <w:szCs w:val="32"/>
          <w:lang w:val="en-US" w:eastAsia="zh-CN"/>
        </w:rPr>
        <w:t>主要原因是有离休人员死亡；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7、医疗卫生与计划生育支出（类）行政事业单位医疗（款）行政单位医疗（项）年初预算为19.89万元，支出决算为19.89万元，完成年初预算的100%，决算数与预算数无差异。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8、农林水支出（类）水利（款）其他水利支出（项）</w:t>
      </w:r>
      <w:r>
        <w:rPr>
          <w:rFonts w:hint="eastAsia" w:ascii="仿宋_GB2312" w:hAnsi="仿宋_GB2312" w:eastAsia="仿宋_GB2312" w:cs="仿宋_GB2312"/>
          <w:sz w:val="32"/>
          <w:szCs w:val="32"/>
        </w:rPr>
        <w:t>年初预算为 0</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，支出决算为1</w:t>
      </w:r>
      <w:r>
        <w:rPr>
          <w:rFonts w:hint="eastAsia" w:ascii="仿宋_GB2312" w:hAnsi="仿宋_GB2312" w:eastAsia="仿宋_GB2312" w:cs="仿宋_GB2312"/>
          <w:sz w:val="32"/>
          <w:szCs w:val="32"/>
          <w:lang w:val="en-US" w:eastAsia="zh-CN"/>
        </w:rPr>
        <w:t>75万</w:t>
      </w:r>
      <w:r>
        <w:rPr>
          <w:rFonts w:hint="eastAsia" w:ascii="仿宋_GB2312" w:hAnsi="仿宋_GB2312" w:eastAsia="仿宋_GB2312" w:cs="仿宋_GB2312"/>
          <w:sz w:val="32"/>
          <w:szCs w:val="32"/>
        </w:rPr>
        <w:t>元，决算数大于预算数的主要原因</w:t>
      </w:r>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rPr>
        <w:t>财政增拨</w:t>
      </w:r>
      <w:r>
        <w:rPr>
          <w:rFonts w:hint="eastAsia" w:ascii="仿宋_GB2312" w:hAnsi="仿宋_GB2312" w:eastAsia="仿宋_GB2312" w:cs="仿宋_GB2312"/>
          <w:sz w:val="32"/>
          <w:szCs w:val="32"/>
          <w:lang w:val="en-US" w:eastAsia="zh-CN"/>
        </w:rPr>
        <w:t>了政府基础设施项目专项</w:t>
      </w:r>
      <w:r>
        <w:rPr>
          <w:rFonts w:hint="eastAsia" w:ascii="仿宋_GB2312" w:hAnsi="仿宋_GB2312" w:eastAsia="仿宋_GB2312" w:cs="仿宋_GB2312"/>
          <w:sz w:val="32"/>
          <w:szCs w:val="32"/>
        </w:rPr>
        <w:t>经费。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9、住房保障支出（类）住房改革支出（款）住房公积金（项）年初预算为27.57万元，支出决算为27.56万元，完成年初预算的100%，决算数与预算数无差异。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六、一般公共预算财政拨款基本支出决算情况说明</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161" w:leftChars="67" w:firstLine="480" w:firstLineChars="150"/>
        <w:textAlignment w:val="auto"/>
        <w:rPr>
          <w:rFonts w:hint="eastAsia" w:ascii="仿宋_GB2312" w:hAnsi="仿宋_GB2312" w:eastAsia="仿宋_GB2312" w:cs="仿宋_GB2312"/>
          <w:color w:val="000000"/>
          <w:spacing w:val="0"/>
          <w:w w:val="100"/>
          <w:position w:val="0"/>
          <w:sz w:val="32"/>
          <w:szCs w:val="32"/>
          <w:shd w:val="clear" w:color="auto" w:fill="auto"/>
          <w:lang w:val="en-US" w:eastAsia="zh-CN" w:bidi="en-US"/>
        </w:rPr>
      </w:pPr>
      <w:r>
        <w:rPr>
          <w:rFonts w:hint="eastAsia" w:ascii="仿宋_GB2312" w:hAnsi="仿宋_GB2312" w:eastAsia="仿宋_GB2312" w:cs="仿宋_GB2312"/>
          <w:color w:val="000000"/>
          <w:spacing w:val="0"/>
          <w:w w:val="100"/>
          <w:position w:val="0"/>
          <w:sz w:val="32"/>
          <w:szCs w:val="32"/>
          <w:shd w:val="clear" w:color="auto" w:fill="auto"/>
          <w:lang w:val="en-US" w:eastAsia="zh-CN" w:bidi="en-US"/>
        </w:rPr>
        <w:t>2020 年度一般公共预算财政拨款基本支出602.72万元。其中：人员经费539.68万元，主要包括：基本工资、津贴补贴、伙食补助费、绩效工资、机关事业单位基本养老保险 缴费、职业年金缴费、其他社会保障缴费、其他工资福利支出、离休费、退休费、抚恤金、生活补助、医疗费、奖励金、住房公积金、采暖补贴、物业服务补贴、其他对个人和家庭的补助支出；公用经费63.04万元，主要包括：办公费、印刷费、咨询费、手续 费、水费、电费、邮电费、取暖费、物业管理费、差旅费、因公出国（境）费用、维修（护）费、租赁费、会议费、培训费、公务接待费、专用材料费、劳务费、委 托业务费、工会经费、福利费、公务用车运行维护费、其他交通费用、税金及附加费用、其他商品和服务支出、办公设备购置、专用设备购置、信息网络及软件购置 更新、其他资本性支出。</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七、一般公共预算财政拨款“三公”经费支出决算情况说明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（一）“三公”经费财政拨款支出决算总体情况说明。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年度“三公”经费财政拨款支出年初预算为</w:t>
      </w:r>
      <w:r>
        <w:rPr>
          <w:rFonts w:hint="eastAsia" w:ascii="仿宋_GB2312" w:hAnsi="仿宋_GB2312" w:eastAsia="仿宋_GB2312" w:cs="仿宋_GB2312"/>
          <w:sz w:val="32"/>
          <w:szCs w:val="32"/>
          <w:lang w:val="en-US" w:eastAsia="zh-CN"/>
        </w:rPr>
        <w:t>11.00</w:t>
      </w:r>
      <w:r>
        <w:rPr>
          <w:rFonts w:hint="eastAsia" w:ascii="仿宋_GB2312" w:hAnsi="仿宋_GB2312" w:eastAsia="仿宋_GB2312" w:cs="仿宋_GB2312"/>
          <w:sz w:val="32"/>
          <w:szCs w:val="32"/>
        </w:rPr>
        <w:t>万元， 支出决算为</w:t>
      </w:r>
      <w:r>
        <w:rPr>
          <w:rFonts w:hint="eastAsia" w:ascii="仿宋_GB2312" w:hAnsi="仿宋_GB2312" w:eastAsia="仿宋_GB2312" w:cs="仿宋_GB2312"/>
          <w:color w:val="auto"/>
          <w:sz w:val="32"/>
          <w:szCs w:val="32"/>
          <w:lang w:val="en-US" w:eastAsia="zh-CN"/>
        </w:rPr>
        <w:t>10.82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2020 年度“三公”经费支出决算数与预算数存在差异的主要原因是厉行节约，公车运行维护费和公务接待费支出减少。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“三公”经费财政拨款支出决算具体情况说明。</w:t>
      </w:r>
    </w:p>
    <w:p>
      <w:pPr>
        <w:pStyle w:val="2"/>
        <w:rPr>
          <w:rFonts w:hint="eastAsia"/>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2020年度“三公”经费财政拨款支出决算中，</w:t>
      </w:r>
      <w:r>
        <w:rPr>
          <w:rFonts w:hint="eastAsia" w:ascii="仿宋_GB2312" w:hAnsi="仿宋_GB2312" w:eastAsia="仿宋_GB2312" w:cs="仿宋_GB2312"/>
          <w:sz w:val="32"/>
          <w:szCs w:val="32"/>
        </w:rPr>
        <w:t>因公出国（境）费支出决算0.00万元，完成预算的 0.00%，占0.00%；公务用车购置及运行费支出决算0.00万元，完成预算的0.00%，占0.00%；</w:t>
      </w:r>
      <w:r>
        <w:rPr>
          <w:rFonts w:hint="eastAsia" w:ascii="仿宋_GB2312" w:hAnsi="仿宋_GB2312" w:eastAsia="仿宋_GB2312" w:cs="仿宋_GB2312"/>
          <w:sz w:val="32"/>
          <w:szCs w:val="32"/>
          <w:lang w:val="en-US" w:eastAsia="zh-CN"/>
        </w:rPr>
        <w:t>公务用车运行费支出决算4.2万元，完成预算的98%，占39%；</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6.62</w:t>
      </w:r>
      <w:r>
        <w:rPr>
          <w:rFonts w:hint="eastAsia" w:ascii="仿宋_GB2312" w:hAnsi="仿宋_GB2312" w:eastAsia="仿宋_GB2312" w:cs="仿宋_GB2312"/>
          <w:sz w:val="32"/>
          <w:szCs w:val="32"/>
        </w:rPr>
        <w:t>万元，完成预算的 9</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61</w:t>
      </w:r>
      <w:r>
        <w:rPr>
          <w:rFonts w:hint="eastAsia" w:ascii="仿宋_GB2312" w:hAnsi="仿宋_GB2312" w:eastAsia="仿宋_GB2312" w:cs="仿宋_GB2312"/>
          <w:sz w:val="32"/>
          <w:szCs w:val="32"/>
        </w:rPr>
        <w:t>%；具体</w:t>
      </w:r>
      <w:r>
        <w:rPr>
          <w:rFonts w:hint="eastAsia" w:ascii="仿宋_GB2312" w:hAnsi="仿宋_GB2312" w:eastAsia="仿宋_GB2312" w:cs="仿宋_GB2312"/>
          <w:sz w:val="32"/>
          <w:szCs w:val="32"/>
          <w:lang w:val="en-US" w:eastAsia="zh-CN"/>
        </w:rPr>
        <w:t>情况如下：</w:t>
      </w:r>
    </w:p>
    <w:p>
      <w:pPr>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因公出国（境）费年初预算为 0.00万元，支出决算为0.00 万元，完成年初预算的0.00%，</w:t>
      </w:r>
      <w:r>
        <w:rPr>
          <w:rFonts w:hint="eastAsia" w:ascii="仿宋_GB2312" w:eastAsia="仿宋_GB2312"/>
          <w:sz w:val="32"/>
          <w:szCs w:val="32"/>
        </w:rPr>
        <w:t>决算数与年初预算数无差异</w:t>
      </w:r>
      <w:r>
        <w:rPr>
          <w:rFonts w:hint="eastAsia" w:ascii="仿宋_GB2312" w:eastAsia="仿宋_GB2312"/>
          <w:sz w:val="32"/>
          <w:szCs w:val="32"/>
          <w:lang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right="0" w:righ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因公出国（境）团组数0个，因公出国（境）人次数0人。开支内容无。</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公务用车购置及运行费年初预算为4.3万元，支出决算为 4.2万元，完成年初预算的98%，决算数与年初预算数存在差异的主要原因是厉行节约，公务运行维护费支出减少。其中：</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公务用车购置支出0.00万元，购置车辆0台。</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640" w:firstLineChars="200"/>
        <w:textAlignment w:val="auto"/>
        <w:rPr>
          <w:rFonts w:hint="eastAsia"/>
          <w:color w:val="auto"/>
          <w:lang w:val="en-US" w:eastAsia="zh-CN"/>
        </w:rPr>
      </w:pPr>
      <w:r>
        <w:rPr>
          <w:rFonts w:hint="eastAsia" w:ascii="仿宋_GB2312" w:hAnsi="仿宋_GB2312" w:eastAsia="仿宋_GB2312" w:cs="仿宋_GB2312"/>
          <w:color w:val="auto"/>
          <w:sz w:val="32"/>
          <w:szCs w:val="32"/>
          <w:lang w:val="en-US" w:eastAsia="zh-CN"/>
        </w:rPr>
        <w:t>公务用车运行支出4.20万元。主要用于</w:t>
      </w:r>
      <w:r>
        <w:rPr>
          <w:rFonts w:hint="eastAsia" w:ascii="仿宋_GB2312" w:hAnsi="仿宋_GB2312" w:eastAsia="仿宋_GB2312" w:cs="仿宋_GB2312"/>
          <w:color w:val="auto"/>
          <w:sz w:val="32"/>
          <w:szCs w:val="32"/>
        </w:rPr>
        <w:t>开展工作所需用车的燃油费、保险费、维修费</w:t>
      </w:r>
      <w:bookmarkStart w:id="0" w:name="_GoBack"/>
      <w:r>
        <w:rPr>
          <w:rFonts w:hint="eastAsia" w:ascii="仿宋_GB2312" w:hAnsi="仿宋_GB2312" w:eastAsia="仿宋_GB2312" w:cs="仿宋_GB2312"/>
          <w:color w:val="auto"/>
          <w:sz w:val="32"/>
          <w:szCs w:val="32"/>
        </w:rPr>
        <w:t>、过桥过路费等支出</w:t>
      </w:r>
      <w:r>
        <w:rPr>
          <w:rFonts w:hint="eastAsia" w:ascii="仿宋_GB2312" w:hAnsi="仿宋_GB2312" w:eastAsia="仿宋_GB2312" w:cs="仿宋_GB2312"/>
          <w:color w:val="auto"/>
          <w:sz w:val="32"/>
          <w:szCs w:val="32"/>
          <w:lang w:val="en-US" w:eastAsia="zh-CN"/>
        </w:rPr>
        <w:t>。2020年期末，单位开支财政拨款的公务用车保有量为1辆。</w:t>
      </w:r>
    </w:p>
    <w:bookmarkEnd w:id="0"/>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spacing w:val="0"/>
          <w:w w:val="100"/>
          <w:position w:val="0"/>
          <w:sz w:val="32"/>
          <w:szCs w:val="32"/>
          <w:shd w:val="clear" w:color="auto" w:fill="auto"/>
          <w:lang w:val="en-US" w:eastAsia="zh-CN" w:bidi="en-US"/>
        </w:rPr>
      </w:pPr>
      <w:r>
        <w:rPr>
          <w:rFonts w:hint="eastAsia" w:ascii="仿宋_GB2312" w:hAnsi="仿宋_GB2312" w:eastAsia="仿宋_GB2312" w:cs="仿宋_GB2312"/>
          <w:sz w:val="32"/>
          <w:szCs w:val="32"/>
          <w:lang w:val="en-US" w:eastAsia="zh-CN"/>
        </w:rPr>
        <w:t>3. 公务接待费年初预算为6.7万元，支出决算为6.62万元，完成年初预算的99%。决算数与年初预算数存在差异的主要原因是</w:t>
      </w:r>
      <w:r>
        <w:rPr>
          <w:rFonts w:hint="eastAsia" w:ascii="仿宋_GB2312" w:hAnsi="仿宋_GB2312" w:eastAsia="仿宋_GB2312" w:cs="仿宋_GB2312"/>
          <w:sz w:val="32"/>
          <w:szCs w:val="32"/>
        </w:rPr>
        <w:t>单位严格按规定开支，公务接待费支出减少</w:t>
      </w:r>
      <w:r>
        <w:rPr>
          <w:rFonts w:hint="eastAsia" w:ascii="仿宋_GB2312" w:hAnsi="仿宋_GB2312" w:eastAsia="仿宋_GB2312" w:cs="仿宋_GB2312"/>
          <w:sz w:val="32"/>
          <w:szCs w:val="32"/>
          <w:lang w:val="en-US" w:eastAsia="zh-CN"/>
        </w:rPr>
        <w:t>。其中：外宾接待支出0万元；2020年共接待国（境）外来访团组0个、来访外宾0人次（不包括陪同人员）；其他国内公务接待支出6.62万元。主要用于</w:t>
      </w:r>
      <w:r>
        <w:rPr>
          <w:rFonts w:eastAsia="仿宋_GB2312"/>
          <w:color w:val="000000"/>
          <w:sz w:val="32"/>
          <w:szCs w:val="32"/>
        </w:rPr>
        <w:t>按规定开支</w:t>
      </w:r>
      <w:r>
        <w:rPr>
          <w:rFonts w:hint="eastAsia" w:eastAsia="仿宋_GB2312"/>
          <w:color w:val="000000"/>
          <w:sz w:val="32"/>
          <w:szCs w:val="32"/>
        </w:rPr>
        <w:t>国内</w:t>
      </w:r>
      <w:r>
        <w:rPr>
          <w:rFonts w:eastAsia="仿宋_GB2312"/>
          <w:color w:val="000000"/>
          <w:sz w:val="32"/>
          <w:szCs w:val="32"/>
        </w:rPr>
        <w:t>的各类公务接待支出</w:t>
      </w:r>
      <w:r>
        <w:rPr>
          <w:rFonts w:hint="eastAsia" w:ascii="仿宋_GB2312" w:hAnsi="仿宋_GB2312" w:eastAsia="仿宋_GB2312" w:cs="仿宋_GB2312"/>
          <w:sz w:val="32"/>
          <w:szCs w:val="32"/>
          <w:lang w:val="en-US" w:eastAsia="zh-CN"/>
        </w:rPr>
        <w:t>。2020年共接待国内来访团组70个、来宾620人次（不包括陪同人员）。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 xml:space="preserve">预算绩效情况说明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绩效管理工作开展情况。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年，我</w:t>
      </w:r>
      <w:r>
        <w:rPr>
          <w:rFonts w:hint="eastAsia" w:ascii="仿宋_GB2312" w:hAnsi="仿宋_GB2312" w:eastAsia="仿宋_GB2312" w:cs="仿宋_GB2312"/>
          <w:sz w:val="32"/>
          <w:szCs w:val="32"/>
          <w:lang w:val="en-US" w:eastAsia="zh-CN"/>
        </w:rPr>
        <w:t>委</w:t>
      </w:r>
      <w:r>
        <w:rPr>
          <w:rFonts w:hint="eastAsia" w:ascii="仿宋_GB2312" w:hAnsi="仿宋_GB2312" w:eastAsia="仿宋_GB2312" w:cs="仿宋_GB2312"/>
          <w:sz w:val="32"/>
          <w:szCs w:val="32"/>
          <w:lang w:eastAsia="zh-CN"/>
        </w:rPr>
        <w:t>严格遵循有关规定，在自我评价的基础上，根据上级工作要求结合我</w:t>
      </w:r>
      <w:r>
        <w:rPr>
          <w:rFonts w:hint="eastAsia" w:ascii="仿宋_GB2312" w:hAnsi="仿宋_GB2312" w:eastAsia="仿宋_GB2312" w:cs="仿宋_GB2312"/>
          <w:sz w:val="32"/>
          <w:szCs w:val="32"/>
          <w:lang w:val="en-US" w:eastAsia="zh-CN"/>
        </w:rPr>
        <w:t>委</w:t>
      </w:r>
      <w:r>
        <w:rPr>
          <w:rFonts w:hint="eastAsia" w:ascii="仿宋_GB2312" w:hAnsi="仿宋_GB2312" w:eastAsia="仿宋_GB2312" w:cs="仿宋_GB2312"/>
          <w:sz w:val="32"/>
          <w:szCs w:val="32"/>
          <w:lang w:eastAsia="zh-CN"/>
        </w:rPr>
        <w:t>实际，通过选定评价对象、调研项目情况、收集项目资料、完善评价指标、培训评价人员、审核评价报告等一系列规范有序的程序，从预算编制与执行、资金分配与使用、资金监督与管理以及财务会计信息、项目组织管理、项目绩效完成等方面，采取目标预定与实施效果相比较、定量分析和定性分析相结合的方法，对单位的预算支出实施了重点绩效评价，客观公正地反映了财政支出总体绩效和存在的主要问题，为下一步有针对性地加强和改进财政资金分配、使用、管理提供了有益参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（二）项目绩效自评结果。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建立了绩效评价报告反馈整改和绩效信息公开机制。每个项目绩效评价完成后，向评价单位全体班子成员反馈评价情况，并向政府形成专题报告提出意见和建议。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（三）重点绩效评价结果。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年度单位无重点绩效评价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九、</w:t>
      </w:r>
      <w:r>
        <w:rPr>
          <w:rFonts w:hint="eastAsia" w:ascii="黑体" w:hAnsi="黑体" w:eastAsia="黑体" w:cs="黑体"/>
          <w:sz w:val="32"/>
          <w:szCs w:val="32"/>
        </w:rPr>
        <w:t xml:space="preserve">关于政府性基金预算财政拨款支出决算情况说明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年度政府性基金预算财政拨款支出年初预算为0.00万元，支出决算为 0.00 万元</w:t>
      </w:r>
      <w:r>
        <w:rPr>
          <w:rFonts w:hint="eastAsia" w:ascii="仿宋_GB2312" w:hAnsi="仿宋_GB2312" w:eastAsia="仿宋_GB2312" w:cs="仿宋_GB2312"/>
          <w:sz w:val="32"/>
          <w:szCs w:val="32"/>
          <w:lang w:eastAsia="zh-CN"/>
        </w:rPr>
        <w:t>，</w:t>
      </w:r>
      <w:r>
        <w:rPr>
          <w:rFonts w:hint="eastAsia" w:ascii="仿宋_GB2312" w:eastAsia="仿宋_GB2312"/>
          <w:sz w:val="32"/>
          <w:szCs w:val="32"/>
        </w:rPr>
        <w:t>完成年初预算的 0.00%。</w:t>
      </w:r>
      <w:r>
        <w:rPr>
          <w:rFonts w:hint="eastAsia" w:ascii="仿宋_GB2312" w:hAnsi="仿宋_GB2312" w:eastAsia="仿宋_GB2312" w:cs="仿宋_GB2312"/>
          <w:sz w:val="32"/>
          <w:szCs w:val="32"/>
        </w:rPr>
        <w:t xml:space="preserve">本部门 </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年度未发生政府性基金预算财政拨款收支业务，故本表</w:t>
      </w:r>
      <w:r>
        <w:rPr>
          <w:rFonts w:hint="eastAsia" w:ascii="仿宋_GB2312" w:hAnsi="仿宋_GB2312" w:eastAsia="仿宋_GB2312" w:cs="仿宋_GB2312"/>
          <w:sz w:val="32"/>
          <w:szCs w:val="32"/>
          <w:lang w:val="en-US" w:eastAsia="zh-CN"/>
        </w:rPr>
        <w:t>数据为0</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十、机关运行经费支出情况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eastAsia="zh-CN"/>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年度机关运行经费</w:t>
      </w:r>
      <w:r>
        <w:rPr>
          <w:rFonts w:hint="eastAsia" w:ascii="仿宋_GB2312" w:hAnsi="仿宋_GB2312" w:eastAsia="仿宋_GB2312" w:cs="仿宋_GB2312"/>
          <w:color w:val="auto"/>
          <w:sz w:val="32"/>
          <w:szCs w:val="32"/>
          <w:lang w:val="en-US" w:eastAsia="zh-CN"/>
        </w:rPr>
        <w:t>年初预算为45.68万元，支出决算数为63.04万元，完成年初预算的138%，决算数与预算数差异</w:t>
      </w:r>
      <w:r>
        <w:rPr>
          <w:rFonts w:hint="eastAsia" w:ascii="仿宋_GB2312" w:hAnsi="仿宋_GB2312" w:eastAsia="仿宋_GB2312" w:cs="仿宋_GB2312"/>
          <w:color w:val="auto"/>
          <w:sz w:val="32"/>
          <w:szCs w:val="32"/>
        </w:rPr>
        <w:t>的主要原因是：</w:t>
      </w:r>
      <w:r>
        <w:rPr>
          <w:rFonts w:hint="eastAsia" w:ascii="仿宋_GB2312" w:hAnsi="仿宋_GB2312" w:eastAsia="仿宋_GB2312" w:cs="仿宋_GB2312"/>
          <w:color w:val="auto"/>
          <w:sz w:val="32"/>
          <w:szCs w:val="32"/>
          <w:lang w:val="en-US" w:eastAsia="zh-CN"/>
        </w:rPr>
        <w:t>机构改革，与原物价部门合并，人员增多，机关运行经费相应增加。</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w:t>
      </w:r>
      <w:r>
        <w:rPr>
          <w:rFonts w:hint="eastAsia" w:ascii="黑体" w:hAnsi="黑体" w:eastAsia="黑体" w:cs="黑体"/>
          <w:sz w:val="32"/>
          <w:szCs w:val="32"/>
        </w:rPr>
        <w:t>政府采购支出情况</w:t>
      </w:r>
      <w:r>
        <w:rPr>
          <w:rFonts w:hint="eastAsia" w:ascii="黑体" w:hAnsi="黑体" w:eastAsia="黑体" w:cs="黑体"/>
          <w:sz w:val="32"/>
          <w:szCs w:val="32"/>
          <w:lang w:val="en-US" w:eastAsia="zh-CN"/>
        </w:rPr>
        <w:t>说明</w:t>
      </w:r>
      <w:r>
        <w:rPr>
          <w:rFonts w:hint="eastAsia" w:ascii="黑体" w:hAnsi="黑体" w:eastAsia="黑体" w:cs="黑体"/>
          <w:sz w:val="32"/>
          <w:szCs w:val="32"/>
        </w:rPr>
        <w:t>。</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161" w:leftChars="67" w:firstLine="480" w:firstLineChars="1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eastAsia="仿宋_GB2312"/>
          <w:sz w:val="32"/>
          <w:szCs w:val="32"/>
        </w:rPr>
        <w:t>020 年度政府采购支出总额</w:t>
      </w:r>
      <w:r>
        <w:rPr>
          <w:rFonts w:hint="eastAsia" w:ascii="仿宋_GB2312" w:eastAsia="仿宋_GB2312"/>
          <w:sz w:val="32"/>
          <w:szCs w:val="32"/>
          <w:lang w:val="en-US" w:eastAsia="zh-CN"/>
        </w:rPr>
        <w:t>26.02</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5.19</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20.83</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hint="eastAsia" w:ascii="仿宋_GB2312" w:eastAsia="仿宋_GB2312"/>
          <w:sz w:val="32"/>
          <w:szCs w:val="32"/>
        </w:rPr>
        <w:t>%。</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十二、国有资产占用情况。</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161" w:leftChars="67" w:firstLine="480" w:firstLineChars="150"/>
        <w:textAlignment w:val="auto"/>
        <w:rPr>
          <w:rFonts w:hint="eastAsia" w:ascii="仿宋_GB2312" w:hAnsi="仿宋_GB2312" w:eastAsia="仿宋_GB2312" w:cs="仿宋_GB2312"/>
          <w:color w:val="000000"/>
          <w:spacing w:val="0"/>
          <w:w w:val="100"/>
          <w:position w:val="0"/>
          <w:sz w:val="32"/>
          <w:szCs w:val="32"/>
          <w:shd w:val="clear" w:color="auto" w:fill="auto"/>
          <w:lang w:val="en-US" w:eastAsia="zh-CN" w:bidi="en-US"/>
        </w:rPr>
      </w:pPr>
      <w:r>
        <w:rPr>
          <w:rFonts w:hint="eastAsia" w:ascii="仿宋_GB2312" w:hAnsi="仿宋_GB2312" w:eastAsia="仿宋_GB2312" w:cs="仿宋_GB2312"/>
          <w:color w:val="000000"/>
          <w:spacing w:val="0"/>
          <w:w w:val="100"/>
          <w:position w:val="0"/>
          <w:sz w:val="32"/>
          <w:szCs w:val="32"/>
          <w:shd w:val="clear" w:color="auto" w:fill="auto"/>
          <w:lang w:val="en-US" w:eastAsia="zh-CN" w:bidi="en-US"/>
        </w:rPr>
        <w:t>2020 年期末，我单位共有车辆1辆，其中：省级领导干部用车0辆、主要领导干部用车 0辆、机要通信用车0辆、应急保障车0辆、执法执勤用车 0辆、特种专业技术用车0辆、离退休干部用车0辆、其他用车1辆；单位价值50万元以上通用设备0台（套），单位价值100万元以上专用设备 0台（套）。</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文星标宋" w:hAnsi="文星标宋" w:eastAsia="文星标宋" w:cs="文星标宋"/>
          <w:sz w:val="32"/>
          <w:szCs w:val="32"/>
        </w:rPr>
      </w:pPr>
      <w:r>
        <w:rPr>
          <w:rFonts w:hint="eastAsia" w:ascii="文星标宋" w:hAnsi="文星标宋" w:eastAsia="文星标宋" w:cs="文星标宋"/>
          <w:sz w:val="32"/>
          <w:szCs w:val="32"/>
          <w:lang w:val="en-US" w:eastAsia="zh-CN"/>
        </w:rPr>
        <w:t xml:space="preserve">第三部分 </w:t>
      </w:r>
      <w:r>
        <w:rPr>
          <w:rFonts w:hint="eastAsia" w:ascii="文星标宋" w:hAnsi="文星标宋" w:eastAsia="文星标宋" w:cs="文星标宋"/>
          <w:sz w:val="32"/>
          <w:szCs w:val="32"/>
        </w:rPr>
        <w:t>名词解释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一、财政拨款收入：是指市直财政当年拨付的资金。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二、基本支出：是指为保障机构正常运转、完成日常工作任务所必需的开支，其内容包括人员经费和日常公用经费两部分。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三、一般公共服务（类）发展与改革事务（款）：是指委 用于保障机构正常运行、开展业务等活动的支出。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（一）行政运行（项）：是指为保障委正常运转、完成日 常工作任务安排的支出。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（二）机关服务（项）：是指为委机关提供后勤保障服务 的的支出。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四、年末结转和结余：指本年度或以前年度预算安排、因 客观条件发生变化无法按原计划实施，需延迟到以后年度按有关规定继续使用的资金。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五、基本支出：指为保障机构正常运转、完成日常工作任 务而发生的人员支出和公用支出。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六、“三公”经费：是指纳入财政预算管理，部门使用财 政拨款安排的因公出国（境）费、公务用车购置及运行费和公 务接待费。其中，因公出国（境）费反映单位公务出国（境） 的住宿费、旅费、伙食补助费、杂费、培训费等支出；公务用 车购置及运行费反映单位公务用车购置费及租用费、燃料费、 维修费、过路过桥费、保险费、安全奖励费用等支出；公务接 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七、机关运行经费：为保障行政单位（含参照公务员法管 理的事业单位）运行用于购买货物和服务的各项资金，包括办 公及印刷费、邮电费、差旅费、会议费、福利费、日常维修费专用材料及一般设备购置费、办公用房水电费、办公用房取暖 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八、工资福利支出：单位支付给在职职工和编制外长期聘用人员的各类劳动报酬，以及为上述人员缴纳的各项社会保险 费等。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九、商品和服务支出：单位购买商品和服务的支出。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十、对个人和家庭的补助支出：单位用于对个人和家庭的补助支出。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十一、年末结转：本年度或以前年度预算安排，已执行但尚未完成或因客观条件发生变化无法按原计划实施，需延迟到以后年度按有关规定继续使用的资金。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十二、年末结余：本年度或以前年度预算安排，已执行完 毕或因客观条件发生变化无法按原预算安排实施，不需要再使用或无法按原预算安排继续使用的资金。</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文星标宋" w:hAnsi="文星标宋" w:eastAsia="文星标宋" w:cs="文星标宋"/>
          <w:sz w:val="32"/>
          <w:szCs w:val="32"/>
        </w:rPr>
      </w:pPr>
      <w:r>
        <w:rPr>
          <w:rFonts w:hint="eastAsia" w:ascii="文星标宋" w:hAnsi="文星标宋" w:eastAsia="文星标宋" w:cs="文星标宋"/>
          <w:sz w:val="32"/>
          <w:szCs w:val="32"/>
        </w:rPr>
        <w:t>第</w:t>
      </w:r>
      <w:r>
        <w:rPr>
          <w:rFonts w:hint="eastAsia" w:ascii="文星标宋" w:hAnsi="文星标宋" w:eastAsia="文星标宋" w:cs="文星标宋"/>
          <w:sz w:val="32"/>
          <w:szCs w:val="32"/>
          <w:lang w:val="en-US" w:eastAsia="zh-CN"/>
        </w:rPr>
        <w:t>四</w:t>
      </w:r>
      <w:r>
        <w:rPr>
          <w:rFonts w:hint="eastAsia" w:ascii="文星标宋" w:hAnsi="文星标宋" w:eastAsia="文星标宋" w:cs="文星标宋"/>
          <w:sz w:val="32"/>
          <w:szCs w:val="32"/>
        </w:rPr>
        <w:t>部分</w:t>
      </w:r>
    </w:p>
    <w:p>
      <w:pPr>
        <w:pStyle w:val="2"/>
        <w:jc w:val="center"/>
        <w:rPr>
          <w:rFonts w:hint="eastAsia" w:ascii="仿宋_GB2312" w:hAnsi="仿宋_GB2312" w:eastAsia="仿宋_GB2312" w:cs="仿宋_GB2312"/>
          <w:sz w:val="32"/>
          <w:szCs w:val="32"/>
          <w:lang w:val="en-US" w:eastAsia="zh-CN"/>
        </w:rPr>
      </w:pPr>
      <w:r>
        <w:rPr>
          <w:rFonts w:hint="eastAsia" w:ascii="文星标宋" w:hAnsi="文星标宋" w:eastAsia="文星标宋" w:cs="文星标宋"/>
          <w:sz w:val="32"/>
          <w:szCs w:val="32"/>
          <w:lang w:val="en-US" w:eastAsia="zh-CN"/>
        </w:rPr>
        <w:t>罗山县发展和改革委员会2020年度部门决算公开表</w:t>
      </w: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ind w:left="0" w:leftChars="0" w:firstLine="0" w:firstLineChars="0"/>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信息公开选项：依申请公开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抄送：财政局办公室、各部门预算股室、各乡镇（街道办事处）、监督检查局。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罗山县国库股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日发</w:t>
      </w:r>
    </w:p>
    <w:p>
      <w:pPr>
        <w:rPr>
          <w:rFonts w:hint="eastAsia" w:ascii="仿宋_GB2312" w:hAnsi="仿宋_GB2312" w:eastAsia="仿宋_GB2312" w:cs="仿宋_GB2312"/>
          <w:sz w:val="32"/>
          <w:szCs w:val="32"/>
        </w:rPr>
        <w:sectPr>
          <w:headerReference r:id="rId7" w:type="default"/>
          <w:footerReference r:id="rId8" w:type="default"/>
          <w:footnotePr>
            <w:numFmt w:val="decimal"/>
          </w:footnotePr>
          <w:pgSz w:w="11900" w:h="16838"/>
          <w:pgMar w:top="1293" w:right="1332" w:bottom="1298" w:left="1525" w:header="862" w:footer="6" w:gutter="0"/>
          <w:cols w:space="0" w:num="1"/>
          <w:rtlGutter w:val="0"/>
          <w:docGrid w:linePitch="360" w:charSpace="0"/>
        </w:sectPr>
      </w:pPr>
    </w:p>
    <w:p>
      <w:pPr>
        <w:rPr>
          <w:rFonts w:hint="eastAsia" w:ascii="仿宋_GB2312" w:hAnsi="仿宋_GB2312" w:eastAsia="仿宋_GB2312" w:cs="仿宋_GB2312"/>
          <w:sz w:val="32"/>
          <w:szCs w:val="32"/>
        </w:rPr>
      </w:pPr>
    </w:p>
    <w:p>
      <w:pPr>
        <w:tabs>
          <w:tab w:val="left" w:pos="10587"/>
        </w:tabs>
        <w:bidi w:val="0"/>
        <w:jc w:val="left"/>
        <w:rPr>
          <w:rFonts w:hint="eastAsia" w:ascii="仿宋_GB2312" w:hAnsi="仿宋_GB2312" w:eastAsia="仿宋_GB2312" w:cs="仿宋_GB2312"/>
          <w:sz w:val="32"/>
          <w:szCs w:val="32"/>
          <w:lang w:val="en-US" w:eastAsia="zh-CN"/>
        </w:rPr>
      </w:pPr>
    </w:p>
    <w:sectPr>
      <w:pgSz w:w="11900" w:h="16838"/>
      <w:pgMar w:top="1293" w:right="1332" w:bottom="1298" w:left="1525"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panose1 w:val="0201060900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3030" cy="115570"/>
              <wp:effectExtent l="0" t="0" r="0" b="0"/>
              <wp:wrapNone/>
              <wp:docPr id="17" name="Shape 17"/>
              <wp:cNvGraphicFramePr/>
              <a:graphic xmlns:a="http://schemas.openxmlformats.org/drawingml/2006/main">
                <a:graphicData uri="http://schemas.microsoft.com/office/word/2010/wordprocessingShape">
                  <wps:wsp>
                    <wps:cNvSpPr txBox="1"/>
                    <wps:spPr>
                      <a:xfrm>
                        <a:off x="0" y="0"/>
                        <a:ext cx="113030" cy="115570"/>
                      </a:xfrm>
                      <a:prstGeom prst="rect">
                        <a:avLst/>
                      </a:prstGeom>
                      <a:noFill/>
                    </wps:spPr>
                    <wps:txbx>
                      <w:txbxContent>
                        <w:p>
                          <w:pPr>
                            <w:pStyle w:val="14"/>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color w:val="000000"/>
                              <w:spacing w:val="0"/>
                              <w:w w:val="100"/>
                              <w:position w:val="0"/>
                              <w:sz w:val="18"/>
                              <w:szCs w:val="18"/>
                              <w:shd w:val="clear" w:color="auto" w:fill="auto"/>
                            </w:rPr>
                            <w:t>#</w:t>
                          </w:r>
                          <w:r>
                            <w:rPr>
                              <w:color w:val="000000"/>
                              <w:spacing w:val="0"/>
                              <w:w w:val="100"/>
                              <w:position w:val="0"/>
                              <w:sz w:val="18"/>
                              <w:szCs w:val="18"/>
                              <w:shd w:val="clear" w:color="auto" w:fill="auto"/>
                            </w:rPr>
                            <w:fldChar w:fldCharType="end"/>
                          </w:r>
                        </w:p>
                      </w:txbxContent>
                    </wps:txbx>
                    <wps:bodyPr wrap="none" lIns="0" tIns="0" rIns="0" bIns="0">
                      <a:spAutoFit/>
                    </wps:bodyPr>
                  </wps:wsp>
                </a:graphicData>
              </a:graphic>
            </wp:anchor>
          </w:drawing>
        </mc:Choice>
        <mc:Fallback>
          <w:pict>
            <v:shape id="Shape 17" o:spid="_x0000_s1026" o:spt="202" type="#_x0000_t202" style="position:absolute;left:0pt;margin-top:0pt;height:9.1pt;width:8.9pt;mso-position-horizontal:center;mso-position-horizontal-relative:margin;mso-wrap-style:none;z-index:251659264;mso-width-relative:page;mso-height-relative:page;" filled="f" stroked="f" coordsize="21600,21600" o:gfxdata="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2OqZNM8AAAADAQAADwAA&#10;AAAAAAABACAAAAAiAAAAZHJzL2Rvd25yZXYueG1sUEsBAhQAFAAAAAgAh07iQDRZfDmtAQAAcQMA&#10;AA4AAAAAAAAAAQAgAAAAHgEAAGRycy9lMm9Eb2MueG1sUEsFBgAAAAAGAAYAWQEAAD0FAAAAAA==&#10;">
              <v:fill on="f" focussize="0,0"/>
              <v:stroke on="f"/>
              <v:imagedata o:title=""/>
              <o:lock v:ext="edit" aspectratio="f"/>
              <v:textbox inset="0mm,0mm,0mm,0mm" style="mso-fit-shape-to-text:t;">
                <w:txbxContent>
                  <w:p>
                    <w:pPr>
                      <w:pStyle w:val="14"/>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color w:val="000000"/>
                        <w:spacing w:val="0"/>
                        <w:w w:val="100"/>
                        <w:position w:val="0"/>
                        <w:sz w:val="18"/>
                        <w:szCs w:val="18"/>
                        <w:shd w:val="clear" w:color="auto" w:fill="auto"/>
                      </w:rPr>
                      <w:t>#</w:t>
                    </w:r>
                    <w:r>
                      <w:rPr>
                        <w:color w:val="000000"/>
                        <w:spacing w:val="0"/>
                        <w:w w:val="100"/>
                        <w:position w:val="0"/>
                        <w:sz w:val="18"/>
                        <w:szCs w:val="18"/>
                        <w:shd w:val="clear" w:color="auto" w:fill="auto"/>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F97FA0"/>
    <w:multiLevelType w:val="singleLevel"/>
    <w:tmpl w:val="EAF97FA0"/>
    <w:lvl w:ilvl="0" w:tentative="0">
      <w:start w:val="1"/>
      <w:numFmt w:val="decimal"/>
      <w:suff w:val="nothing"/>
      <w:lvlText w:val="%1、"/>
      <w:lvlJc w:val="left"/>
    </w:lvl>
  </w:abstractNum>
  <w:abstractNum w:abstractNumId="1">
    <w:nsid w:val="703B3D3C"/>
    <w:multiLevelType w:val="singleLevel"/>
    <w:tmpl w:val="703B3D3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mNDhlYjgzMjE5ZmI4MDg5ZjYzNjc1OTRjYmI3MzYifQ=="/>
  </w:docVars>
  <w:rsids>
    <w:rsidRoot w:val="10BE5CDA"/>
    <w:rsid w:val="06A560FE"/>
    <w:rsid w:val="0BB005E5"/>
    <w:rsid w:val="0F4650EA"/>
    <w:rsid w:val="10BE5CDA"/>
    <w:rsid w:val="118110D4"/>
    <w:rsid w:val="13552B0F"/>
    <w:rsid w:val="152F3A0B"/>
    <w:rsid w:val="161E34A0"/>
    <w:rsid w:val="164E5112"/>
    <w:rsid w:val="16C039AA"/>
    <w:rsid w:val="170A3A8B"/>
    <w:rsid w:val="24596797"/>
    <w:rsid w:val="24BF1E77"/>
    <w:rsid w:val="273B1526"/>
    <w:rsid w:val="27B25B33"/>
    <w:rsid w:val="287F45B3"/>
    <w:rsid w:val="291B0F2C"/>
    <w:rsid w:val="2ACE7EED"/>
    <w:rsid w:val="350F7525"/>
    <w:rsid w:val="37AA327E"/>
    <w:rsid w:val="383F3CEF"/>
    <w:rsid w:val="395F6207"/>
    <w:rsid w:val="3E9A1B48"/>
    <w:rsid w:val="41F919E6"/>
    <w:rsid w:val="445C5926"/>
    <w:rsid w:val="45B82B84"/>
    <w:rsid w:val="4826304D"/>
    <w:rsid w:val="48636DC9"/>
    <w:rsid w:val="49EF13F4"/>
    <w:rsid w:val="4A2A3E4E"/>
    <w:rsid w:val="4C043CCB"/>
    <w:rsid w:val="4F8243CB"/>
    <w:rsid w:val="52D604E2"/>
    <w:rsid w:val="575C21CF"/>
    <w:rsid w:val="5BF147BE"/>
    <w:rsid w:val="68C6658D"/>
    <w:rsid w:val="68D616A3"/>
    <w:rsid w:val="6A514B7D"/>
    <w:rsid w:val="6A7A50D5"/>
    <w:rsid w:val="6B35697C"/>
    <w:rsid w:val="6BD0260A"/>
    <w:rsid w:val="71AF2191"/>
    <w:rsid w:val="76035CEA"/>
    <w:rsid w:val="77E5672F"/>
    <w:rsid w:val="798212D7"/>
    <w:rsid w:val="7E4E7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Courier New" w:hAnsi="Courier New" w:eastAsia="Courier New" w:cs="Courier New"/>
      <w:color w:val="000000"/>
      <w:spacing w:val="0"/>
      <w:w w:val="100"/>
      <w:position w:val="0"/>
      <w:sz w:val="24"/>
      <w:szCs w:val="24"/>
      <w:shd w:val="clear" w:color="auto" w:fill="auto"/>
      <w:lang w:val="en-US" w:eastAsia="en-US" w:bidi="en-US"/>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ind w:left="420" w:leftChars="200"/>
    </w:pPr>
  </w:style>
  <w:style w:type="paragraph" w:styleId="4">
    <w:name w:val="envelope return"/>
    <w:basedOn w:val="1"/>
    <w:qFormat/>
    <w:uiPriority w:val="99"/>
    <w:pPr>
      <w:snapToGrid w:val="0"/>
    </w:pPr>
    <w:rPr>
      <w:rFonts w:ascii="Arial" w:hAnsi="Arial"/>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semiHidden/>
    <w:unhideWhenUsed/>
    <w:qFormat/>
    <w:uiPriority w:val="99"/>
    <w:pPr>
      <w:spacing w:before="100" w:beforeAutospacing="1" w:after="100" w:afterAutospacing="1"/>
    </w:pPr>
  </w:style>
  <w:style w:type="paragraph" w:customStyle="1" w:styleId="10">
    <w:name w:val="其他"/>
    <w:basedOn w:val="1"/>
    <w:qFormat/>
    <w:uiPriority w:val="0"/>
    <w:pPr>
      <w:widowControl w:val="0"/>
      <w:shd w:val="clear" w:color="auto" w:fill="FFFFFF"/>
      <w:spacing w:line="442" w:lineRule="auto"/>
      <w:ind w:firstLine="400"/>
    </w:pPr>
    <w:rPr>
      <w:rFonts w:ascii="黑体" w:hAnsi="黑体" w:eastAsia="黑体" w:cs="黑体"/>
      <w:sz w:val="30"/>
      <w:szCs w:val="30"/>
      <w:u w:val="none"/>
      <w:lang w:val="zh-CN" w:eastAsia="zh-CN" w:bidi="zh-CN"/>
    </w:rPr>
  </w:style>
  <w:style w:type="paragraph" w:customStyle="1" w:styleId="11">
    <w:name w:val="正文文本1"/>
    <w:basedOn w:val="1"/>
    <w:qFormat/>
    <w:uiPriority w:val="0"/>
    <w:pPr>
      <w:widowControl w:val="0"/>
      <w:shd w:val="clear" w:color="auto" w:fill="FFFFFF"/>
      <w:spacing w:line="442" w:lineRule="auto"/>
      <w:ind w:firstLine="400"/>
    </w:pPr>
    <w:rPr>
      <w:rFonts w:ascii="黑体" w:hAnsi="黑体" w:eastAsia="黑体" w:cs="黑体"/>
      <w:sz w:val="30"/>
      <w:szCs w:val="30"/>
      <w:u w:val="none"/>
      <w:lang w:val="zh-CN" w:eastAsia="zh-CN" w:bidi="zh-CN"/>
    </w:rPr>
  </w:style>
  <w:style w:type="paragraph" w:customStyle="1" w:styleId="12">
    <w:name w:val="标题 #1"/>
    <w:basedOn w:val="1"/>
    <w:qFormat/>
    <w:uiPriority w:val="0"/>
    <w:pPr>
      <w:widowControl w:val="0"/>
      <w:shd w:val="clear" w:color="auto" w:fill="FFFFFF"/>
      <w:jc w:val="center"/>
      <w:outlineLvl w:val="0"/>
    </w:pPr>
    <w:rPr>
      <w:rFonts w:ascii="黑体" w:hAnsi="黑体" w:eastAsia="黑体" w:cs="黑体"/>
      <w:sz w:val="48"/>
      <w:szCs w:val="48"/>
      <w:u w:val="none"/>
      <w:lang w:val="zh-CN" w:eastAsia="zh-CN" w:bidi="zh-CN"/>
    </w:rPr>
  </w:style>
  <w:style w:type="paragraph" w:customStyle="1" w:styleId="13">
    <w:name w:val="表格标题"/>
    <w:basedOn w:val="1"/>
    <w:qFormat/>
    <w:uiPriority w:val="0"/>
    <w:pPr>
      <w:widowControl w:val="0"/>
      <w:shd w:val="clear" w:color="auto" w:fill="FFFFFF"/>
    </w:pPr>
    <w:rPr>
      <w:rFonts w:ascii="宋体" w:hAnsi="宋体" w:eastAsia="宋体" w:cs="宋体"/>
      <w:sz w:val="20"/>
      <w:szCs w:val="20"/>
      <w:u w:val="none"/>
      <w:lang w:val="zh-CN" w:eastAsia="zh-CN" w:bidi="zh-CN"/>
    </w:rPr>
  </w:style>
  <w:style w:type="paragraph" w:customStyle="1" w:styleId="14">
    <w:name w:val="页眉或页脚 (2)"/>
    <w:basedOn w:val="1"/>
    <w:qFormat/>
    <w:uiPriority w:val="0"/>
    <w:pPr>
      <w:widowControl w:val="0"/>
      <w:shd w:val="clear" w:color="auto" w:fill="FFFFFF"/>
    </w:pPr>
    <w:rPr>
      <w:rFonts w:ascii="Times New Roman" w:hAnsi="Times New Roman" w:eastAsia="Times New Roman" w:cs="Times New Roman"/>
      <w:sz w:val="20"/>
      <w:szCs w:val="20"/>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5620</Words>
  <Characters>6114</Characters>
  <Lines>0</Lines>
  <Paragraphs>0</Paragraphs>
  <TotalTime>4</TotalTime>
  <ScaleCrop>false</ScaleCrop>
  <LinksUpToDate>false</LinksUpToDate>
  <CharactersWithSpaces>6245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2021-06-04T10:13:00Z</dcterms:created>
  <dc:creator>漠然</dc:creator>
  <cp:lastModifiedBy>漠然</cp:lastModifiedBy>
  <cp:lastPrinted>2021-11-03T01:37:00Z</cp:lastPrinted>
  <dcterms:modified xsi:type="dcterms:W3CDTF">2022-09-02T03:17:07Z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9524346713F54C50A1602692B4E3340F</vt:lpwstr>
  </property>
</Properties>
</file>