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罗山县机关事务中心</w:t>
      </w:r>
    </w:p>
    <w:p>
      <w:pPr>
        <w:jc w:val="center"/>
        <w:rPr>
          <w:rFonts w:ascii="黑体" w:hAnsi="黑体" w:eastAsia="黑体" w:cs="黑体"/>
          <w:sz w:val="52"/>
          <w:szCs w:val="52"/>
        </w:rPr>
      </w:pPr>
      <w:r>
        <w:rPr>
          <w:rFonts w:ascii="黑体" w:hAnsi="黑体" w:eastAsia="黑体" w:cs="黑体"/>
          <w:sz w:val="52"/>
          <w:szCs w:val="52"/>
        </w:rPr>
        <w:t>2020</w:t>
      </w:r>
      <w:r>
        <w:rPr>
          <w:rFonts w:hint="eastAsia" w:ascii="黑体" w:hAnsi="黑体" w:eastAsia="黑体" w:cs="黑体"/>
          <w:sz w:val="52"/>
          <w:szCs w:val="52"/>
        </w:rPr>
        <w:t>年度部门决算公开</w:t>
      </w:r>
    </w:p>
    <w:p>
      <w:pPr>
        <w:jc w:val="center"/>
        <w:rPr>
          <w:rFonts w:ascii="黑体" w:hAnsi="黑体" w:eastAsia="黑体" w:cs="黑体"/>
          <w:sz w:val="52"/>
          <w:szCs w:val="52"/>
        </w:rPr>
      </w:pP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p>
    <w:p>
      <w:pPr>
        <w:jc w:val="center"/>
        <w:rPr>
          <w:rFonts w:hint="default" w:ascii="黑体" w:hAnsi="黑体" w:eastAsia="黑体" w:cs="黑体"/>
          <w:sz w:val="52"/>
          <w:szCs w:val="52"/>
          <w:lang w:val="en-US" w:eastAsia="zh-CN"/>
        </w:rPr>
      </w:pPr>
      <w:r>
        <w:rPr>
          <w:rFonts w:hint="eastAsia" w:ascii="黑体" w:hAnsi="黑体" w:eastAsia="黑体" w:cs="黑体"/>
          <w:sz w:val="52"/>
          <w:szCs w:val="52"/>
          <w:lang w:val="en-US" w:eastAsia="zh-CN"/>
        </w:rPr>
        <w:t>二〇二一年十月</w:t>
      </w: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hAnsi="黑体" w:eastAsia="黑体" w:cs="黑体"/>
          <w:sz w:val="32"/>
          <w:szCs w:val="32"/>
        </w:rPr>
      </w:pPr>
      <w:r>
        <w:rPr>
          <w:rFonts w:hint="eastAsia" w:ascii="黑体" w:hAnsi="黑体" w:eastAsia="黑体" w:cs="黑体"/>
          <w:sz w:val="32"/>
          <w:szCs w:val="32"/>
        </w:rPr>
        <w:t>第一部分　　罗山县机关事务中心概况</w:t>
      </w:r>
    </w:p>
    <w:p>
      <w:pPr>
        <w:widowControl w:val="0"/>
        <w:numPr>
          <w:ilvl w:val="0"/>
          <w:numId w:val="1"/>
        </w:numPr>
        <w:ind w:firstLine="640" w:firstLineChars="200"/>
        <w:rPr>
          <w:sz w:val="32"/>
          <w:szCs w:val="32"/>
        </w:rPr>
      </w:pPr>
      <w:r>
        <w:rPr>
          <w:rFonts w:hint="eastAsia"/>
          <w:sz w:val="32"/>
          <w:szCs w:val="32"/>
        </w:rPr>
        <w:t>部门职责</w:t>
      </w:r>
    </w:p>
    <w:p>
      <w:pPr>
        <w:widowControl w:val="0"/>
        <w:numPr>
          <w:ilvl w:val="0"/>
          <w:numId w:val="1"/>
        </w:numPr>
        <w:ind w:firstLine="640" w:firstLineChars="200"/>
        <w:rPr>
          <w:sz w:val="32"/>
          <w:szCs w:val="32"/>
        </w:rPr>
      </w:pPr>
      <w:r>
        <w:rPr>
          <w:rFonts w:hint="eastAsia"/>
          <w:sz w:val="32"/>
          <w:szCs w:val="32"/>
        </w:rPr>
        <w:t>机构设置</w:t>
      </w:r>
    </w:p>
    <w:p>
      <w:pPr>
        <w:rPr>
          <w:rFonts w:ascii="黑体" w:hAnsi="黑体" w:eastAsia="黑体" w:cs="黑体"/>
          <w:sz w:val="32"/>
          <w:szCs w:val="32"/>
        </w:rPr>
      </w:pPr>
      <w:r>
        <w:rPr>
          <w:rFonts w:hint="eastAsia" w:ascii="黑体" w:hAnsi="黑体" w:eastAsia="黑体" w:cs="黑体"/>
          <w:sz w:val="32"/>
          <w:szCs w:val="32"/>
        </w:rPr>
        <w:t>第二部分　　</w:t>
      </w:r>
      <w:r>
        <w:rPr>
          <w:rFonts w:ascii="黑体" w:hAnsi="黑体" w:eastAsia="黑体" w:cs="黑体"/>
          <w:sz w:val="32"/>
          <w:szCs w:val="32"/>
        </w:rPr>
        <w:t>2020</w:t>
      </w:r>
      <w:r>
        <w:rPr>
          <w:rFonts w:hint="eastAsia" w:ascii="黑体" w:hAnsi="黑体" w:eastAsia="黑体" w:cs="黑体"/>
          <w:sz w:val="32"/>
          <w:szCs w:val="32"/>
        </w:rPr>
        <w:t>年度部门决算情况说明</w:t>
      </w:r>
    </w:p>
    <w:p>
      <w:pPr>
        <w:ind w:firstLine="640" w:firstLineChars="200"/>
        <w:rPr>
          <w:sz w:val="32"/>
          <w:szCs w:val="32"/>
        </w:rPr>
      </w:pPr>
      <w:r>
        <w:rPr>
          <w:rFonts w:hint="eastAsia"/>
          <w:sz w:val="32"/>
          <w:szCs w:val="32"/>
        </w:rPr>
        <w:t>一、收入支出决算总体情况说明</w:t>
      </w:r>
    </w:p>
    <w:p>
      <w:pPr>
        <w:ind w:firstLine="640" w:firstLineChars="200"/>
        <w:rPr>
          <w:sz w:val="32"/>
          <w:szCs w:val="32"/>
        </w:rPr>
      </w:pPr>
      <w:r>
        <w:rPr>
          <w:rFonts w:hint="eastAsia"/>
          <w:sz w:val="32"/>
          <w:szCs w:val="32"/>
        </w:rPr>
        <w:t>二、收入决算情况说明</w:t>
      </w:r>
    </w:p>
    <w:p>
      <w:pPr>
        <w:ind w:firstLine="640" w:firstLineChars="200"/>
        <w:rPr>
          <w:sz w:val="32"/>
          <w:szCs w:val="32"/>
        </w:rPr>
      </w:pPr>
      <w:r>
        <w:rPr>
          <w:rFonts w:hint="eastAsia"/>
          <w:sz w:val="32"/>
          <w:szCs w:val="32"/>
        </w:rPr>
        <w:t>三、支出决算情况说明</w:t>
      </w:r>
    </w:p>
    <w:p>
      <w:pPr>
        <w:ind w:firstLine="640" w:firstLineChars="200"/>
        <w:rPr>
          <w:sz w:val="32"/>
          <w:szCs w:val="32"/>
        </w:rPr>
      </w:pPr>
      <w:r>
        <w:rPr>
          <w:rFonts w:hint="eastAsia"/>
          <w:sz w:val="32"/>
          <w:szCs w:val="32"/>
        </w:rPr>
        <w:t>四、财政拨款收入支出决算总体情况说明</w:t>
      </w:r>
    </w:p>
    <w:p>
      <w:pPr>
        <w:ind w:firstLine="640" w:firstLineChars="200"/>
        <w:rPr>
          <w:sz w:val="32"/>
          <w:szCs w:val="32"/>
        </w:rPr>
      </w:pPr>
      <w:r>
        <w:rPr>
          <w:rFonts w:hint="eastAsia"/>
          <w:sz w:val="32"/>
          <w:szCs w:val="32"/>
        </w:rPr>
        <w:t>五、一般公共预算财政拨款支出决算情况说明</w:t>
      </w:r>
    </w:p>
    <w:p>
      <w:pPr>
        <w:ind w:firstLine="640" w:firstLineChars="200"/>
        <w:rPr>
          <w:sz w:val="32"/>
          <w:szCs w:val="32"/>
        </w:rPr>
      </w:pPr>
      <w:r>
        <w:rPr>
          <w:rFonts w:hint="eastAsia"/>
          <w:sz w:val="32"/>
          <w:szCs w:val="32"/>
        </w:rPr>
        <w:t>六、一般公共预算财政拨款基本支出决算情况说明</w:t>
      </w:r>
    </w:p>
    <w:p>
      <w:pPr>
        <w:ind w:firstLine="640" w:firstLineChars="200"/>
        <w:rPr>
          <w:sz w:val="32"/>
          <w:szCs w:val="32"/>
        </w:rPr>
      </w:pPr>
      <w:r>
        <w:rPr>
          <w:rFonts w:hint="eastAsia"/>
          <w:sz w:val="32"/>
          <w:szCs w:val="32"/>
        </w:rPr>
        <w:t>七、一般公共预算财政拨款“三公”经费支出决算情况说明</w:t>
      </w:r>
    </w:p>
    <w:p>
      <w:pPr>
        <w:ind w:firstLine="640" w:firstLineChars="200"/>
        <w:rPr>
          <w:sz w:val="32"/>
          <w:szCs w:val="32"/>
        </w:rPr>
      </w:pPr>
      <w:r>
        <w:rPr>
          <w:rFonts w:hint="eastAsia"/>
          <w:sz w:val="32"/>
          <w:szCs w:val="32"/>
        </w:rPr>
        <w:t>八、预算绩效情况说明</w:t>
      </w:r>
    </w:p>
    <w:p>
      <w:pPr>
        <w:ind w:firstLine="640" w:firstLineChars="200"/>
        <w:rPr>
          <w:sz w:val="32"/>
          <w:szCs w:val="32"/>
        </w:rPr>
      </w:pPr>
      <w:r>
        <w:rPr>
          <w:rFonts w:hint="eastAsia"/>
          <w:sz w:val="32"/>
          <w:szCs w:val="32"/>
        </w:rPr>
        <w:t>九、政府性基金预算财政拨款支出决算情况说明</w:t>
      </w:r>
    </w:p>
    <w:p>
      <w:pPr>
        <w:ind w:firstLine="640" w:firstLineChars="200"/>
        <w:rPr>
          <w:sz w:val="32"/>
          <w:szCs w:val="32"/>
        </w:rPr>
      </w:pPr>
      <w:r>
        <w:rPr>
          <w:rFonts w:hint="eastAsia"/>
          <w:sz w:val="32"/>
          <w:szCs w:val="32"/>
        </w:rPr>
        <w:t>十、机关运行经费支出情况说明</w:t>
      </w:r>
    </w:p>
    <w:p>
      <w:pPr>
        <w:ind w:firstLine="640" w:firstLineChars="200"/>
        <w:rPr>
          <w:sz w:val="32"/>
          <w:szCs w:val="32"/>
        </w:rPr>
      </w:pPr>
      <w:r>
        <w:rPr>
          <w:rFonts w:hint="eastAsia"/>
          <w:sz w:val="32"/>
          <w:szCs w:val="32"/>
        </w:rPr>
        <w:t>十一、政府采购支出情况说明</w:t>
      </w:r>
    </w:p>
    <w:p>
      <w:pPr>
        <w:ind w:firstLine="640" w:firstLineChars="200"/>
        <w:rPr>
          <w:sz w:val="32"/>
          <w:szCs w:val="32"/>
        </w:rPr>
      </w:pPr>
      <w:r>
        <w:rPr>
          <w:rFonts w:hint="eastAsia"/>
          <w:sz w:val="32"/>
          <w:szCs w:val="32"/>
        </w:rPr>
        <w:t>十二、国有资产占用情况说明</w:t>
      </w:r>
    </w:p>
    <w:p>
      <w:pPr>
        <w:rPr>
          <w:rFonts w:ascii="黑体" w:hAnsi="黑体" w:eastAsia="黑体" w:cs="黑体"/>
          <w:sz w:val="32"/>
          <w:szCs w:val="32"/>
        </w:rPr>
      </w:pPr>
      <w:r>
        <w:rPr>
          <w:rFonts w:hint="eastAsia" w:ascii="黑体" w:hAnsi="黑体" w:eastAsia="黑体" w:cs="黑体"/>
          <w:sz w:val="32"/>
          <w:szCs w:val="32"/>
        </w:rPr>
        <w:t>第三部分　　名词解释</w:t>
      </w:r>
    </w:p>
    <w:p>
      <w:pPr>
        <w:rPr>
          <w:rFonts w:ascii="黑体" w:hAnsi="黑体" w:eastAsia="黑体" w:cs="黑体"/>
          <w:sz w:val="32"/>
          <w:szCs w:val="32"/>
        </w:rPr>
      </w:pPr>
      <w:r>
        <w:rPr>
          <w:rFonts w:hint="eastAsia" w:ascii="黑体" w:hAnsi="黑体" w:eastAsia="黑体" w:cs="黑体"/>
          <w:sz w:val="32"/>
          <w:szCs w:val="32"/>
        </w:rPr>
        <w:t>第四部分　　</w:t>
      </w:r>
      <w:r>
        <w:rPr>
          <w:rFonts w:ascii="黑体" w:hAnsi="黑体" w:eastAsia="黑体" w:cs="黑体"/>
          <w:sz w:val="32"/>
          <w:szCs w:val="32"/>
        </w:rPr>
        <w:t>2020</w:t>
      </w:r>
      <w:r>
        <w:rPr>
          <w:rFonts w:hint="eastAsia" w:ascii="黑体" w:hAnsi="黑体" w:eastAsia="黑体" w:cs="黑体"/>
          <w:sz w:val="32"/>
          <w:szCs w:val="32"/>
        </w:rPr>
        <w:t>年度部门决算表（</w:t>
      </w:r>
      <w:r>
        <w:rPr>
          <w:rFonts w:ascii="黑体" w:hAnsi="黑体" w:eastAsia="黑体" w:cs="黑体"/>
          <w:sz w:val="32"/>
          <w:szCs w:val="32"/>
        </w:rPr>
        <w:t>Excel</w:t>
      </w:r>
      <w:r>
        <w:rPr>
          <w:rFonts w:hint="eastAsia" w:ascii="黑体" w:hAnsi="黑体" w:eastAsia="黑体" w:cs="黑体"/>
          <w:sz w:val="32"/>
          <w:szCs w:val="32"/>
        </w:rPr>
        <w:t>表格形式）</w:t>
      </w:r>
    </w:p>
    <w:p>
      <w:pPr>
        <w:ind w:firstLine="640" w:firstLineChars="200"/>
        <w:rPr>
          <w:sz w:val="32"/>
          <w:szCs w:val="32"/>
        </w:rPr>
      </w:pPr>
      <w:r>
        <w:rPr>
          <w:rFonts w:hint="eastAsia"/>
          <w:sz w:val="32"/>
          <w:szCs w:val="32"/>
        </w:rPr>
        <w:t>一、收入支出决算总表</w:t>
      </w:r>
    </w:p>
    <w:p>
      <w:pPr>
        <w:ind w:firstLine="640" w:firstLineChars="200"/>
        <w:rPr>
          <w:sz w:val="32"/>
          <w:szCs w:val="32"/>
        </w:rPr>
      </w:pPr>
      <w:r>
        <w:rPr>
          <w:rFonts w:hint="eastAsia"/>
          <w:sz w:val="32"/>
          <w:szCs w:val="32"/>
        </w:rPr>
        <w:t>二、收入决算表</w:t>
      </w:r>
    </w:p>
    <w:p>
      <w:pPr>
        <w:ind w:firstLine="640" w:firstLineChars="200"/>
        <w:rPr>
          <w:sz w:val="32"/>
          <w:szCs w:val="32"/>
        </w:rPr>
      </w:pPr>
      <w:r>
        <w:rPr>
          <w:rFonts w:hint="eastAsia"/>
          <w:sz w:val="32"/>
          <w:szCs w:val="32"/>
        </w:rPr>
        <w:t>三、支出决算表</w:t>
      </w:r>
    </w:p>
    <w:p>
      <w:pPr>
        <w:ind w:firstLine="640" w:firstLineChars="200"/>
        <w:rPr>
          <w:sz w:val="32"/>
          <w:szCs w:val="32"/>
        </w:rPr>
      </w:pPr>
      <w:r>
        <w:rPr>
          <w:rFonts w:hint="eastAsia"/>
          <w:sz w:val="32"/>
          <w:szCs w:val="32"/>
        </w:rPr>
        <w:t>四、财政拨款收入支出决算总表</w:t>
      </w:r>
    </w:p>
    <w:p>
      <w:pPr>
        <w:ind w:firstLine="640" w:firstLineChars="200"/>
        <w:rPr>
          <w:sz w:val="32"/>
          <w:szCs w:val="32"/>
        </w:rPr>
      </w:pPr>
      <w:r>
        <w:rPr>
          <w:rFonts w:hint="eastAsia"/>
          <w:sz w:val="32"/>
          <w:szCs w:val="32"/>
        </w:rPr>
        <w:t>五、一般公共预算财政拨款支出决算表</w:t>
      </w:r>
    </w:p>
    <w:p>
      <w:pPr>
        <w:ind w:firstLine="640" w:firstLineChars="200"/>
        <w:rPr>
          <w:sz w:val="32"/>
          <w:szCs w:val="32"/>
        </w:rPr>
      </w:pPr>
      <w:r>
        <w:rPr>
          <w:rFonts w:hint="eastAsia"/>
          <w:sz w:val="32"/>
          <w:szCs w:val="32"/>
        </w:rPr>
        <w:t>六、一般公共预算财政拨款基本支出决算表</w:t>
      </w:r>
    </w:p>
    <w:p>
      <w:pPr>
        <w:ind w:firstLine="640" w:firstLineChars="200"/>
        <w:rPr>
          <w:sz w:val="32"/>
          <w:szCs w:val="32"/>
        </w:rPr>
      </w:pPr>
      <w:r>
        <w:rPr>
          <w:rFonts w:hint="eastAsia"/>
          <w:sz w:val="32"/>
          <w:szCs w:val="32"/>
        </w:rPr>
        <w:t>七、一般公共预算财政拨款“三公”经费支出决算表</w:t>
      </w:r>
    </w:p>
    <w:p>
      <w:pPr>
        <w:ind w:firstLine="640" w:firstLineChars="200"/>
        <w:rPr>
          <w:rFonts w:ascii="黑体" w:hAnsi="黑体" w:eastAsia="黑体" w:cs="黑体"/>
          <w:sz w:val="44"/>
          <w:szCs w:val="44"/>
        </w:rPr>
      </w:pPr>
      <w:r>
        <w:rPr>
          <w:rFonts w:hint="eastAsia"/>
          <w:sz w:val="32"/>
          <w:szCs w:val="32"/>
        </w:rPr>
        <w:t>八、政府性基金预算财政拨款收入支出决算表</w:t>
      </w:r>
    </w:p>
    <w:p>
      <w:pPr>
        <w:jc w:val="center"/>
        <w:rPr>
          <w:rFonts w:ascii="黑体" w:hAnsi="黑体" w:eastAsia="黑体" w:cs="黑体"/>
          <w:sz w:val="44"/>
          <w:szCs w:val="44"/>
        </w:rPr>
      </w:pPr>
    </w:p>
    <w:p>
      <w:pPr>
        <w:pageBreakBefore/>
        <w:jc w:val="center"/>
        <w:rPr>
          <w:rFonts w:ascii="黑体" w:eastAsia="黑体"/>
          <w:color w:val="000000"/>
          <w:sz w:val="44"/>
          <w:szCs w:val="44"/>
        </w:rPr>
      </w:pPr>
      <w:r>
        <w:rPr>
          <w:rFonts w:hint="eastAsia" w:ascii="黑体" w:hAnsi="黑体" w:eastAsia="黑体" w:cs="黑体"/>
          <w:sz w:val="44"/>
          <w:szCs w:val="44"/>
        </w:rPr>
        <w:t>第一部分　　罗山县机关事务中心概况</w:t>
      </w:r>
    </w:p>
    <w:p>
      <w:pPr>
        <w:ind w:firstLine="640" w:firstLineChars="200"/>
        <w:outlineLvl w:val="1"/>
        <w:rPr>
          <w:rFonts w:ascii="黑体" w:hAnsi="黑体" w:eastAsia="黑体" w:cs="黑体"/>
          <w:sz w:val="32"/>
          <w:szCs w:val="32"/>
        </w:rPr>
      </w:pP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bCs/>
          <w:sz w:val="32"/>
          <w:szCs w:val="32"/>
        </w:rPr>
        <w:t>职责</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贯彻执行党和国家有关行政机关后勤管理的方针政策，制定县委、县政府、县人大、悬政协机关后勤管理的具体规定，并组织实施。</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负责县委、县政府、县人大、县政协机关所属国有</w:t>
      </w:r>
    </w:p>
    <w:p>
      <w:pPr>
        <w:jc w:val="both"/>
        <w:rPr>
          <w:rFonts w:ascii="仿宋" w:hAnsi="仿宋" w:eastAsia="仿宋" w:cs="仿宋"/>
          <w:sz w:val="32"/>
          <w:szCs w:val="32"/>
        </w:rPr>
      </w:pPr>
      <w:r>
        <w:rPr>
          <w:rFonts w:hint="eastAsia" w:ascii="仿宋" w:hAnsi="仿宋" w:eastAsia="仿宋" w:cs="仿宋"/>
          <w:sz w:val="32"/>
          <w:szCs w:val="32"/>
        </w:rPr>
        <w:t>资产的管理。</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）负责县委、县政府、县人大、县政协机关公务车辆的配备、更新、维修等管理工作，保障县委、县政府、县人大、县政协领导和县有关重大活动的公务用车。</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负责县行政中心办公场所的安全保卫、绿化美化、会议中必等综合管理工作。负责县行政中心办公场所的水、电、气、暖的供应。</w:t>
      </w: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二、机构设置</w:t>
      </w:r>
    </w:p>
    <w:p>
      <w:pPr>
        <w:ind w:firstLine="640" w:firstLineChars="200"/>
        <w:jc w:val="both"/>
        <w:rPr>
          <w:rFonts w:ascii="仿宋_GB2312" w:hAnsi="仿宋_GB2312" w:eastAsia="仿宋_GB2312" w:cs="仿宋_GB2312"/>
          <w:sz w:val="32"/>
          <w:szCs w:val="32"/>
        </w:rPr>
      </w:pPr>
      <w:r>
        <w:rPr>
          <w:rFonts w:hint="eastAsia" w:ascii="仿宋" w:hAnsi="仿宋" w:eastAsia="仿宋" w:cs="仿宋"/>
          <w:sz w:val="32"/>
          <w:szCs w:val="32"/>
        </w:rPr>
        <w:t>罗山县机关事务中心</w:t>
      </w:r>
      <w:r>
        <w:rPr>
          <w:rFonts w:hint="eastAsia" w:ascii="仿宋_GB2312" w:hAnsi="仿宋_GB2312" w:eastAsia="仿宋_GB2312" w:cs="仿宋_GB2312"/>
          <w:sz w:val="32"/>
          <w:szCs w:val="32"/>
        </w:rPr>
        <w:t>内设五个</w:t>
      </w:r>
      <w:r>
        <w:rPr>
          <w:rFonts w:hint="eastAsia" w:ascii="仿宋" w:hAnsi="仿宋" w:eastAsia="仿宋" w:cs="仿宋"/>
          <w:sz w:val="32"/>
          <w:szCs w:val="32"/>
        </w:rPr>
        <w:t>职能</w:t>
      </w:r>
      <w:r>
        <w:rPr>
          <w:rFonts w:hint="eastAsia" w:ascii="仿宋_GB2312" w:hAnsi="仿宋_GB2312" w:eastAsia="仿宋_GB2312" w:cs="仿宋_GB2312"/>
          <w:sz w:val="32"/>
          <w:szCs w:val="32"/>
        </w:rPr>
        <w:t>股室，包括：</w:t>
      </w:r>
      <w:r>
        <w:rPr>
          <w:rFonts w:hint="eastAsia" w:ascii="仿宋" w:hAnsi="仿宋" w:eastAsia="仿宋" w:cs="仿宋"/>
          <w:sz w:val="32"/>
          <w:szCs w:val="32"/>
        </w:rPr>
        <w:t>办公室</w:t>
      </w:r>
      <w:r>
        <w:rPr>
          <w:rFonts w:hint="eastAsia" w:ascii="仿宋_GB2312" w:hAnsi="仿宋_GB2312" w:eastAsia="仿宋_GB2312" w:cs="仿宋_GB2312"/>
          <w:sz w:val="32"/>
          <w:szCs w:val="32"/>
        </w:rPr>
        <w:t>、</w:t>
      </w:r>
      <w:r>
        <w:rPr>
          <w:rFonts w:hint="eastAsia" w:ascii="仿宋" w:hAnsi="仿宋" w:eastAsia="仿宋" w:cs="仿宋"/>
          <w:sz w:val="32"/>
          <w:szCs w:val="32"/>
        </w:rPr>
        <w:t>接待股（挂接待办公室牌子</w:t>
      </w:r>
      <w:r>
        <w:rPr>
          <w:rFonts w:ascii="仿宋" w:hAnsi="仿宋" w:eastAsia="仿宋" w:cs="仿宋"/>
          <w:sz w:val="32"/>
          <w:szCs w:val="32"/>
        </w:rPr>
        <w:t>)</w:t>
      </w:r>
      <w:r>
        <w:rPr>
          <w:rFonts w:hint="eastAsia" w:ascii="仿宋" w:hAnsi="仿宋" w:eastAsia="仿宋" w:cs="仿宋"/>
          <w:sz w:val="32"/>
          <w:szCs w:val="32"/>
        </w:rPr>
        <w:t>、财务股、综合管理股、</w:t>
      </w:r>
      <w:r>
        <w:rPr>
          <w:rFonts w:hint="eastAsia" w:ascii="仿宋_GB2312" w:hAnsi="仿宋_GB2312" w:eastAsia="仿宋_GB2312" w:cs="仿宋_GB2312"/>
          <w:sz w:val="32"/>
          <w:szCs w:val="32"/>
        </w:rPr>
        <w:t>另设有</w:t>
      </w:r>
      <w:r>
        <w:rPr>
          <w:rFonts w:hint="eastAsia" w:ascii="仿宋" w:hAnsi="仿宋" w:eastAsia="仿宋" w:cs="仿宋"/>
          <w:sz w:val="32"/>
          <w:szCs w:val="32"/>
        </w:rPr>
        <w:t>车管股、公务用车服务管理中心</w:t>
      </w:r>
      <w:r>
        <w:rPr>
          <w:rFonts w:hint="eastAsia" w:ascii="仿宋_GB2312" w:hAnsi="仿宋_GB2312" w:eastAsia="仿宋_GB2312" w:cs="仿宋_GB2312"/>
          <w:sz w:val="32"/>
          <w:szCs w:val="32"/>
        </w:rPr>
        <w:t>和</w:t>
      </w:r>
      <w:r>
        <w:rPr>
          <w:rFonts w:hint="eastAsia" w:ascii="仿宋" w:hAnsi="仿宋" w:eastAsia="仿宋" w:cs="仿宋"/>
          <w:sz w:val="32"/>
          <w:szCs w:val="32"/>
        </w:rPr>
        <w:t>公共机构节能减排监督管理股</w:t>
      </w:r>
      <w:r>
        <w:rPr>
          <w:rFonts w:hint="eastAsia" w:ascii="仿宋_GB2312" w:hAnsi="仿宋_GB2312" w:eastAsia="仿宋_GB2312" w:cs="仿宋_GB2312"/>
          <w:sz w:val="32"/>
          <w:szCs w:val="32"/>
        </w:rPr>
        <w:t>。</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）办公室</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根据本机关的政务工作；负责文字、信息、档案、信访工作；负责本机关后勤保障工作；负责高度机关公务用车。负责本机关的机构、编制、干部、人事、劳动工资、职称评定申报工作：负责组织实施对本机关工作人员进行年度考核；负责局长办公会、局务会和其他重要会议的会务组织。</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）接待股（挂接待办公室牌子</w:t>
      </w:r>
      <w:r>
        <w:rPr>
          <w:rFonts w:ascii="仿宋" w:hAnsi="仿宋" w:eastAsia="仿宋" w:cs="仿宋"/>
          <w:sz w:val="32"/>
          <w:szCs w:val="32"/>
        </w:rPr>
        <w:t>)</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负责做好上级领导、兄弟县市区及有关部门领导来罗考察、调研、参观的接待工作；参与配合县重要会议和重大活动的接特工作：负责做好县委、县政府、县人大、县政协领导和局领导交办的接待工作。</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财务股</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负责县委、县政府、县人大、县政协机关所属国有资产的管理：负责局机关的财务管理；负费局所属事业单位的财务工作的业务指导和审计监督；负责接待经费的统计、审核工作，编制接待经费月、季、年报表。</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综合管理股</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负责县行政中心办公场所房屋基建和水、电、气、暖的供应及维护；负责县行政中心的安全保卫、绿化美化、机关食堂等后勤保障工作；负责县会议中心的管理工作。</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车管股、公务用车服务管理中心</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负责县委、县政府、县人大、县政协领导公务用车的调配、用油用料、维修、更新等管理工作；负责县委、县政府、县人大、县政协领导公务车辆的年检、保险等工作；承担对驾驶员的年审和安全教育工作；管理和核发县行政中心场所机动车辆“出入通行证”。</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6)</w:t>
      </w:r>
      <w:r>
        <w:rPr>
          <w:rFonts w:hint="eastAsia" w:ascii="仿宋" w:hAnsi="仿宋" w:eastAsia="仿宋" w:cs="仿宋"/>
          <w:sz w:val="32"/>
          <w:szCs w:val="32"/>
        </w:rPr>
        <w:t>公共机构节能减排监督管理股，为县机关事务中心内设机构，负责全县公共机构节能减排监督管理和相关统计工作。</w:t>
      </w:r>
    </w:p>
    <w:p>
      <w:pPr>
        <w:ind w:firstLine="640" w:firstLineChars="200"/>
        <w:jc w:val="both"/>
        <w:rPr>
          <w:rFonts w:ascii="仿宋_GB2312" w:hAnsi="仿宋_GB2312" w:eastAsia="仿宋_GB2312" w:cs="仿宋_GB2312"/>
          <w:sz w:val="32"/>
          <w:szCs w:val="32"/>
        </w:rPr>
      </w:pPr>
      <w:r>
        <w:rPr>
          <w:rFonts w:hint="eastAsia" w:ascii="仿宋" w:hAnsi="仿宋" w:eastAsia="仿宋" w:cs="仿宋"/>
          <w:sz w:val="32"/>
          <w:szCs w:val="32"/>
        </w:rPr>
        <w:t>机关党组织和纪检（监察）机构按有关规定设置。</w:t>
      </w:r>
    </w:p>
    <w:p>
      <w:pPr>
        <w:pStyle w:val="4"/>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_GB2312" w:hAnsi="仿宋_GB2312" w:eastAsia="仿宋_GB2312" w:cs="仿宋_GB2312"/>
          <w:sz w:val="32"/>
          <w:szCs w:val="32"/>
        </w:rPr>
        <w:t>从决算单位构成看，</w:t>
      </w:r>
      <w:r>
        <w:rPr>
          <w:rFonts w:hint="eastAsia" w:ascii="仿宋" w:hAnsi="仿宋" w:eastAsia="仿宋" w:cs="仿宋"/>
          <w:sz w:val="32"/>
          <w:szCs w:val="32"/>
        </w:rPr>
        <w:t>罗山县机关事务中心部门决算为本级决算，无二级机构。</w:t>
      </w:r>
    </w:p>
    <w:p>
      <w:pPr>
        <w:pStyle w:val="4"/>
        <w:spacing w:before="0" w:beforeAutospacing="0" w:after="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纳入本部门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年度部门决算编制范围的单位共</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个，具体是：</w:t>
      </w:r>
    </w:p>
    <w:p>
      <w:pPr>
        <w:ind w:firstLine="640" w:firstLineChars="200"/>
        <w:rPr>
          <w:rFonts w:ascii="黑体" w:hAnsi="黑体" w:eastAsia="黑体" w:cs="黑体"/>
          <w:sz w:val="32"/>
          <w:szCs w:val="32"/>
        </w:rPr>
      </w:pPr>
      <w:r>
        <w:rPr>
          <w:rFonts w:ascii="仿宋_GB2312" w:hAnsi="仿宋_GB2312" w:eastAsia="仿宋_GB2312" w:cs="仿宋_GB2312"/>
          <w:sz w:val="32"/>
          <w:szCs w:val="32"/>
        </w:rPr>
        <w:t>1.</w:t>
      </w:r>
      <w:r>
        <w:rPr>
          <w:rFonts w:hint="eastAsia" w:ascii="仿宋" w:hAnsi="仿宋" w:eastAsia="仿宋" w:cs="仿宋"/>
          <w:sz w:val="32"/>
          <w:szCs w:val="32"/>
        </w:rPr>
        <w:t>罗山县机关事务中心本级（无二级机构）</w:t>
      </w:r>
    </w:p>
    <w:p>
      <w:pPr>
        <w:pageBreakBefore/>
        <w:jc w:val="center"/>
        <w:rPr>
          <w:rFonts w:ascii="黑体" w:hAnsi="黑体" w:eastAsia="黑体" w:cs="黑体"/>
          <w:sz w:val="44"/>
          <w:szCs w:val="44"/>
        </w:rPr>
      </w:pPr>
      <w:r>
        <w:rPr>
          <w:rFonts w:hint="eastAsia" w:ascii="黑体" w:hAnsi="黑体" w:eastAsia="黑体" w:cs="黑体"/>
          <w:sz w:val="44"/>
          <w:szCs w:val="44"/>
        </w:rPr>
        <w:t>第二部分</w:t>
      </w:r>
    </w:p>
    <w:p>
      <w:pPr>
        <w:jc w:val="center"/>
        <w:rPr>
          <w:sz w:val="32"/>
          <w:szCs w:val="32"/>
        </w:rPr>
      </w:pPr>
      <w:r>
        <w:rPr>
          <w:rFonts w:hint="eastAsia" w:ascii="黑体" w:hAnsi="黑体" w:eastAsia="黑体" w:cs="黑体"/>
          <w:sz w:val="44"/>
          <w:szCs w:val="44"/>
        </w:rPr>
        <w:t>罗山县机关事务中心</w:t>
      </w:r>
      <w:r>
        <w:rPr>
          <w:rFonts w:ascii="黑体" w:hAnsi="黑体" w:eastAsia="黑体" w:cs="黑体"/>
          <w:sz w:val="44"/>
          <w:szCs w:val="44"/>
        </w:rPr>
        <w:t>2020</w:t>
      </w:r>
      <w:r>
        <w:rPr>
          <w:rFonts w:hint="eastAsia" w:ascii="黑体" w:hAnsi="黑体" w:eastAsia="黑体" w:cs="黑体"/>
          <w:sz w:val="44"/>
          <w:szCs w:val="44"/>
        </w:rPr>
        <w:t>年度部门决算情况说明</w:t>
      </w:r>
    </w:p>
    <w:p>
      <w:pPr>
        <w:pStyle w:val="4"/>
        <w:shd w:val="clear" w:color="auto" w:fill="FFFFFF"/>
        <w:ind w:left="161" w:leftChars="67" w:firstLine="480" w:firstLineChars="150"/>
        <w:rPr>
          <w:rFonts w:ascii="仿宋_GB2312" w:eastAsia="仿宋_GB2312"/>
          <w:sz w:val="32"/>
          <w:szCs w:val="32"/>
        </w:rPr>
      </w:pPr>
      <w:r>
        <w:rPr>
          <w:rFonts w:hint="eastAsia" w:ascii="仿宋_GB2312" w:eastAsia="仿宋_GB2312"/>
          <w:sz w:val="32"/>
          <w:szCs w:val="32"/>
        </w:rPr>
        <w:t>一、收入支出决算总体情况说明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年度收、支总计均为</w:t>
      </w:r>
      <w:r>
        <w:rPr>
          <w:rFonts w:ascii="仿宋_GB2312" w:eastAsia="仿宋_GB2312"/>
          <w:sz w:val="32"/>
          <w:szCs w:val="32"/>
        </w:rPr>
        <w:t xml:space="preserve">2264.09 </w:t>
      </w:r>
      <w:r>
        <w:rPr>
          <w:rFonts w:hint="eastAsia" w:ascii="仿宋_GB2312" w:eastAsia="仿宋_GB2312"/>
          <w:sz w:val="32"/>
          <w:szCs w:val="32"/>
        </w:rPr>
        <w:t>万元。与上年度相比，收、支总计各增加</w:t>
      </w:r>
      <w:r>
        <w:rPr>
          <w:rFonts w:ascii="仿宋_GB2312" w:eastAsia="仿宋_GB2312"/>
          <w:sz w:val="32"/>
          <w:szCs w:val="32"/>
        </w:rPr>
        <w:t>457.94</w:t>
      </w:r>
      <w:r>
        <w:rPr>
          <w:rFonts w:hint="eastAsia" w:ascii="仿宋_GB2312" w:eastAsia="仿宋_GB2312"/>
          <w:sz w:val="32"/>
          <w:szCs w:val="32"/>
        </w:rPr>
        <w:t>万元，增长</w:t>
      </w:r>
      <w:r>
        <w:rPr>
          <w:rFonts w:ascii="仿宋_GB2312" w:eastAsia="仿宋_GB2312"/>
          <w:sz w:val="32"/>
          <w:szCs w:val="32"/>
        </w:rPr>
        <w:t>25%</w:t>
      </w:r>
      <w:r>
        <w:rPr>
          <w:rFonts w:hint="eastAsia" w:ascii="仿宋_GB2312" w:eastAsia="仿宋_GB2312"/>
          <w:sz w:val="32"/>
          <w:szCs w:val="32"/>
        </w:rPr>
        <w:t>。主要原因是</w:t>
      </w:r>
      <w:r>
        <w:rPr>
          <w:rFonts w:hint="eastAsia" w:ascii="仿宋" w:hAnsi="仿宋" w:eastAsia="仿宋" w:cs="仿宋"/>
          <w:sz w:val="32"/>
          <w:szCs w:val="32"/>
        </w:rPr>
        <w:t>单位办公用房的维修维护、办公家具和设备的采购等项目增加，收入、支出较上年增加</w:t>
      </w:r>
      <w:r>
        <w:rPr>
          <w:rFonts w:ascii="仿宋_GB2312" w:eastAsia="仿宋_GB2312"/>
          <w:sz w:val="32"/>
          <w:szCs w:val="32"/>
        </w:rPr>
        <w:t>457.94</w:t>
      </w:r>
      <w:r>
        <w:rPr>
          <w:rFonts w:hint="eastAsia" w:ascii="仿宋" w:hAnsi="仿宋" w:eastAsia="仿宋" w:cs="仿宋"/>
          <w:sz w:val="32"/>
          <w:szCs w:val="32"/>
        </w:rPr>
        <w:t>万元</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二、收入决算情况说明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 xml:space="preserve">2020 </w:t>
      </w:r>
      <w:r>
        <w:rPr>
          <w:rFonts w:hint="eastAsia" w:ascii="仿宋_GB2312" w:eastAsia="仿宋_GB2312"/>
          <w:sz w:val="32"/>
          <w:szCs w:val="32"/>
        </w:rPr>
        <w:t>年度收入合计</w:t>
      </w:r>
      <w:r>
        <w:rPr>
          <w:rFonts w:ascii="仿宋_GB2312" w:eastAsia="仿宋_GB2312"/>
          <w:sz w:val="32"/>
          <w:szCs w:val="32"/>
        </w:rPr>
        <w:t>2264.09</w:t>
      </w:r>
      <w:r>
        <w:rPr>
          <w:rFonts w:hint="eastAsia" w:ascii="仿宋_GB2312" w:eastAsia="仿宋_GB2312"/>
          <w:sz w:val="32"/>
          <w:szCs w:val="32"/>
        </w:rPr>
        <w:t>万元，其中：财政拨款收入</w:t>
      </w:r>
      <w:r>
        <w:rPr>
          <w:rFonts w:ascii="仿宋_GB2312" w:eastAsia="仿宋_GB2312"/>
          <w:sz w:val="32"/>
          <w:szCs w:val="32"/>
        </w:rPr>
        <w:t>2264.09</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年度支出合计</w:t>
      </w:r>
      <w:r>
        <w:rPr>
          <w:rFonts w:ascii="仿宋_GB2312" w:eastAsia="仿宋_GB2312"/>
          <w:sz w:val="32"/>
          <w:szCs w:val="32"/>
        </w:rPr>
        <w:t>2264.09</w:t>
      </w:r>
      <w:r>
        <w:rPr>
          <w:rFonts w:hint="eastAsia" w:ascii="仿宋_GB2312" w:eastAsia="仿宋_GB2312"/>
          <w:sz w:val="32"/>
          <w:szCs w:val="32"/>
        </w:rPr>
        <w:t>万元，其中：基本支出</w:t>
      </w:r>
      <w:r>
        <w:rPr>
          <w:rFonts w:ascii="仿宋_GB2312" w:eastAsia="仿宋_GB2312"/>
          <w:sz w:val="32"/>
          <w:szCs w:val="32"/>
        </w:rPr>
        <w:t xml:space="preserve">2264.09 </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四、财政拨款收入支出决算总体情况说明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年度财政拨款收、支总计均为</w:t>
      </w:r>
      <w:r>
        <w:rPr>
          <w:rFonts w:ascii="仿宋_GB2312" w:eastAsia="仿宋_GB2312"/>
          <w:sz w:val="32"/>
          <w:szCs w:val="32"/>
        </w:rPr>
        <w:t>2264.09</w:t>
      </w:r>
      <w:r>
        <w:rPr>
          <w:rFonts w:hint="eastAsia" w:ascii="仿宋_GB2312" w:eastAsia="仿宋_GB2312"/>
          <w:sz w:val="32"/>
          <w:szCs w:val="32"/>
        </w:rPr>
        <w:t>万元。与上年度相比，财政拨款收、支总计各增加</w:t>
      </w:r>
      <w:r>
        <w:rPr>
          <w:rFonts w:ascii="仿宋_GB2312" w:eastAsia="仿宋_GB2312"/>
          <w:sz w:val="32"/>
          <w:szCs w:val="32"/>
        </w:rPr>
        <w:t>457.94</w:t>
      </w:r>
      <w:r>
        <w:rPr>
          <w:rFonts w:hint="eastAsia" w:ascii="仿宋_GB2312" w:eastAsia="仿宋_GB2312"/>
          <w:sz w:val="32"/>
          <w:szCs w:val="32"/>
        </w:rPr>
        <w:t>万元，增长</w:t>
      </w:r>
      <w:r>
        <w:rPr>
          <w:rFonts w:ascii="仿宋_GB2312" w:eastAsia="仿宋_GB2312"/>
          <w:sz w:val="32"/>
          <w:szCs w:val="32"/>
        </w:rPr>
        <w:t>25%</w:t>
      </w:r>
      <w:r>
        <w:rPr>
          <w:rFonts w:hint="eastAsia" w:ascii="仿宋_GB2312" w:eastAsia="仿宋_GB2312"/>
          <w:sz w:val="32"/>
          <w:szCs w:val="32"/>
        </w:rPr>
        <w:t>。主要原因是</w:t>
      </w:r>
      <w:r>
        <w:rPr>
          <w:rFonts w:hint="eastAsia" w:ascii="仿宋" w:hAnsi="仿宋" w:eastAsia="仿宋" w:cs="仿宋"/>
          <w:sz w:val="32"/>
          <w:szCs w:val="32"/>
        </w:rPr>
        <w:t>单位办公用房的维修维护、办公家具和设备的采购等项目增加，收入、支出较上年增加</w:t>
      </w:r>
      <w:r>
        <w:rPr>
          <w:rFonts w:ascii="仿宋_GB2312" w:eastAsia="仿宋_GB2312"/>
          <w:sz w:val="32"/>
          <w:szCs w:val="32"/>
        </w:rPr>
        <w:t>457.94</w:t>
      </w:r>
      <w:r>
        <w:rPr>
          <w:rFonts w:hint="eastAsia" w:ascii="仿宋" w:hAnsi="仿宋" w:eastAsia="仿宋" w:cs="仿宋"/>
          <w:sz w:val="32"/>
          <w:szCs w:val="32"/>
        </w:rPr>
        <w:t>万元</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五、一般公共预算财政拨款支出决算情况说明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（一）总体情况。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年度一般公共预算财政拨款支出</w:t>
      </w:r>
      <w:r>
        <w:rPr>
          <w:rFonts w:ascii="仿宋_GB2312" w:eastAsia="仿宋_GB2312"/>
          <w:sz w:val="32"/>
          <w:szCs w:val="32"/>
        </w:rPr>
        <w:t>2264.09</w:t>
      </w:r>
      <w:r>
        <w:rPr>
          <w:rFonts w:hint="eastAsia" w:ascii="仿宋_GB2312" w:eastAsia="仿宋_GB2312"/>
          <w:sz w:val="32"/>
          <w:szCs w:val="32"/>
        </w:rPr>
        <w:t>万元，占支出合计的</w:t>
      </w:r>
      <w:r>
        <w:rPr>
          <w:rFonts w:ascii="仿宋_GB2312" w:eastAsia="仿宋_GB2312"/>
          <w:sz w:val="32"/>
          <w:szCs w:val="32"/>
        </w:rPr>
        <w:t>100%</w:t>
      </w:r>
      <w:r>
        <w:rPr>
          <w:rFonts w:hint="eastAsia" w:ascii="仿宋_GB2312" w:eastAsia="仿宋_GB2312"/>
          <w:sz w:val="32"/>
          <w:szCs w:val="32"/>
        </w:rPr>
        <w:t>。与上年度相比，一般公共预算财政拨款支出增加</w:t>
      </w:r>
      <w:r>
        <w:rPr>
          <w:rFonts w:ascii="仿宋_GB2312" w:eastAsia="仿宋_GB2312"/>
          <w:sz w:val="32"/>
          <w:szCs w:val="32"/>
        </w:rPr>
        <w:t>457.94</w:t>
      </w:r>
      <w:r>
        <w:rPr>
          <w:rFonts w:hint="eastAsia" w:ascii="仿宋_GB2312" w:eastAsia="仿宋_GB2312"/>
          <w:sz w:val="32"/>
          <w:szCs w:val="32"/>
        </w:rPr>
        <w:t>万元，增长</w:t>
      </w:r>
      <w:r>
        <w:rPr>
          <w:rFonts w:ascii="仿宋_GB2312" w:eastAsia="仿宋_GB2312"/>
          <w:sz w:val="32"/>
          <w:szCs w:val="32"/>
        </w:rPr>
        <w:t>25%</w:t>
      </w:r>
      <w:r>
        <w:rPr>
          <w:rFonts w:hint="eastAsia" w:ascii="仿宋_GB2312" w:eastAsia="仿宋_GB2312"/>
          <w:sz w:val="32"/>
          <w:szCs w:val="32"/>
        </w:rPr>
        <w:t>。主要原因是</w:t>
      </w:r>
      <w:r>
        <w:rPr>
          <w:rFonts w:hint="eastAsia" w:ascii="仿宋" w:hAnsi="仿宋" w:eastAsia="仿宋" w:cs="仿宋"/>
          <w:sz w:val="32"/>
          <w:szCs w:val="32"/>
        </w:rPr>
        <w:t>单位办公用房的维修维护、办公家具和设备的采购等项目增加，收入、支出较上年增加</w:t>
      </w:r>
      <w:r>
        <w:rPr>
          <w:rFonts w:ascii="仿宋_GB2312" w:eastAsia="仿宋_GB2312"/>
          <w:sz w:val="32"/>
          <w:szCs w:val="32"/>
        </w:rPr>
        <w:t>457.94</w:t>
      </w:r>
      <w:r>
        <w:rPr>
          <w:rFonts w:hint="eastAsia" w:ascii="仿宋" w:hAnsi="仿宋" w:eastAsia="仿宋" w:cs="仿宋"/>
          <w:sz w:val="32"/>
          <w:szCs w:val="32"/>
        </w:rPr>
        <w:t>万元</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（二）结构情况。</w:t>
      </w:r>
    </w:p>
    <w:p>
      <w:pPr>
        <w:spacing w:line="590" w:lineRule="exact"/>
        <w:ind w:firstLine="640" w:firstLineChars="200"/>
        <w:rPr>
          <w:rFonts w:ascii="仿宋" w:hAnsi="仿宋" w:eastAsia="仿宋" w:cs="仿宋"/>
          <w:sz w:val="32"/>
          <w:szCs w:val="32"/>
        </w:rPr>
      </w:pPr>
      <w:r>
        <w:rPr>
          <w:rFonts w:ascii="仿宋_GB2312" w:eastAsia="仿宋_GB2312"/>
          <w:sz w:val="32"/>
          <w:szCs w:val="32"/>
        </w:rPr>
        <w:t>2020</w:t>
      </w:r>
      <w:r>
        <w:rPr>
          <w:rFonts w:hint="eastAsia" w:ascii="仿宋_GB2312" w:eastAsia="仿宋_GB2312"/>
          <w:sz w:val="32"/>
          <w:szCs w:val="32"/>
        </w:rPr>
        <w:t>年度一般公共预算财政拨款支出</w:t>
      </w:r>
      <w:r>
        <w:rPr>
          <w:rFonts w:ascii="仿宋_GB2312" w:eastAsia="仿宋_GB2312"/>
          <w:sz w:val="32"/>
          <w:szCs w:val="32"/>
        </w:rPr>
        <w:t>2264.09</w:t>
      </w:r>
      <w:r>
        <w:rPr>
          <w:rFonts w:hint="eastAsia" w:ascii="仿宋_GB2312" w:eastAsia="仿宋_GB2312"/>
          <w:sz w:val="32"/>
          <w:szCs w:val="32"/>
        </w:rPr>
        <w:t>万元，主要用于以下方面：一般公共服务（类）支出</w:t>
      </w:r>
      <w:r>
        <w:rPr>
          <w:rFonts w:ascii="仿宋_GB2312" w:eastAsia="仿宋_GB2312"/>
          <w:sz w:val="32"/>
          <w:szCs w:val="32"/>
        </w:rPr>
        <w:t>2235.58</w:t>
      </w:r>
      <w:r>
        <w:rPr>
          <w:rFonts w:hint="eastAsia" w:ascii="仿宋_GB2312" w:eastAsia="仿宋_GB2312"/>
          <w:sz w:val="32"/>
          <w:szCs w:val="32"/>
        </w:rPr>
        <w:t>万元，占</w:t>
      </w:r>
      <w:r>
        <w:rPr>
          <w:rFonts w:ascii="仿宋_GB2312" w:eastAsia="仿宋_GB2312"/>
          <w:sz w:val="32"/>
          <w:szCs w:val="32"/>
        </w:rPr>
        <w:t>98.7%</w:t>
      </w:r>
      <w:r>
        <w:rPr>
          <w:rFonts w:hint="eastAsia" w:ascii="仿宋_GB2312" w:eastAsia="仿宋_GB2312"/>
          <w:sz w:val="32"/>
          <w:szCs w:val="32"/>
        </w:rPr>
        <w:t>；</w:t>
      </w:r>
      <w:r>
        <w:rPr>
          <w:rFonts w:hint="eastAsia" w:ascii="仿宋" w:hAnsi="仿宋" w:eastAsia="仿宋" w:cs="仿宋"/>
          <w:sz w:val="32"/>
          <w:szCs w:val="32"/>
        </w:rPr>
        <w:t>社会保障和就业支出（类）</w:t>
      </w:r>
      <w:r>
        <w:rPr>
          <w:rFonts w:ascii="仿宋" w:hAnsi="仿宋" w:eastAsia="仿宋" w:cs="仿宋"/>
          <w:sz w:val="32"/>
          <w:szCs w:val="32"/>
        </w:rPr>
        <w:t>11.54</w:t>
      </w:r>
      <w:r>
        <w:rPr>
          <w:rFonts w:hint="eastAsia" w:ascii="仿宋" w:hAnsi="仿宋" w:eastAsia="仿宋" w:cs="仿宋"/>
          <w:sz w:val="32"/>
          <w:szCs w:val="32"/>
        </w:rPr>
        <w:t>万元，占</w:t>
      </w:r>
      <w:r>
        <w:rPr>
          <w:rFonts w:ascii="仿宋" w:hAnsi="仿宋" w:eastAsia="仿宋" w:cs="仿宋"/>
          <w:sz w:val="32"/>
          <w:szCs w:val="32"/>
        </w:rPr>
        <w:t>0.5%</w:t>
      </w:r>
      <w:r>
        <w:rPr>
          <w:rFonts w:hint="eastAsia" w:ascii="仿宋" w:hAnsi="仿宋" w:eastAsia="仿宋" w:cs="仿宋"/>
          <w:sz w:val="32"/>
          <w:szCs w:val="32"/>
        </w:rPr>
        <w:t>；卫生健康支出（类）</w:t>
      </w:r>
      <w:r>
        <w:rPr>
          <w:rFonts w:ascii="仿宋" w:hAnsi="仿宋" w:eastAsia="仿宋" w:cs="仿宋"/>
          <w:sz w:val="32"/>
          <w:szCs w:val="32"/>
        </w:rPr>
        <w:t>8.95</w:t>
      </w:r>
      <w:r>
        <w:rPr>
          <w:rFonts w:hint="eastAsia" w:ascii="仿宋" w:hAnsi="仿宋" w:eastAsia="仿宋" w:cs="仿宋"/>
          <w:sz w:val="32"/>
          <w:szCs w:val="32"/>
        </w:rPr>
        <w:t>万元，占</w:t>
      </w:r>
      <w:r>
        <w:rPr>
          <w:rFonts w:ascii="仿宋" w:hAnsi="仿宋" w:eastAsia="仿宋" w:cs="仿宋"/>
          <w:sz w:val="32"/>
          <w:szCs w:val="32"/>
        </w:rPr>
        <w:t>0.4%</w:t>
      </w:r>
      <w:r>
        <w:rPr>
          <w:rFonts w:hint="eastAsia" w:ascii="仿宋" w:hAnsi="仿宋" w:eastAsia="仿宋" w:cs="仿宋"/>
          <w:sz w:val="32"/>
          <w:szCs w:val="32"/>
        </w:rPr>
        <w:t>；住房公积金支出（类）</w:t>
      </w:r>
      <w:r>
        <w:rPr>
          <w:rFonts w:ascii="仿宋" w:hAnsi="仿宋" w:eastAsia="仿宋" w:cs="仿宋"/>
          <w:sz w:val="32"/>
          <w:szCs w:val="32"/>
        </w:rPr>
        <w:t>8.02</w:t>
      </w:r>
      <w:r>
        <w:rPr>
          <w:rFonts w:hint="eastAsia" w:ascii="仿宋" w:hAnsi="仿宋" w:eastAsia="仿宋" w:cs="仿宋"/>
          <w:sz w:val="32"/>
          <w:szCs w:val="32"/>
        </w:rPr>
        <w:t>万元，占</w:t>
      </w:r>
      <w:r>
        <w:rPr>
          <w:rFonts w:ascii="仿宋" w:hAnsi="仿宋" w:eastAsia="仿宋" w:cs="仿宋"/>
          <w:sz w:val="32"/>
          <w:szCs w:val="32"/>
        </w:rPr>
        <w:t>0.4%</w:t>
      </w:r>
      <w:r>
        <w:rPr>
          <w:rFonts w:hint="eastAsia" w:ascii="仿宋" w:hAnsi="仿宋" w:eastAsia="仿宋" w:cs="仿宋"/>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（三）具体情况。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 xml:space="preserve">2020 </w:t>
      </w:r>
      <w:r>
        <w:rPr>
          <w:rFonts w:hint="eastAsia" w:ascii="仿宋_GB2312" w:eastAsia="仿宋_GB2312"/>
          <w:sz w:val="32"/>
          <w:szCs w:val="32"/>
        </w:rPr>
        <w:t>年度一般公共预算财政拨款支出年初预算为</w:t>
      </w:r>
      <w:r>
        <w:rPr>
          <w:rFonts w:ascii="仿宋" w:hAnsi="仿宋" w:eastAsia="仿宋" w:cs="仿宋"/>
          <w:sz w:val="32"/>
          <w:szCs w:val="32"/>
        </w:rPr>
        <w:t>750</w:t>
      </w:r>
      <w:r>
        <w:rPr>
          <w:rFonts w:hint="eastAsia" w:ascii="仿宋_GB2312" w:eastAsia="仿宋_GB2312"/>
          <w:sz w:val="32"/>
          <w:szCs w:val="32"/>
        </w:rPr>
        <w:t>万元，支出决算为</w:t>
      </w:r>
      <w:r>
        <w:rPr>
          <w:rFonts w:ascii="仿宋_GB2312" w:eastAsia="仿宋_GB2312"/>
          <w:sz w:val="32"/>
          <w:szCs w:val="32"/>
        </w:rPr>
        <w:t>2264.09</w:t>
      </w:r>
      <w:r>
        <w:rPr>
          <w:rFonts w:hint="eastAsia" w:ascii="仿宋_GB2312" w:eastAsia="仿宋_GB2312"/>
          <w:sz w:val="32"/>
          <w:szCs w:val="32"/>
        </w:rPr>
        <w:t>万元，完成年初预算的</w:t>
      </w:r>
      <w:r>
        <w:rPr>
          <w:rFonts w:ascii="仿宋_GB2312" w:eastAsia="仿宋_GB2312"/>
          <w:sz w:val="32"/>
          <w:szCs w:val="32"/>
        </w:rPr>
        <w:t>301.88%</w:t>
      </w:r>
      <w:r>
        <w:rPr>
          <w:rFonts w:hint="eastAsia" w:ascii="仿宋_GB2312" w:eastAsia="仿宋_GB2312"/>
          <w:sz w:val="32"/>
          <w:szCs w:val="32"/>
        </w:rPr>
        <w:t>。其中：</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hint="eastAsia" w:ascii="仿宋" w:hAnsi="仿宋" w:eastAsia="仿宋" w:cs="仿宋"/>
          <w:sz w:val="32"/>
          <w:szCs w:val="32"/>
        </w:rPr>
        <w:t>一般公共服务支出（类）政府办公厅及相关机构事务（款）机关服务（项）。</w:t>
      </w:r>
      <w:r>
        <w:rPr>
          <w:rFonts w:hint="eastAsia" w:ascii="仿宋_GB2312" w:eastAsia="仿宋_GB2312"/>
          <w:sz w:val="32"/>
          <w:szCs w:val="32"/>
        </w:rPr>
        <w:t>年初预算为</w:t>
      </w:r>
      <w:r>
        <w:rPr>
          <w:rFonts w:ascii="仿宋" w:hAnsi="仿宋" w:eastAsia="仿宋" w:cs="仿宋"/>
          <w:sz w:val="32"/>
          <w:szCs w:val="32"/>
        </w:rPr>
        <w:t>573</w:t>
      </w:r>
      <w:r>
        <w:rPr>
          <w:rFonts w:hint="eastAsia" w:ascii="仿宋_GB2312" w:eastAsia="仿宋_GB2312"/>
          <w:sz w:val="32"/>
          <w:szCs w:val="32"/>
        </w:rPr>
        <w:t>万元，支出决算为</w:t>
      </w:r>
      <w:r>
        <w:rPr>
          <w:rFonts w:ascii="仿宋_GB2312" w:eastAsia="仿宋_GB2312"/>
          <w:sz w:val="32"/>
          <w:szCs w:val="32"/>
        </w:rPr>
        <w:t>1885.58</w:t>
      </w:r>
      <w:r>
        <w:rPr>
          <w:rFonts w:hint="eastAsia" w:ascii="仿宋_GB2312" w:eastAsia="仿宋_GB2312"/>
          <w:sz w:val="32"/>
          <w:szCs w:val="32"/>
        </w:rPr>
        <w:t>万元，完成年初预算的</w:t>
      </w:r>
      <w:r>
        <w:rPr>
          <w:rFonts w:ascii="仿宋_GB2312" w:eastAsia="仿宋_GB2312"/>
          <w:sz w:val="32"/>
          <w:szCs w:val="32"/>
        </w:rPr>
        <w:t>329.07%</w:t>
      </w:r>
      <w:r>
        <w:rPr>
          <w:rFonts w:hint="eastAsia" w:ascii="仿宋_GB2312" w:eastAsia="仿宋_GB2312"/>
          <w:sz w:val="32"/>
          <w:szCs w:val="32"/>
        </w:rPr>
        <w:t>。决算数与年初预算数存在差异的主要原因是主要原因是</w:t>
      </w:r>
      <w:r>
        <w:rPr>
          <w:rFonts w:hint="eastAsia" w:ascii="仿宋" w:hAnsi="仿宋" w:eastAsia="仿宋" w:cs="仿宋"/>
          <w:sz w:val="32"/>
          <w:szCs w:val="32"/>
        </w:rPr>
        <w:t>单位办公用房的维修维护、办公家具和设备的采购等项目增加</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hint="eastAsia" w:ascii="仿宋" w:hAnsi="仿宋" w:eastAsia="仿宋" w:cs="仿宋"/>
          <w:sz w:val="32"/>
          <w:szCs w:val="32"/>
        </w:rPr>
        <w:t>一般公共服务支出（类）其他一般公共服务支出（款）其他一般公共服务支出（项）</w:t>
      </w:r>
      <w:r>
        <w:rPr>
          <w:rFonts w:hint="eastAsia" w:ascii="仿宋_GB2312" w:eastAsia="仿宋_GB2312"/>
          <w:sz w:val="32"/>
          <w:szCs w:val="32"/>
        </w:rPr>
        <w:t>。年初预算为</w:t>
      </w:r>
      <w:r>
        <w:rPr>
          <w:rFonts w:ascii="仿宋" w:hAnsi="仿宋" w:eastAsia="仿宋" w:cs="仿宋"/>
          <w:sz w:val="32"/>
          <w:szCs w:val="32"/>
        </w:rPr>
        <w:t>143</w:t>
      </w:r>
      <w:r>
        <w:rPr>
          <w:rFonts w:hint="eastAsia" w:ascii="仿宋_GB2312" w:eastAsia="仿宋_GB2312"/>
          <w:sz w:val="32"/>
          <w:szCs w:val="32"/>
        </w:rPr>
        <w:t>万元，支出决算为</w:t>
      </w:r>
      <w:r>
        <w:rPr>
          <w:rFonts w:ascii="仿宋_GB2312" w:eastAsia="仿宋_GB2312"/>
          <w:sz w:val="32"/>
          <w:szCs w:val="32"/>
        </w:rPr>
        <w:t>350</w:t>
      </w:r>
      <w:r>
        <w:rPr>
          <w:rFonts w:hint="eastAsia" w:ascii="仿宋_GB2312" w:eastAsia="仿宋_GB2312"/>
          <w:sz w:val="32"/>
          <w:szCs w:val="32"/>
        </w:rPr>
        <w:t>万元，完成年初预算的</w:t>
      </w:r>
      <w:r>
        <w:rPr>
          <w:rFonts w:ascii="仿宋_GB2312" w:eastAsia="仿宋_GB2312"/>
          <w:sz w:val="32"/>
          <w:szCs w:val="32"/>
        </w:rPr>
        <w:t>244.76%</w:t>
      </w:r>
      <w:r>
        <w:rPr>
          <w:rFonts w:hint="eastAsia" w:ascii="仿宋_GB2312" w:eastAsia="仿宋_GB2312"/>
          <w:sz w:val="32"/>
          <w:szCs w:val="32"/>
        </w:rPr>
        <w:t>。决算数与年初预算数存在差异的主要原因是办公用房设备和办公用品的采购和维修等。</w:t>
      </w:r>
    </w:p>
    <w:p>
      <w:pPr>
        <w:spacing w:line="59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、社会保障和就业支出（类）行政事业单位离退休（款）机关事业单位基本养老保险缴费支出（项）。年初预算为</w:t>
      </w:r>
      <w:r>
        <w:rPr>
          <w:rFonts w:ascii="仿宋" w:hAnsi="仿宋" w:eastAsia="仿宋" w:cs="仿宋"/>
          <w:sz w:val="32"/>
          <w:szCs w:val="32"/>
        </w:rPr>
        <w:t>17.7</w:t>
      </w:r>
      <w:r>
        <w:rPr>
          <w:rFonts w:hint="eastAsia" w:ascii="仿宋" w:hAnsi="仿宋" w:eastAsia="仿宋" w:cs="仿宋"/>
          <w:sz w:val="32"/>
          <w:szCs w:val="32"/>
        </w:rPr>
        <w:t>万元，支出决算为</w:t>
      </w:r>
      <w:r>
        <w:rPr>
          <w:rFonts w:ascii="仿宋" w:hAnsi="仿宋" w:eastAsia="仿宋" w:cs="仿宋"/>
          <w:sz w:val="32"/>
          <w:szCs w:val="32"/>
        </w:rPr>
        <w:t>11.54</w:t>
      </w:r>
      <w:r>
        <w:rPr>
          <w:rFonts w:hint="eastAsia" w:ascii="仿宋" w:hAnsi="仿宋" w:eastAsia="仿宋" w:cs="仿宋"/>
          <w:sz w:val="32"/>
          <w:szCs w:val="32"/>
        </w:rPr>
        <w:t>万元，完成年初预算数的</w:t>
      </w:r>
      <w:r>
        <w:rPr>
          <w:rFonts w:ascii="仿宋" w:hAnsi="仿宋" w:eastAsia="仿宋" w:cs="仿宋"/>
          <w:sz w:val="32"/>
          <w:szCs w:val="32"/>
        </w:rPr>
        <w:t>65%</w:t>
      </w:r>
      <w:r>
        <w:rPr>
          <w:rFonts w:hint="eastAsia" w:ascii="仿宋" w:hAnsi="仿宋" w:eastAsia="仿宋" w:cs="仿宋"/>
          <w:sz w:val="32"/>
          <w:szCs w:val="32"/>
        </w:rPr>
        <w:t>。</w:t>
      </w:r>
    </w:p>
    <w:p>
      <w:pPr>
        <w:spacing w:line="590" w:lineRule="exact"/>
        <w:ind w:firstLine="64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、卫生健康支出（类）行政事业单位医疗（款）事业单位医疗（项）。年初预算为</w:t>
      </w:r>
      <w:r>
        <w:rPr>
          <w:rFonts w:ascii="仿宋" w:hAnsi="仿宋" w:eastAsia="仿宋" w:cs="仿宋"/>
          <w:sz w:val="32"/>
          <w:szCs w:val="32"/>
        </w:rPr>
        <w:t>7.1</w:t>
      </w:r>
      <w:r>
        <w:rPr>
          <w:rFonts w:hint="eastAsia" w:ascii="仿宋" w:hAnsi="仿宋" w:eastAsia="仿宋" w:cs="仿宋"/>
          <w:sz w:val="32"/>
          <w:szCs w:val="32"/>
        </w:rPr>
        <w:t>万元，支出决算数</w:t>
      </w:r>
      <w:r>
        <w:rPr>
          <w:rFonts w:ascii="仿宋" w:hAnsi="仿宋" w:eastAsia="仿宋" w:cs="仿宋"/>
          <w:sz w:val="32"/>
          <w:szCs w:val="32"/>
        </w:rPr>
        <w:t>8.95</w:t>
      </w:r>
      <w:r>
        <w:rPr>
          <w:rFonts w:hint="eastAsia" w:ascii="仿宋" w:hAnsi="仿宋" w:eastAsia="仿宋" w:cs="仿宋"/>
          <w:sz w:val="32"/>
          <w:szCs w:val="32"/>
        </w:rPr>
        <w:t>万元，完成年初预算数的</w:t>
      </w:r>
      <w:r>
        <w:rPr>
          <w:rFonts w:ascii="仿宋" w:hAnsi="仿宋" w:eastAsia="仿宋" w:cs="仿宋"/>
          <w:sz w:val="32"/>
          <w:szCs w:val="32"/>
        </w:rPr>
        <w:t>126.05%</w:t>
      </w:r>
      <w:r>
        <w:rPr>
          <w:rFonts w:hint="eastAsia" w:ascii="仿宋" w:hAnsi="仿宋" w:eastAsia="仿宋" w:cs="仿宋"/>
          <w:sz w:val="32"/>
          <w:szCs w:val="32"/>
        </w:rPr>
        <w:t>。</w:t>
      </w:r>
    </w:p>
    <w:p>
      <w:pPr>
        <w:spacing w:line="590" w:lineRule="exact"/>
        <w:ind w:firstLine="64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、住房保障支出（类）住房改革支出（款）住房公积金（项）。年初预算为</w:t>
      </w:r>
      <w:r>
        <w:rPr>
          <w:rFonts w:ascii="仿宋" w:hAnsi="仿宋" w:eastAsia="仿宋" w:cs="仿宋"/>
          <w:sz w:val="32"/>
          <w:szCs w:val="32"/>
        </w:rPr>
        <w:t>10.6</w:t>
      </w:r>
      <w:r>
        <w:rPr>
          <w:rFonts w:hint="eastAsia" w:ascii="仿宋" w:hAnsi="仿宋" w:eastAsia="仿宋" w:cs="仿宋"/>
          <w:sz w:val="32"/>
          <w:szCs w:val="32"/>
        </w:rPr>
        <w:t>万元，支出决算数</w:t>
      </w:r>
      <w:r>
        <w:rPr>
          <w:rFonts w:ascii="仿宋" w:hAnsi="仿宋" w:eastAsia="仿宋" w:cs="仿宋"/>
          <w:sz w:val="32"/>
          <w:szCs w:val="32"/>
        </w:rPr>
        <w:t>8.02</w:t>
      </w:r>
      <w:r>
        <w:rPr>
          <w:rFonts w:hint="eastAsia" w:ascii="仿宋" w:hAnsi="仿宋" w:eastAsia="仿宋" w:cs="仿宋"/>
          <w:sz w:val="32"/>
          <w:szCs w:val="32"/>
        </w:rPr>
        <w:t>万元，完成年初预算数的</w:t>
      </w:r>
      <w:r>
        <w:rPr>
          <w:rFonts w:ascii="仿宋" w:hAnsi="仿宋" w:eastAsia="仿宋" w:cs="仿宋"/>
          <w:sz w:val="32"/>
          <w:szCs w:val="32"/>
        </w:rPr>
        <w:t>75.66%</w:t>
      </w:r>
      <w:r>
        <w:rPr>
          <w:rFonts w:hint="eastAsia" w:ascii="仿宋" w:hAnsi="仿宋" w:eastAsia="仿宋" w:cs="仿宋"/>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六、一般公共预算财政拨款基本支出决算情况说明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 xml:space="preserve">2020 </w:t>
      </w:r>
      <w:r>
        <w:rPr>
          <w:rFonts w:hint="eastAsia" w:ascii="仿宋_GB2312" w:eastAsia="仿宋_GB2312"/>
          <w:sz w:val="32"/>
          <w:szCs w:val="32"/>
        </w:rPr>
        <w:t>年度一般公共预算财政拨款基本支出</w:t>
      </w:r>
      <w:r>
        <w:rPr>
          <w:rFonts w:ascii="仿宋_GB2312" w:eastAsia="仿宋_GB2312"/>
          <w:sz w:val="32"/>
          <w:szCs w:val="32"/>
        </w:rPr>
        <w:t>2264.09</w:t>
      </w:r>
      <w:r>
        <w:rPr>
          <w:rFonts w:hint="eastAsia" w:ascii="仿宋_GB2312" w:eastAsia="仿宋_GB2312"/>
          <w:sz w:val="32"/>
          <w:szCs w:val="32"/>
        </w:rPr>
        <w:t>万元。其中：人员经费</w:t>
      </w:r>
      <w:r>
        <w:rPr>
          <w:rFonts w:ascii="仿宋_GB2312" w:eastAsia="仿宋_GB2312"/>
          <w:sz w:val="32"/>
          <w:szCs w:val="32"/>
        </w:rPr>
        <w:t>181.31</w:t>
      </w:r>
      <w:r>
        <w:rPr>
          <w:rFonts w:hint="eastAsia" w:ascii="仿宋_GB2312" w:eastAsia="仿宋_GB2312"/>
          <w:sz w:val="32"/>
          <w:szCs w:val="32"/>
        </w:rPr>
        <w:t>万元，主要包括：基本工资、津贴补贴、伙食补助费、绩效工资、机关事业单位基本养老保险</w:t>
      </w:r>
      <w:r>
        <w:rPr>
          <w:rFonts w:ascii="仿宋_GB2312" w:eastAsia="仿宋_GB2312"/>
          <w:sz w:val="32"/>
          <w:szCs w:val="32"/>
        </w:rPr>
        <w:t xml:space="preserve"> </w:t>
      </w:r>
      <w:r>
        <w:rPr>
          <w:rFonts w:hint="eastAsia" w:ascii="仿宋_GB2312" w:eastAsia="仿宋_GB2312"/>
          <w:sz w:val="32"/>
          <w:szCs w:val="32"/>
        </w:rPr>
        <w:t>缴费、职业年金缴费、其他社会保障缴费、其他工资福利支出、离休费、退休费、抚恤金、生活补助、医疗费、奖励金、住房公积金、采暖补贴、物业服务补贴、其</w:t>
      </w:r>
      <w:r>
        <w:rPr>
          <w:rFonts w:ascii="仿宋_GB2312" w:eastAsia="仿宋_GB2312"/>
          <w:sz w:val="32"/>
          <w:szCs w:val="32"/>
        </w:rPr>
        <w:t xml:space="preserve"> </w:t>
      </w:r>
      <w:r>
        <w:rPr>
          <w:rFonts w:hint="eastAsia" w:ascii="仿宋_GB2312" w:eastAsia="仿宋_GB2312"/>
          <w:sz w:val="32"/>
          <w:szCs w:val="32"/>
        </w:rPr>
        <w:t>他对个人和家庭的补助支出；公用经费</w:t>
      </w:r>
      <w:r>
        <w:rPr>
          <w:rFonts w:ascii="仿宋_GB2312" w:eastAsia="仿宋_GB2312"/>
          <w:sz w:val="32"/>
          <w:szCs w:val="32"/>
        </w:rPr>
        <w:t>2011.26</w:t>
      </w:r>
      <w:r>
        <w:rPr>
          <w:rFonts w:hint="eastAsia" w:ascii="仿宋_GB2312" w:eastAsia="仿宋_GB2312"/>
          <w:sz w:val="32"/>
          <w:szCs w:val="32"/>
        </w:rPr>
        <w:t>万元，主要包括：办公费、印刷费、咨询费、手续</w:t>
      </w:r>
      <w:r>
        <w:rPr>
          <w:rFonts w:ascii="仿宋_GB2312" w:eastAsia="仿宋_GB2312"/>
          <w:sz w:val="32"/>
          <w:szCs w:val="32"/>
        </w:rPr>
        <w:t xml:space="preserve"> </w:t>
      </w:r>
      <w:r>
        <w:rPr>
          <w:rFonts w:hint="eastAsia" w:ascii="仿宋_GB2312" w:eastAsia="仿宋_GB2312"/>
          <w:sz w:val="32"/>
          <w:szCs w:val="32"/>
        </w:rPr>
        <w:t>费、水费、电费、邮电费、取暖费、物业管理费、差旅费、因公出国（境）费用、维修（护）费、租赁费、会议费、培训费、公务接待费、专用材料费、劳务费、委</w:t>
      </w:r>
      <w:r>
        <w:rPr>
          <w:rFonts w:ascii="仿宋_GB2312" w:eastAsia="仿宋_GB2312"/>
          <w:sz w:val="32"/>
          <w:szCs w:val="32"/>
        </w:rPr>
        <w:t xml:space="preserve"> </w:t>
      </w:r>
      <w:r>
        <w:rPr>
          <w:rFonts w:hint="eastAsia" w:ascii="仿宋_GB2312" w:eastAsia="仿宋_GB2312"/>
          <w:sz w:val="32"/>
          <w:szCs w:val="32"/>
        </w:rPr>
        <w:t>托业务费、工会经费、福利费、公务用车运行维护费、其他交通费用、税金及附加费用、其他商品和服务支出、办公设备购置、专用设备购置、信息网络及软件购置</w:t>
      </w:r>
      <w:r>
        <w:rPr>
          <w:rFonts w:ascii="仿宋_GB2312" w:eastAsia="仿宋_GB2312"/>
          <w:sz w:val="32"/>
          <w:szCs w:val="32"/>
        </w:rPr>
        <w:t xml:space="preserve"> </w:t>
      </w:r>
      <w:r>
        <w:rPr>
          <w:rFonts w:hint="eastAsia" w:ascii="仿宋_GB2312" w:eastAsia="仿宋_GB2312"/>
          <w:sz w:val="32"/>
          <w:szCs w:val="32"/>
        </w:rPr>
        <w:t>更新、其他资本性支出。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（一）“三公”经费财政拨款支出决算总体情况说明。</w:t>
      </w:r>
    </w:p>
    <w:p>
      <w:pPr>
        <w:spacing w:line="590" w:lineRule="exact"/>
        <w:ind w:firstLine="640" w:firstLineChars="200"/>
        <w:rPr>
          <w:rFonts w:ascii="仿宋_GB2312" w:eastAsia="仿宋_GB2312"/>
          <w:sz w:val="32"/>
          <w:szCs w:val="32"/>
        </w:rPr>
      </w:pPr>
      <w:r>
        <w:rPr>
          <w:rFonts w:ascii="仿宋_GB2312" w:eastAsia="仿宋_GB2312"/>
          <w:sz w:val="32"/>
          <w:szCs w:val="32"/>
        </w:rPr>
        <w:t xml:space="preserve">2020 </w:t>
      </w:r>
      <w:r>
        <w:rPr>
          <w:rFonts w:hint="eastAsia" w:ascii="仿宋_GB2312" w:eastAsia="仿宋_GB2312"/>
          <w:sz w:val="32"/>
          <w:szCs w:val="32"/>
        </w:rPr>
        <w:t>年度“三公”经费财政拨款支出预算为</w:t>
      </w:r>
      <w:r>
        <w:rPr>
          <w:rFonts w:ascii="仿宋" w:hAnsi="仿宋" w:eastAsia="仿宋" w:cs="仿宋"/>
          <w:sz w:val="32"/>
          <w:szCs w:val="32"/>
        </w:rPr>
        <w:t>345.70</w:t>
      </w:r>
      <w:r>
        <w:rPr>
          <w:rFonts w:hint="eastAsia" w:ascii="仿宋_GB2312" w:eastAsia="仿宋_GB2312"/>
          <w:sz w:val="32"/>
          <w:szCs w:val="32"/>
        </w:rPr>
        <w:t>万元，支出决算为</w:t>
      </w:r>
      <w:r>
        <w:rPr>
          <w:rFonts w:ascii="仿宋" w:hAnsi="仿宋" w:eastAsia="仿宋" w:cs="仿宋"/>
          <w:sz w:val="32"/>
          <w:szCs w:val="32"/>
        </w:rPr>
        <w:t>329.99</w:t>
      </w:r>
      <w:r>
        <w:rPr>
          <w:rFonts w:hint="eastAsia" w:ascii="仿宋_GB2312" w:eastAsia="仿宋_GB2312"/>
          <w:sz w:val="32"/>
          <w:szCs w:val="32"/>
        </w:rPr>
        <w:t>万元，完成预算的</w:t>
      </w:r>
      <w:r>
        <w:rPr>
          <w:rFonts w:ascii="仿宋" w:hAnsi="仿宋" w:eastAsia="仿宋" w:cs="仿宋"/>
          <w:sz w:val="32"/>
          <w:szCs w:val="32"/>
        </w:rPr>
        <w:t>95.46</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2020</w:t>
      </w:r>
      <w:r>
        <w:rPr>
          <w:rFonts w:hint="eastAsia" w:ascii="仿宋_GB2312" w:eastAsia="仿宋_GB2312"/>
          <w:sz w:val="32"/>
          <w:szCs w:val="32"/>
        </w:rPr>
        <w:t>年度“三公”经费支出决算数与预算数存在差异的主要原因</w:t>
      </w:r>
      <w:r>
        <w:rPr>
          <w:rFonts w:hint="eastAsia" w:ascii="仿宋" w:hAnsi="仿宋" w:eastAsia="仿宋" w:cs="仿宋"/>
          <w:sz w:val="32"/>
          <w:szCs w:val="32"/>
        </w:rPr>
        <w:t>是按照八项规定要求，严格程序、把控标准。</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（二）“三公”经费财政拨款支出决算具体情况说明。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 xml:space="preserve">2020 </w:t>
      </w:r>
      <w:r>
        <w:rPr>
          <w:rFonts w:hint="eastAsia" w:ascii="仿宋_GB2312" w:eastAsia="仿宋_GB2312"/>
          <w:sz w:val="32"/>
          <w:szCs w:val="32"/>
        </w:rPr>
        <w:t>年度“三公”经费财政拨款支出决算中，因公出国（境）费支出决算</w:t>
      </w:r>
      <w:r>
        <w:rPr>
          <w:rFonts w:ascii="仿宋_GB2312" w:eastAsia="仿宋_GB2312"/>
          <w:sz w:val="32"/>
          <w:szCs w:val="32"/>
        </w:rPr>
        <w:t>0.00</w:t>
      </w:r>
      <w:r>
        <w:rPr>
          <w:rFonts w:hint="eastAsia" w:ascii="仿宋_GB2312" w:eastAsia="仿宋_GB2312"/>
          <w:sz w:val="32"/>
          <w:szCs w:val="32"/>
        </w:rPr>
        <w:t>万元，完成预算的</w:t>
      </w:r>
      <w:r>
        <w:rPr>
          <w:rFonts w:ascii="仿宋_GB2312" w:eastAsia="仿宋_GB2312"/>
          <w:sz w:val="32"/>
          <w:szCs w:val="32"/>
        </w:rPr>
        <w:t xml:space="preserve"> 0.00%</w:t>
      </w:r>
      <w:r>
        <w:rPr>
          <w:rFonts w:hint="eastAsia" w:ascii="仿宋_GB2312" w:eastAsia="仿宋_GB2312"/>
          <w:sz w:val="32"/>
          <w:szCs w:val="32"/>
        </w:rPr>
        <w:t>，占</w:t>
      </w:r>
      <w:r>
        <w:rPr>
          <w:rFonts w:ascii="仿宋_GB2312" w:eastAsia="仿宋_GB2312"/>
          <w:sz w:val="32"/>
          <w:szCs w:val="32"/>
        </w:rPr>
        <w:t>0.00%</w:t>
      </w:r>
      <w:r>
        <w:rPr>
          <w:rFonts w:hint="eastAsia" w:ascii="仿宋_GB2312" w:eastAsia="仿宋_GB2312"/>
          <w:sz w:val="32"/>
          <w:szCs w:val="32"/>
        </w:rPr>
        <w:t>；公务用车购置及运行费支出决算</w:t>
      </w:r>
      <w:r>
        <w:rPr>
          <w:rFonts w:ascii="仿宋" w:hAnsi="仿宋" w:eastAsia="仿宋" w:cs="仿宋"/>
          <w:sz w:val="32"/>
          <w:szCs w:val="32"/>
        </w:rPr>
        <w:t>20.50</w:t>
      </w:r>
      <w:r>
        <w:rPr>
          <w:rFonts w:hint="eastAsia" w:ascii="仿宋_GB2312" w:eastAsia="仿宋_GB2312"/>
          <w:sz w:val="32"/>
          <w:szCs w:val="32"/>
        </w:rPr>
        <w:t>万元，完成预算的</w:t>
      </w:r>
      <w:r>
        <w:rPr>
          <w:rFonts w:ascii="仿宋" w:hAnsi="仿宋" w:eastAsia="仿宋" w:cs="仿宋"/>
          <w:sz w:val="32"/>
          <w:szCs w:val="32"/>
        </w:rPr>
        <w:t>115.82</w:t>
      </w:r>
      <w:r>
        <w:rPr>
          <w:rFonts w:ascii="仿宋_GB2312" w:eastAsia="仿宋_GB2312"/>
          <w:sz w:val="32"/>
          <w:szCs w:val="32"/>
        </w:rPr>
        <w:t>%</w:t>
      </w:r>
      <w:r>
        <w:rPr>
          <w:rFonts w:hint="eastAsia" w:ascii="仿宋_GB2312" w:eastAsia="仿宋_GB2312"/>
          <w:sz w:val="32"/>
          <w:szCs w:val="32"/>
        </w:rPr>
        <w:t>，占</w:t>
      </w:r>
      <w:r>
        <w:rPr>
          <w:rFonts w:ascii="仿宋" w:hAnsi="仿宋" w:eastAsia="仿宋" w:cs="仿宋"/>
          <w:sz w:val="32"/>
          <w:szCs w:val="32"/>
        </w:rPr>
        <w:t>6.21</w:t>
      </w:r>
      <w:r>
        <w:rPr>
          <w:rFonts w:ascii="仿宋_GB2312" w:eastAsia="仿宋_GB2312"/>
          <w:sz w:val="32"/>
          <w:szCs w:val="32"/>
        </w:rPr>
        <w:t>%</w:t>
      </w:r>
      <w:r>
        <w:rPr>
          <w:rFonts w:hint="eastAsia" w:ascii="仿宋_GB2312" w:eastAsia="仿宋_GB2312"/>
          <w:sz w:val="32"/>
          <w:szCs w:val="32"/>
        </w:rPr>
        <w:t>；公务接待费支出决算</w:t>
      </w:r>
      <w:r>
        <w:rPr>
          <w:rFonts w:ascii="仿宋" w:hAnsi="仿宋" w:eastAsia="仿宋" w:cs="仿宋"/>
          <w:sz w:val="32"/>
          <w:szCs w:val="32"/>
        </w:rPr>
        <w:t>309.49</w:t>
      </w:r>
      <w:r>
        <w:rPr>
          <w:rFonts w:hint="eastAsia" w:ascii="仿宋_GB2312" w:eastAsia="仿宋_GB2312"/>
          <w:sz w:val="32"/>
          <w:szCs w:val="32"/>
        </w:rPr>
        <w:t>万元，完成预算的</w:t>
      </w:r>
      <w:r>
        <w:rPr>
          <w:rFonts w:ascii="仿宋" w:hAnsi="仿宋" w:eastAsia="仿宋" w:cs="仿宋"/>
          <w:sz w:val="32"/>
          <w:szCs w:val="32"/>
        </w:rPr>
        <w:t>94.36</w:t>
      </w:r>
      <w:r>
        <w:rPr>
          <w:rFonts w:ascii="仿宋_GB2312" w:eastAsia="仿宋_GB2312"/>
          <w:sz w:val="32"/>
          <w:szCs w:val="32"/>
        </w:rPr>
        <w:t>%</w:t>
      </w:r>
      <w:r>
        <w:rPr>
          <w:rFonts w:hint="eastAsia" w:ascii="仿宋_GB2312" w:eastAsia="仿宋_GB2312"/>
          <w:sz w:val="32"/>
          <w:szCs w:val="32"/>
        </w:rPr>
        <w:t>，占</w:t>
      </w:r>
      <w:r>
        <w:rPr>
          <w:rFonts w:ascii="仿宋" w:hAnsi="仿宋" w:eastAsia="仿宋" w:cs="仿宋"/>
          <w:sz w:val="32"/>
          <w:szCs w:val="32"/>
        </w:rPr>
        <w:t>93.79</w:t>
      </w:r>
      <w:r>
        <w:rPr>
          <w:rFonts w:ascii="仿宋_GB2312" w:eastAsia="仿宋_GB2312"/>
          <w:sz w:val="32"/>
          <w:szCs w:val="32"/>
        </w:rPr>
        <w:t>%</w:t>
      </w:r>
      <w:r>
        <w:rPr>
          <w:rFonts w:hint="eastAsia" w:ascii="仿宋_GB2312" w:eastAsia="仿宋_GB2312"/>
          <w:sz w:val="32"/>
          <w:szCs w:val="32"/>
        </w:rPr>
        <w:t>；具体情况如下：</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．因公出国（境）费年初预算为</w:t>
      </w:r>
      <w:r>
        <w:rPr>
          <w:rFonts w:ascii="仿宋_GB2312" w:eastAsia="仿宋_GB2312"/>
          <w:sz w:val="32"/>
          <w:szCs w:val="32"/>
        </w:rPr>
        <w:t xml:space="preserve"> 0.00</w:t>
      </w:r>
      <w:r>
        <w:rPr>
          <w:rFonts w:hint="eastAsia" w:ascii="仿宋_GB2312" w:eastAsia="仿宋_GB2312"/>
          <w:sz w:val="32"/>
          <w:szCs w:val="32"/>
        </w:rPr>
        <w:t>万元，支出决算为</w:t>
      </w:r>
      <w:r>
        <w:rPr>
          <w:rFonts w:ascii="仿宋_GB2312" w:eastAsia="仿宋_GB2312"/>
          <w:sz w:val="32"/>
          <w:szCs w:val="32"/>
        </w:rPr>
        <w:t xml:space="preserve">0.00 </w:t>
      </w:r>
      <w:r>
        <w:rPr>
          <w:rFonts w:hint="eastAsia" w:ascii="仿宋_GB2312" w:eastAsia="仿宋_GB2312"/>
          <w:sz w:val="32"/>
          <w:szCs w:val="32"/>
        </w:rPr>
        <w:t>万元，完成年初预算的</w:t>
      </w:r>
      <w:r>
        <w:rPr>
          <w:rFonts w:ascii="仿宋_GB2312" w:eastAsia="仿宋_GB2312"/>
          <w:sz w:val="32"/>
          <w:szCs w:val="32"/>
        </w:rPr>
        <w:t>0.00%</w:t>
      </w:r>
      <w:r>
        <w:rPr>
          <w:rFonts w:hint="eastAsia" w:ascii="仿宋_GB2312" w:eastAsia="仿宋_GB2312"/>
          <w:sz w:val="32"/>
          <w:szCs w:val="32"/>
        </w:rPr>
        <w:t>，决算数与年初预算数存在差异的主要原因是无。</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因公出国（境）团组数</w:t>
      </w:r>
      <w:r>
        <w:rPr>
          <w:rFonts w:ascii="仿宋_GB2312" w:eastAsia="仿宋_GB2312"/>
          <w:sz w:val="32"/>
          <w:szCs w:val="32"/>
        </w:rPr>
        <w:t>0</w:t>
      </w:r>
      <w:r>
        <w:rPr>
          <w:rFonts w:hint="eastAsia" w:ascii="仿宋_GB2312" w:eastAsia="仿宋_GB2312"/>
          <w:sz w:val="32"/>
          <w:szCs w:val="32"/>
        </w:rPr>
        <w:t>个，因公出国（境）人次数</w:t>
      </w:r>
      <w:r>
        <w:rPr>
          <w:rFonts w:ascii="仿宋_GB2312" w:eastAsia="仿宋_GB2312"/>
          <w:sz w:val="32"/>
          <w:szCs w:val="32"/>
        </w:rPr>
        <w:t>0</w:t>
      </w:r>
      <w:r>
        <w:rPr>
          <w:rFonts w:hint="eastAsia" w:ascii="仿宋_GB2312" w:eastAsia="仿宋_GB2312"/>
          <w:sz w:val="32"/>
          <w:szCs w:val="32"/>
        </w:rPr>
        <w:t>人。开支内容包括：无。</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公务用车购置及运行费年初预算为</w:t>
      </w:r>
      <w:r>
        <w:rPr>
          <w:rFonts w:ascii="仿宋" w:hAnsi="仿宋" w:eastAsia="仿宋" w:cs="仿宋"/>
          <w:sz w:val="32"/>
          <w:szCs w:val="32"/>
        </w:rPr>
        <w:t>17.7</w:t>
      </w:r>
      <w:r>
        <w:rPr>
          <w:rFonts w:hint="eastAsia" w:ascii="仿宋_GB2312" w:eastAsia="仿宋_GB2312"/>
          <w:sz w:val="32"/>
          <w:szCs w:val="32"/>
        </w:rPr>
        <w:t>万元，支出决算为</w:t>
      </w:r>
      <w:r>
        <w:rPr>
          <w:rFonts w:ascii="仿宋" w:hAnsi="仿宋" w:eastAsia="仿宋" w:cs="仿宋"/>
          <w:sz w:val="32"/>
          <w:szCs w:val="32"/>
        </w:rPr>
        <w:t>20.50</w:t>
      </w:r>
      <w:r>
        <w:rPr>
          <w:rFonts w:hint="eastAsia" w:ascii="仿宋_GB2312" w:eastAsia="仿宋_GB2312"/>
          <w:sz w:val="32"/>
          <w:szCs w:val="32"/>
        </w:rPr>
        <w:t>万元，完成年初预算的</w:t>
      </w:r>
      <w:r>
        <w:rPr>
          <w:rFonts w:ascii="仿宋" w:hAnsi="仿宋" w:eastAsia="仿宋" w:cs="仿宋"/>
          <w:sz w:val="32"/>
          <w:szCs w:val="32"/>
        </w:rPr>
        <w:t>115.82</w:t>
      </w:r>
      <w:r>
        <w:rPr>
          <w:rFonts w:ascii="仿宋_GB2312" w:eastAsia="仿宋_GB2312"/>
          <w:sz w:val="32"/>
          <w:szCs w:val="32"/>
        </w:rPr>
        <w:t>%</w:t>
      </w:r>
      <w:r>
        <w:rPr>
          <w:rFonts w:hint="eastAsia" w:ascii="仿宋_GB2312" w:eastAsia="仿宋_GB2312"/>
          <w:sz w:val="32"/>
          <w:szCs w:val="32"/>
        </w:rPr>
        <w:t>，决算数与年初预算数存在差异的主要原因是公车老化，维修费和修缮费增加。其中：</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公务用车购置支出</w:t>
      </w:r>
      <w:r>
        <w:rPr>
          <w:rFonts w:ascii="仿宋_GB2312" w:eastAsia="仿宋_GB2312"/>
          <w:sz w:val="32"/>
          <w:szCs w:val="32"/>
        </w:rPr>
        <w:t>0.00</w:t>
      </w:r>
      <w:r>
        <w:rPr>
          <w:rFonts w:hint="eastAsia" w:ascii="仿宋_GB2312" w:eastAsia="仿宋_GB2312"/>
          <w:sz w:val="32"/>
          <w:szCs w:val="32"/>
        </w:rPr>
        <w:t>万元，购置车辆</w:t>
      </w:r>
      <w:r>
        <w:rPr>
          <w:rFonts w:ascii="仿宋_GB2312" w:eastAsia="仿宋_GB2312"/>
          <w:sz w:val="32"/>
          <w:szCs w:val="32"/>
        </w:rPr>
        <w:t>0</w:t>
      </w:r>
      <w:r>
        <w:rPr>
          <w:rFonts w:hint="eastAsia" w:ascii="仿宋_GB2312" w:eastAsia="仿宋_GB2312"/>
          <w:sz w:val="32"/>
          <w:szCs w:val="32"/>
        </w:rPr>
        <w:t>台。</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公务用车运行支出</w:t>
      </w:r>
      <w:r>
        <w:rPr>
          <w:rFonts w:ascii="仿宋" w:hAnsi="仿宋" w:eastAsia="仿宋" w:cs="仿宋"/>
          <w:sz w:val="32"/>
          <w:szCs w:val="32"/>
        </w:rPr>
        <w:t>20.50</w:t>
      </w:r>
      <w:r>
        <w:rPr>
          <w:rFonts w:hint="eastAsia" w:ascii="仿宋_GB2312" w:eastAsia="仿宋_GB2312"/>
          <w:sz w:val="32"/>
          <w:szCs w:val="32"/>
        </w:rPr>
        <w:t>万元。主要用于</w:t>
      </w:r>
      <w:r>
        <w:rPr>
          <w:rFonts w:hint="eastAsia" w:ascii="仿宋" w:hAnsi="仿宋" w:eastAsia="仿宋" w:cs="仿宋"/>
          <w:sz w:val="32"/>
          <w:szCs w:val="32"/>
        </w:rPr>
        <w:t>主要用于开展工作所需执法执勤用车的燃料费、维修费、过路过桥费、保险费、安全奖励费用等支出</w:t>
      </w:r>
      <w:r>
        <w:rPr>
          <w:rFonts w:hint="eastAsia" w:ascii="仿宋_GB2312" w:eastAsia="仿宋_GB2312"/>
          <w:sz w:val="32"/>
          <w:szCs w:val="32"/>
        </w:rPr>
        <w:t>。</w:t>
      </w:r>
      <w:r>
        <w:rPr>
          <w:rFonts w:ascii="仿宋_GB2312" w:eastAsia="仿宋_GB2312"/>
          <w:sz w:val="32"/>
          <w:szCs w:val="32"/>
        </w:rPr>
        <w:t>2020</w:t>
      </w:r>
      <w:r>
        <w:rPr>
          <w:rFonts w:hint="eastAsia" w:ascii="仿宋_GB2312" w:eastAsia="仿宋_GB2312"/>
          <w:sz w:val="32"/>
          <w:szCs w:val="32"/>
        </w:rPr>
        <w:t>年期末，单位开支财政拨款的公务用车保有量为</w:t>
      </w:r>
      <w:r>
        <w:rPr>
          <w:rFonts w:ascii="仿宋_GB2312" w:eastAsia="仿宋_GB2312"/>
          <w:sz w:val="32"/>
          <w:szCs w:val="32"/>
        </w:rPr>
        <w:t>3</w:t>
      </w:r>
      <w:r>
        <w:rPr>
          <w:rFonts w:hint="eastAsia" w:ascii="仿宋_GB2312" w:eastAsia="仿宋_GB2312"/>
          <w:sz w:val="32"/>
          <w:szCs w:val="32"/>
        </w:rPr>
        <w:t>辆。</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 xml:space="preserve">3. </w:t>
      </w:r>
      <w:r>
        <w:rPr>
          <w:rFonts w:hint="eastAsia" w:ascii="仿宋_GB2312" w:eastAsia="仿宋_GB2312"/>
          <w:sz w:val="32"/>
          <w:szCs w:val="32"/>
        </w:rPr>
        <w:t>公务接待费年初预算为</w:t>
      </w:r>
      <w:r>
        <w:rPr>
          <w:rFonts w:ascii="仿宋_GB2312" w:eastAsia="仿宋_GB2312"/>
          <w:sz w:val="32"/>
          <w:szCs w:val="32"/>
        </w:rPr>
        <w:t>328.00</w:t>
      </w:r>
      <w:r>
        <w:rPr>
          <w:rFonts w:hint="eastAsia" w:ascii="仿宋_GB2312" w:eastAsia="仿宋_GB2312"/>
          <w:sz w:val="32"/>
          <w:szCs w:val="32"/>
        </w:rPr>
        <w:t>万元，支出决算为</w:t>
      </w:r>
      <w:r>
        <w:rPr>
          <w:rFonts w:ascii="仿宋" w:hAnsi="仿宋" w:eastAsia="仿宋" w:cs="仿宋"/>
          <w:sz w:val="32"/>
          <w:szCs w:val="32"/>
        </w:rPr>
        <w:t>309.49</w:t>
      </w:r>
      <w:r>
        <w:rPr>
          <w:rFonts w:hint="eastAsia" w:ascii="仿宋_GB2312" w:eastAsia="仿宋_GB2312"/>
          <w:sz w:val="32"/>
          <w:szCs w:val="32"/>
        </w:rPr>
        <w:t>万元，完成年初预算的</w:t>
      </w:r>
      <w:r>
        <w:rPr>
          <w:rFonts w:ascii="仿宋" w:hAnsi="仿宋" w:eastAsia="仿宋" w:cs="仿宋"/>
          <w:sz w:val="32"/>
          <w:szCs w:val="32"/>
        </w:rPr>
        <w:t>94.36</w:t>
      </w:r>
      <w:r>
        <w:rPr>
          <w:rFonts w:ascii="仿宋_GB2312" w:eastAsia="仿宋_GB2312"/>
          <w:sz w:val="32"/>
          <w:szCs w:val="32"/>
        </w:rPr>
        <w:t>%</w:t>
      </w:r>
      <w:r>
        <w:rPr>
          <w:rFonts w:hint="eastAsia" w:ascii="仿宋_GB2312" w:eastAsia="仿宋_GB2312"/>
          <w:sz w:val="32"/>
          <w:szCs w:val="32"/>
        </w:rPr>
        <w:t>。决算数与年初预算数存在差异的主要</w:t>
      </w:r>
      <w:r>
        <w:rPr>
          <w:rFonts w:ascii="仿宋_GB2312" w:eastAsia="仿宋_GB2312"/>
          <w:sz w:val="32"/>
          <w:szCs w:val="32"/>
        </w:rPr>
        <w:t xml:space="preserve"> </w:t>
      </w:r>
      <w:r>
        <w:rPr>
          <w:rFonts w:hint="eastAsia" w:ascii="仿宋_GB2312" w:eastAsia="仿宋_GB2312"/>
          <w:sz w:val="32"/>
          <w:szCs w:val="32"/>
        </w:rPr>
        <w:t>原因是</w:t>
      </w:r>
      <w:r>
        <w:rPr>
          <w:rFonts w:hint="eastAsia" w:ascii="仿宋" w:hAnsi="仿宋" w:eastAsia="仿宋" w:cs="仿宋"/>
          <w:sz w:val="32"/>
          <w:szCs w:val="32"/>
        </w:rPr>
        <w:t>公务接待减少</w:t>
      </w:r>
      <w:r>
        <w:rPr>
          <w:rFonts w:hint="eastAsia" w:ascii="仿宋_GB2312" w:eastAsia="仿宋_GB2312"/>
          <w:sz w:val="32"/>
          <w:szCs w:val="32"/>
        </w:rPr>
        <w:t>。其中：外宾接待支出</w:t>
      </w:r>
      <w:r>
        <w:rPr>
          <w:rFonts w:ascii="仿宋_GB2312" w:eastAsia="仿宋_GB2312"/>
          <w:sz w:val="32"/>
          <w:szCs w:val="32"/>
        </w:rPr>
        <w:t>0</w:t>
      </w:r>
      <w:r>
        <w:rPr>
          <w:rFonts w:hint="eastAsia" w:ascii="仿宋_GB2312" w:eastAsia="仿宋_GB2312"/>
          <w:sz w:val="32"/>
          <w:szCs w:val="32"/>
        </w:rPr>
        <w:t>万元。主要用于无。</w:t>
      </w:r>
      <w:r>
        <w:rPr>
          <w:rFonts w:ascii="仿宋_GB2312" w:eastAsia="仿宋_GB2312"/>
          <w:sz w:val="32"/>
          <w:szCs w:val="32"/>
        </w:rPr>
        <w:t>2020</w:t>
      </w:r>
      <w:r>
        <w:rPr>
          <w:rFonts w:hint="eastAsia" w:ascii="仿宋_GB2312" w:eastAsia="仿宋_GB2312"/>
          <w:sz w:val="32"/>
          <w:szCs w:val="32"/>
        </w:rPr>
        <w:t>年共接待国（境）外来访团组</w:t>
      </w:r>
      <w:r>
        <w:rPr>
          <w:rFonts w:ascii="仿宋_GB2312" w:eastAsia="仿宋_GB2312"/>
          <w:sz w:val="32"/>
          <w:szCs w:val="32"/>
        </w:rPr>
        <w:t>0</w:t>
      </w:r>
      <w:r>
        <w:rPr>
          <w:rFonts w:hint="eastAsia" w:ascii="仿宋_GB2312" w:eastAsia="仿宋_GB2312"/>
          <w:sz w:val="32"/>
          <w:szCs w:val="32"/>
        </w:rPr>
        <w:t>个、来访外宾</w:t>
      </w:r>
      <w:r>
        <w:rPr>
          <w:rFonts w:ascii="仿宋_GB2312" w:eastAsia="仿宋_GB2312"/>
          <w:sz w:val="32"/>
          <w:szCs w:val="32"/>
        </w:rPr>
        <w:t>0</w:t>
      </w:r>
      <w:r>
        <w:rPr>
          <w:rFonts w:hint="eastAsia" w:ascii="仿宋_GB2312" w:eastAsia="仿宋_GB2312"/>
          <w:sz w:val="32"/>
          <w:szCs w:val="32"/>
        </w:rPr>
        <w:t>人次（不包括陪同人员）。来访人员主要包括：无。其他国内公务接待支出</w:t>
      </w:r>
      <w:r>
        <w:rPr>
          <w:rFonts w:ascii="仿宋" w:hAnsi="仿宋" w:eastAsia="仿宋" w:cs="仿宋"/>
          <w:sz w:val="32"/>
          <w:szCs w:val="32"/>
        </w:rPr>
        <w:t>309.49</w:t>
      </w:r>
      <w:r>
        <w:rPr>
          <w:rFonts w:hint="eastAsia" w:ascii="仿宋_GB2312" w:eastAsia="仿宋_GB2312"/>
          <w:sz w:val="32"/>
          <w:szCs w:val="32"/>
        </w:rPr>
        <w:t>万元。主要用于</w:t>
      </w:r>
      <w:r>
        <w:rPr>
          <w:rFonts w:hint="eastAsia" w:ascii="仿宋" w:hAnsi="仿宋" w:eastAsia="仿宋" w:cs="仿宋"/>
          <w:sz w:val="32"/>
          <w:szCs w:val="32"/>
        </w:rPr>
        <w:t>县四大家公务接待、上级检查督导接待</w:t>
      </w:r>
      <w:r>
        <w:rPr>
          <w:rFonts w:hint="eastAsia" w:ascii="仿宋_GB2312" w:eastAsia="仿宋_GB2312"/>
          <w:sz w:val="32"/>
          <w:szCs w:val="32"/>
        </w:rPr>
        <w:t>。</w:t>
      </w:r>
      <w:r>
        <w:rPr>
          <w:rFonts w:ascii="仿宋_GB2312" w:eastAsia="仿宋_GB2312"/>
          <w:sz w:val="32"/>
          <w:szCs w:val="32"/>
        </w:rPr>
        <w:t>2020</w:t>
      </w:r>
      <w:r>
        <w:rPr>
          <w:rFonts w:hint="eastAsia" w:ascii="仿宋_GB2312" w:eastAsia="仿宋_GB2312"/>
          <w:sz w:val="32"/>
          <w:szCs w:val="32"/>
        </w:rPr>
        <w:t>年共接待国内来访团组</w:t>
      </w:r>
      <w:r>
        <w:rPr>
          <w:rFonts w:ascii="仿宋_GB2312" w:eastAsia="仿宋_GB2312"/>
          <w:sz w:val="32"/>
          <w:szCs w:val="32"/>
        </w:rPr>
        <w:t>210</w:t>
      </w:r>
      <w:r>
        <w:rPr>
          <w:rFonts w:hint="eastAsia" w:ascii="仿宋_GB2312" w:eastAsia="仿宋_GB2312"/>
          <w:sz w:val="32"/>
          <w:szCs w:val="32"/>
        </w:rPr>
        <w:t>个、来宾</w:t>
      </w:r>
      <w:r>
        <w:rPr>
          <w:rFonts w:ascii="仿宋_GB2312" w:eastAsia="仿宋_GB2312"/>
          <w:sz w:val="32"/>
          <w:szCs w:val="32"/>
        </w:rPr>
        <w:t>7952</w:t>
      </w:r>
      <w:r>
        <w:rPr>
          <w:rFonts w:hint="eastAsia" w:ascii="仿宋_GB2312" w:eastAsia="仿宋_GB2312"/>
          <w:sz w:val="32"/>
          <w:szCs w:val="32"/>
        </w:rPr>
        <w:t>人次（不包括陪同人员）。</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八、预算绩效情况说明</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（一）绩效管理工作开展情况。</w:t>
      </w:r>
    </w:p>
    <w:p>
      <w:pPr>
        <w:pStyle w:val="4"/>
        <w:shd w:val="clear" w:color="auto" w:fill="FFFFFF"/>
        <w:spacing w:before="0" w:beforeAutospacing="0" w:after="0" w:afterAutospacing="0"/>
        <w:ind w:left="161" w:leftChars="67" w:firstLine="480" w:firstLineChars="150"/>
        <w:rPr>
          <w:rFonts w:hint="default" w:ascii="仿宋_GB2312" w:eastAsia="仿宋_GB2312"/>
          <w:sz w:val="32"/>
          <w:szCs w:val="32"/>
          <w:lang w:val="en-US" w:eastAsia="zh-CN"/>
        </w:rPr>
      </w:pPr>
      <w:r>
        <w:rPr>
          <w:rFonts w:hint="eastAsia" w:ascii="仿宋_GB2312" w:eastAsia="仿宋_GB2312"/>
          <w:sz w:val="32"/>
          <w:szCs w:val="32"/>
          <w:lang w:val="en-US" w:eastAsia="zh-CN"/>
        </w:rPr>
        <w:t>本部门2020年没有开展绩效管理工作。</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（二）项目绩效自评结果。</w:t>
      </w:r>
    </w:p>
    <w:p>
      <w:pPr>
        <w:pStyle w:val="4"/>
        <w:shd w:val="clear" w:color="auto" w:fill="FFFFFF"/>
        <w:spacing w:before="0" w:beforeAutospacing="0" w:after="0" w:afterAutospacing="0"/>
        <w:ind w:left="161" w:leftChars="67" w:firstLine="480" w:firstLineChars="150"/>
        <w:rPr>
          <w:rFonts w:hint="default" w:ascii="仿宋_GB2312" w:eastAsia="仿宋_GB2312"/>
          <w:sz w:val="32"/>
          <w:szCs w:val="32"/>
          <w:lang w:val="en-US" w:eastAsia="zh-CN"/>
        </w:rPr>
      </w:pPr>
      <w:r>
        <w:rPr>
          <w:rFonts w:hint="eastAsia" w:ascii="仿宋_GB2312" w:eastAsia="仿宋_GB2312"/>
          <w:sz w:val="32"/>
          <w:szCs w:val="32"/>
          <w:lang w:val="en-US" w:eastAsia="zh-CN"/>
        </w:rPr>
        <w:t>本部门2020年没有开展绩效自评工作。</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（三）以单位为主体开展的重点绩效评价结果。</w:t>
      </w:r>
    </w:p>
    <w:p>
      <w:pPr>
        <w:pStyle w:val="4"/>
        <w:shd w:val="clear" w:color="auto" w:fill="FFFFFF"/>
        <w:spacing w:before="0" w:beforeAutospacing="0" w:after="0" w:afterAutospacing="0"/>
        <w:ind w:left="161" w:leftChars="67" w:firstLine="480" w:firstLineChars="150"/>
        <w:rPr>
          <w:rFonts w:hint="default" w:ascii="仿宋_GB2312" w:eastAsia="仿宋_GB2312"/>
          <w:sz w:val="32"/>
          <w:szCs w:val="32"/>
          <w:lang w:val="en-US" w:eastAsia="zh-CN"/>
        </w:rPr>
      </w:pPr>
      <w:r>
        <w:rPr>
          <w:rFonts w:hint="eastAsia" w:ascii="仿宋_GB2312" w:eastAsia="仿宋_GB2312"/>
          <w:sz w:val="32"/>
          <w:szCs w:val="32"/>
          <w:lang w:val="en-US" w:eastAsia="zh-CN"/>
        </w:rPr>
        <w:t>本部门2020年没有开展重点绩效评价工作。</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九、政府性基金预算财政拨款支出决算情况说明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 xml:space="preserve">2020 </w:t>
      </w:r>
      <w:r>
        <w:rPr>
          <w:rFonts w:hint="eastAsia" w:ascii="仿宋_GB2312" w:eastAsia="仿宋_GB2312"/>
          <w:sz w:val="32"/>
          <w:szCs w:val="32"/>
        </w:rPr>
        <w:t>年度政府性基金预算财政拨款支出年初预算为</w:t>
      </w:r>
      <w:r>
        <w:rPr>
          <w:rFonts w:ascii="仿宋_GB2312" w:eastAsia="仿宋_GB2312"/>
          <w:sz w:val="32"/>
          <w:szCs w:val="32"/>
        </w:rPr>
        <w:t>0.00</w:t>
      </w:r>
      <w:r>
        <w:rPr>
          <w:rFonts w:hint="eastAsia" w:ascii="仿宋_GB2312" w:eastAsia="仿宋_GB2312"/>
          <w:sz w:val="32"/>
          <w:szCs w:val="32"/>
        </w:rPr>
        <w:t>万元，支出决算为</w:t>
      </w:r>
      <w:r>
        <w:rPr>
          <w:rFonts w:ascii="仿宋_GB2312" w:eastAsia="仿宋_GB2312"/>
          <w:sz w:val="32"/>
          <w:szCs w:val="32"/>
        </w:rPr>
        <w:t xml:space="preserve"> 0</w:t>
      </w:r>
      <w:r>
        <w:rPr>
          <w:rFonts w:hint="eastAsia" w:ascii="仿宋_GB2312" w:eastAsia="仿宋_GB2312"/>
          <w:sz w:val="32"/>
          <w:szCs w:val="32"/>
        </w:rPr>
        <w:t>万元，完成年初预算的</w:t>
      </w:r>
      <w:r>
        <w:rPr>
          <w:rFonts w:ascii="仿宋_GB2312" w:eastAsia="仿宋_GB2312"/>
          <w:sz w:val="32"/>
          <w:szCs w:val="32"/>
        </w:rPr>
        <w:t xml:space="preserve"> 0.00%</w:t>
      </w:r>
      <w:r>
        <w:rPr>
          <w:rFonts w:hint="eastAsia" w:ascii="仿宋_GB2312" w:eastAsia="仿宋_GB2312"/>
          <w:sz w:val="32"/>
          <w:szCs w:val="32"/>
        </w:rPr>
        <w:t>。</w:t>
      </w:r>
      <w:r>
        <w:rPr>
          <w:rFonts w:hint="eastAsia" w:ascii="仿宋" w:hAnsi="仿宋" w:eastAsia="仿宋" w:cs="仿宋"/>
          <w:sz w:val="32"/>
          <w:szCs w:val="32"/>
        </w:rPr>
        <w:t>我单位</w:t>
      </w:r>
      <w:r>
        <w:rPr>
          <w:rFonts w:ascii="仿宋" w:hAnsi="仿宋" w:eastAsia="仿宋" w:cs="仿宋"/>
          <w:sz w:val="32"/>
          <w:szCs w:val="32"/>
        </w:rPr>
        <w:t>2020</w:t>
      </w:r>
      <w:r>
        <w:rPr>
          <w:rFonts w:hint="eastAsia" w:ascii="仿宋" w:hAnsi="仿宋" w:eastAsia="仿宋" w:cs="仿宋"/>
          <w:sz w:val="32"/>
          <w:szCs w:val="32"/>
        </w:rPr>
        <w:t>年度没有政府性基金收入，也没有使用政府性基金安排的支出。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十、机关运行经费支出情况说明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年度机关运行经费初预算为</w:t>
      </w:r>
      <w:r>
        <w:rPr>
          <w:rFonts w:ascii="仿宋_GB2312" w:eastAsia="仿宋_GB2312"/>
          <w:sz w:val="32"/>
          <w:szCs w:val="32"/>
        </w:rPr>
        <w:t>620</w:t>
      </w:r>
      <w:r>
        <w:rPr>
          <w:rFonts w:hint="eastAsia" w:ascii="仿宋_GB2312" w:eastAsia="仿宋_GB2312"/>
          <w:sz w:val="32"/>
          <w:szCs w:val="32"/>
        </w:rPr>
        <w:t>万元，支出决算为</w:t>
      </w:r>
      <w:r>
        <w:rPr>
          <w:rFonts w:hint="eastAsia" w:ascii="仿宋_GB2312" w:eastAsia="仿宋_GB2312"/>
          <w:sz w:val="32"/>
          <w:szCs w:val="32"/>
          <w:lang w:val="en-US" w:eastAsia="zh-CN"/>
        </w:rPr>
        <w:t>2192.57</w:t>
      </w:r>
      <w:r>
        <w:rPr>
          <w:rFonts w:hint="eastAsia" w:ascii="仿宋_GB2312" w:eastAsia="仿宋_GB2312"/>
          <w:sz w:val="32"/>
          <w:szCs w:val="32"/>
        </w:rPr>
        <w:t>万元，完成年初预算的</w:t>
      </w:r>
      <w:r>
        <w:rPr>
          <w:rFonts w:hint="eastAsia" w:ascii="仿宋_GB2312" w:eastAsia="仿宋_GB2312"/>
          <w:sz w:val="32"/>
          <w:szCs w:val="32"/>
          <w:lang w:val="en-US" w:eastAsia="zh-CN"/>
        </w:rPr>
        <w:t>353.64</w:t>
      </w:r>
      <w:r>
        <w:rPr>
          <w:rFonts w:ascii="仿宋_GB2312" w:eastAsia="仿宋_GB2312"/>
          <w:sz w:val="32"/>
          <w:szCs w:val="32"/>
        </w:rPr>
        <w:t>%</w:t>
      </w:r>
      <w:r>
        <w:rPr>
          <w:rFonts w:hint="eastAsia" w:ascii="仿宋_GB2312" w:eastAsia="仿宋_GB2312"/>
          <w:sz w:val="32"/>
          <w:szCs w:val="32"/>
        </w:rPr>
        <w:t>。决算数与年初预算数存在差异的主要原因是</w:t>
      </w:r>
      <w:r>
        <w:rPr>
          <w:rFonts w:hint="eastAsia" w:ascii="仿宋" w:hAnsi="仿宋" w:eastAsia="仿宋" w:cs="仿宋"/>
          <w:sz w:val="32"/>
          <w:szCs w:val="32"/>
        </w:rPr>
        <w:t>单位办公用房的维修维护、办公家具和设备的采购等项目增加</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十一、政府采购支出情况说明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 xml:space="preserve">2020 </w:t>
      </w:r>
      <w:r>
        <w:rPr>
          <w:rFonts w:hint="eastAsia" w:ascii="仿宋_GB2312" w:eastAsia="仿宋_GB2312"/>
          <w:sz w:val="32"/>
          <w:szCs w:val="32"/>
        </w:rPr>
        <w:t>年度政府采购支出总额</w:t>
      </w:r>
      <w:r>
        <w:rPr>
          <w:rFonts w:ascii="仿宋_GB2312" w:eastAsia="仿宋_GB2312"/>
          <w:sz w:val="32"/>
          <w:szCs w:val="32"/>
        </w:rPr>
        <w:t>766.06</w:t>
      </w:r>
      <w:r>
        <w:rPr>
          <w:rFonts w:hint="eastAsia" w:ascii="仿宋_GB2312" w:eastAsia="仿宋_GB2312"/>
          <w:sz w:val="32"/>
          <w:szCs w:val="32"/>
        </w:rPr>
        <w:t>万元，其中：政府采购货物支出</w:t>
      </w:r>
      <w:r>
        <w:rPr>
          <w:rFonts w:ascii="仿宋_GB2312" w:eastAsia="仿宋_GB2312"/>
          <w:sz w:val="32"/>
          <w:szCs w:val="32"/>
        </w:rPr>
        <w:t>355.53</w:t>
      </w:r>
      <w:r>
        <w:rPr>
          <w:rFonts w:hint="eastAsia" w:ascii="仿宋_GB2312" w:eastAsia="仿宋_GB2312"/>
          <w:sz w:val="32"/>
          <w:szCs w:val="32"/>
        </w:rPr>
        <w:t>万元、政府采购工程支出</w:t>
      </w:r>
      <w:r>
        <w:rPr>
          <w:rFonts w:ascii="仿宋_GB2312" w:eastAsia="仿宋_GB2312"/>
          <w:sz w:val="32"/>
          <w:szCs w:val="32"/>
        </w:rPr>
        <w:t>410.53</w:t>
      </w:r>
      <w:r>
        <w:rPr>
          <w:rFonts w:hint="eastAsia" w:ascii="仿宋_GB2312" w:eastAsia="仿宋_GB2312"/>
          <w:sz w:val="32"/>
          <w:szCs w:val="32"/>
        </w:rPr>
        <w:t>万元、政府采购服务支出</w:t>
      </w:r>
      <w:r>
        <w:rPr>
          <w:rFonts w:ascii="仿宋_GB2312" w:eastAsia="仿宋_GB2312"/>
          <w:sz w:val="32"/>
          <w:szCs w:val="32"/>
        </w:rPr>
        <w:t>0.00</w:t>
      </w:r>
      <w:r>
        <w:rPr>
          <w:rFonts w:hint="eastAsia" w:ascii="仿宋_GB2312" w:eastAsia="仿宋_GB2312"/>
          <w:sz w:val="32"/>
          <w:szCs w:val="32"/>
        </w:rPr>
        <w:t>万元。授予中小企业合同金额</w:t>
      </w:r>
      <w:r>
        <w:rPr>
          <w:rFonts w:ascii="仿宋_GB2312" w:eastAsia="仿宋_GB2312"/>
          <w:sz w:val="32"/>
          <w:szCs w:val="32"/>
        </w:rPr>
        <w:t>0.00</w:t>
      </w:r>
      <w:r>
        <w:rPr>
          <w:rFonts w:hint="eastAsia" w:ascii="仿宋_GB2312" w:eastAsia="仿宋_GB2312"/>
          <w:sz w:val="32"/>
          <w:szCs w:val="32"/>
        </w:rPr>
        <w:t>万元，占政府采购支出总额的</w:t>
      </w:r>
      <w:r>
        <w:rPr>
          <w:rFonts w:ascii="仿宋_GB2312" w:eastAsia="仿宋_GB2312"/>
          <w:sz w:val="32"/>
          <w:szCs w:val="32"/>
        </w:rPr>
        <w:t>0.00%</w:t>
      </w:r>
      <w:r>
        <w:rPr>
          <w:rFonts w:hint="eastAsia" w:ascii="仿宋_GB2312" w:eastAsia="仿宋_GB2312"/>
          <w:sz w:val="32"/>
          <w:szCs w:val="32"/>
        </w:rPr>
        <w:t>，其中：授予小微企业合同金额</w:t>
      </w:r>
      <w:r>
        <w:rPr>
          <w:rFonts w:ascii="仿宋_GB2312" w:eastAsia="仿宋_GB2312"/>
          <w:sz w:val="32"/>
          <w:szCs w:val="32"/>
        </w:rPr>
        <w:t>0.00</w:t>
      </w:r>
      <w:r>
        <w:rPr>
          <w:rFonts w:hint="eastAsia" w:ascii="仿宋_GB2312" w:eastAsia="仿宋_GB2312"/>
          <w:sz w:val="32"/>
          <w:szCs w:val="32"/>
        </w:rPr>
        <w:t>万元，占政府采购支出总额的</w:t>
      </w:r>
      <w:r>
        <w:rPr>
          <w:rFonts w:ascii="仿宋_GB2312" w:eastAsia="仿宋_GB2312"/>
          <w:sz w:val="32"/>
          <w:szCs w:val="32"/>
        </w:rPr>
        <w:t>0.00%</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十二、国有资产占用情况说明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ascii="仿宋_GB2312" w:eastAsia="仿宋_GB2312"/>
          <w:sz w:val="32"/>
          <w:szCs w:val="32"/>
        </w:rPr>
        <w:t xml:space="preserve">2020 </w:t>
      </w:r>
      <w:r>
        <w:rPr>
          <w:rFonts w:hint="eastAsia" w:ascii="仿宋_GB2312" w:eastAsia="仿宋_GB2312"/>
          <w:sz w:val="32"/>
          <w:szCs w:val="32"/>
        </w:rPr>
        <w:t>年期末，我单位共有车辆</w:t>
      </w:r>
      <w:r>
        <w:rPr>
          <w:rFonts w:ascii="仿宋_GB2312" w:eastAsia="仿宋_GB2312"/>
          <w:sz w:val="32"/>
          <w:szCs w:val="32"/>
        </w:rPr>
        <w:t>3</w:t>
      </w:r>
      <w:r>
        <w:rPr>
          <w:rFonts w:hint="eastAsia" w:ascii="仿宋_GB2312" w:eastAsia="仿宋_GB2312"/>
          <w:sz w:val="32"/>
          <w:szCs w:val="32"/>
        </w:rPr>
        <w:t>辆，其中：省级领导干部用车</w:t>
      </w:r>
      <w:r>
        <w:rPr>
          <w:rFonts w:ascii="仿宋_GB2312" w:eastAsia="仿宋_GB2312"/>
          <w:sz w:val="32"/>
          <w:szCs w:val="32"/>
        </w:rPr>
        <w:t>0</w:t>
      </w:r>
      <w:r>
        <w:rPr>
          <w:rFonts w:hint="eastAsia" w:ascii="仿宋_GB2312" w:eastAsia="仿宋_GB2312"/>
          <w:sz w:val="32"/>
          <w:szCs w:val="32"/>
        </w:rPr>
        <w:t>辆、主要领导干部用车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辆、应急保障车</w:t>
      </w:r>
      <w:r>
        <w:rPr>
          <w:rFonts w:ascii="仿宋_GB2312" w:eastAsia="仿宋_GB2312"/>
          <w:sz w:val="32"/>
          <w:szCs w:val="32"/>
        </w:rPr>
        <w:t>0</w:t>
      </w:r>
      <w:r>
        <w:rPr>
          <w:rFonts w:hint="eastAsia" w:ascii="仿宋_GB2312" w:eastAsia="仿宋_GB2312"/>
          <w:sz w:val="32"/>
          <w:szCs w:val="32"/>
        </w:rPr>
        <w:t>辆、执法执勤用车</w:t>
      </w:r>
      <w:r>
        <w:rPr>
          <w:rFonts w:ascii="仿宋_GB2312" w:eastAsia="仿宋_GB2312"/>
          <w:sz w:val="32"/>
          <w:szCs w:val="32"/>
        </w:rPr>
        <w:t>0</w:t>
      </w:r>
      <w:r>
        <w:rPr>
          <w:rFonts w:hint="eastAsia" w:ascii="仿宋_GB2312" w:eastAsia="仿宋_GB2312"/>
          <w:sz w:val="32"/>
          <w:szCs w:val="32"/>
        </w:rPr>
        <w:t>辆、特种专业技术用车</w:t>
      </w:r>
      <w:r>
        <w:rPr>
          <w:rFonts w:ascii="仿宋_GB2312" w:eastAsia="仿宋_GB2312"/>
          <w:sz w:val="32"/>
          <w:szCs w:val="32"/>
        </w:rPr>
        <w:t>0</w:t>
      </w:r>
      <w:r>
        <w:rPr>
          <w:rFonts w:hint="eastAsia" w:ascii="仿宋_GB2312" w:eastAsia="仿宋_GB2312"/>
          <w:sz w:val="32"/>
          <w:szCs w:val="32"/>
        </w:rPr>
        <w:t>辆、离退休干部用车</w:t>
      </w:r>
      <w:r>
        <w:rPr>
          <w:rFonts w:ascii="仿宋_GB2312" w:eastAsia="仿宋_GB2312"/>
          <w:sz w:val="32"/>
          <w:szCs w:val="32"/>
        </w:rPr>
        <w:t>0</w:t>
      </w:r>
      <w:r>
        <w:rPr>
          <w:rFonts w:hint="eastAsia" w:ascii="仿宋_GB2312" w:eastAsia="仿宋_GB2312"/>
          <w:sz w:val="32"/>
          <w:szCs w:val="32"/>
        </w:rPr>
        <w:t>辆、一般公务用车</w:t>
      </w:r>
      <w:r>
        <w:rPr>
          <w:rFonts w:ascii="仿宋_GB2312" w:eastAsia="仿宋_GB2312"/>
          <w:sz w:val="32"/>
          <w:szCs w:val="32"/>
        </w:rPr>
        <w:t>3</w:t>
      </w:r>
      <w:r>
        <w:rPr>
          <w:rFonts w:hint="eastAsia" w:ascii="仿宋_GB2312" w:eastAsia="仿宋_GB2312"/>
          <w:sz w:val="32"/>
          <w:szCs w:val="32"/>
        </w:rPr>
        <w:t>辆；单位价值</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0</w:t>
      </w:r>
      <w:r>
        <w:rPr>
          <w:rFonts w:hint="eastAsia" w:ascii="仿宋_GB2312" w:eastAsia="仿宋_GB2312"/>
          <w:sz w:val="32"/>
          <w:szCs w:val="32"/>
        </w:rPr>
        <w:t>台（套），单位价值</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p>
    <w:p>
      <w:pPr>
        <w:pageBreakBefore/>
        <w:jc w:val="center"/>
        <w:outlineLvl w:val="0"/>
        <w:rPr>
          <w:rFonts w:ascii="黑体" w:hAnsi="黑体" w:eastAsia="黑体" w:cs="黑体"/>
          <w:sz w:val="48"/>
          <w:szCs w:val="48"/>
        </w:rPr>
      </w:pPr>
      <w:r>
        <w:rPr>
          <w:rFonts w:hint="eastAsia" w:ascii="黑体" w:hAnsi="黑体" w:eastAsia="黑体" w:cs="黑体"/>
          <w:sz w:val="48"/>
          <w:szCs w:val="48"/>
        </w:rPr>
        <w:t>第三部分</w:t>
      </w:r>
      <w:r>
        <w:rPr>
          <w:rFonts w:ascii="黑体" w:hAnsi="黑体" w:eastAsia="黑体" w:cs="黑体"/>
          <w:sz w:val="48"/>
          <w:szCs w:val="48"/>
        </w:rPr>
        <w:t xml:space="preserve">  </w:t>
      </w:r>
      <w:r>
        <w:rPr>
          <w:rFonts w:hint="eastAsia" w:ascii="黑体" w:hAnsi="黑体" w:eastAsia="黑体" w:cs="黑体"/>
          <w:sz w:val="48"/>
          <w:szCs w:val="48"/>
        </w:rPr>
        <w:t>名词解释</w:t>
      </w:r>
    </w:p>
    <w:p>
      <w:pPr>
        <w:spacing w:line="590" w:lineRule="exact"/>
        <w:ind w:firstLine="640" w:firstLineChars="200"/>
        <w:rPr>
          <w:rFonts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ind w:firstLine="640" w:firstLineChars="200"/>
        <w:rPr>
          <w:rFonts w:ascii="仿宋_GB2312" w:hAnsi="仿宋_GB2312" w:eastAsia="仿宋_GB2312" w:cs="仿宋_GB2312"/>
          <w:sz w:val="32"/>
          <w:szCs w:val="32"/>
        </w:rPr>
      </w:pPr>
    </w:p>
    <w:p>
      <w:pPr>
        <w:pageBreakBefore/>
        <w:jc w:val="center"/>
        <w:outlineLvl w:val="0"/>
        <w:rPr>
          <w:rFonts w:ascii="黑体" w:hAnsi="黑体" w:eastAsia="黑体" w:cs="黑体"/>
          <w:sz w:val="44"/>
          <w:szCs w:val="44"/>
        </w:rPr>
      </w:pPr>
      <w:r>
        <w:rPr>
          <w:rFonts w:hint="eastAsia" w:ascii="黑体" w:hAnsi="黑体" w:eastAsia="黑体" w:cs="黑体"/>
          <w:sz w:val="44"/>
          <w:szCs w:val="44"/>
        </w:rPr>
        <w:t>第四部分</w:t>
      </w:r>
    </w:p>
    <w:p>
      <w:pPr>
        <w:jc w:val="center"/>
        <w:rPr>
          <w:rFonts w:ascii="黑体" w:hAnsi="黑体" w:eastAsia="黑体" w:cs="黑体"/>
          <w:sz w:val="48"/>
          <w:szCs w:val="48"/>
        </w:rPr>
      </w:pPr>
      <w:r>
        <w:rPr>
          <w:rFonts w:hint="eastAsia" w:ascii="黑体" w:hAnsi="黑体" w:eastAsia="黑体" w:cs="黑体"/>
          <w:sz w:val="44"/>
          <w:szCs w:val="44"/>
        </w:rPr>
        <w:t>罗山县机关事务中心</w:t>
      </w:r>
      <w:r>
        <w:rPr>
          <w:rFonts w:ascii="黑体" w:hAnsi="黑体" w:eastAsia="黑体" w:cs="黑体"/>
          <w:sz w:val="44"/>
          <w:szCs w:val="44"/>
        </w:rPr>
        <w:t>2020</w:t>
      </w:r>
      <w:r>
        <w:rPr>
          <w:rFonts w:hint="eastAsia" w:ascii="黑体" w:hAnsi="黑体" w:eastAsia="黑体" w:cs="黑体"/>
          <w:sz w:val="44"/>
          <w:szCs w:val="44"/>
        </w:rPr>
        <w:t>年度部门决算公开表</w:t>
      </w:r>
    </w:p>
    <w:p>
      <w:pPr>
        <w:rPr>
          <w:rFonts w:ascii="黑体" w:eastAsia="黑体"/>
          <w:color w:val="000000"/>
          <w:sz w:val="28"/>
          <w:szCs w:val="28"/>
        </w:rPr>
      </w:pPr>
    </w:p>
    <w:p>
      <w:pPr>
        <w:rPr>
          <w:rFonts w:ascii="仿宋_GB2312" w:eastAsia="仿宋_GB2312"/>
          <w:color w:val="000000"/>
          <w:sz w:val="32"/>
          <w:szCs w:val="32"/>
        </w:rPr>
      </w:pPr>
      <w:r>
        <w:rPr>
          <w:rFonts w:hint="eastAsia" w:ascii="仿宋_GB2312" w:eastAsia="仿宋_GB2312"/>
          <w:color w:val="000000"/>
          <w:sz w:val="32"/>
          <w:szCs w:val="32"/>
        </w:rPr>
        <w:t>说明：表中单元格数据为空时，表示该单元格数据为零；整张表数据为空时，表示部门该表中所有数据均为零，当年无表中相关收支。</w:t>
      </w:r>
    </w:p>
    <w:p>
      <w:pPr>
        <w:rPr>
          <w:rFonts w:ascii="仿宋_GB2312" w:eastAsia="仿宋_GB2312"/>
          <w:color w:val="000000"/>
          <w:sz w:val="32"/>
          <w:szCs w:val="32"/>
        </w:rPr>
        <w:sectPr>
          <w:pgSz w:w="11907" w:h="16840"/>
          <w:pgMar w:top="1440" w:right="1800" w:bottom="1440" w:left="1800" w:header="851" w:footer="992" w:gutter="0"/>
          <w:cols w:space="425" w:num="1"/>
          <w:docGrid w:type="lines" w:linePitch="312" w:charSpace="0"/>
        </w:sectPr>
      </w:pPr>
    </w:p>
    <w:tbl>
      <w:tblPr>
        <w:tblStyle w:val="5"/>
        <w:tblpPr w:leftFromText="180" w:rightFromText="180" w:vertAnchor="text" w:horzAnchor="page" w:tblpX="1469" w:tblpY="258"/>
        <w:tblOverlap w:val="never"/>
        <w:tblW w:w="13988" w:type="dxa"/>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b/>
                <w:bCs/>
                <w:color w:val="000000"/>
                <w:sz w:val="32"/>
                <w:szCs w:val="32"/>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20"/>
                <w:szCs w:val="20"/>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rPr>
              <w:t>公开</w:t>
            </w:r>
            <w:r>
              <w:rPr>
                <w:color w:val="000000"/>
                <w:sz w:val="20"/>
                <w:szCs w:val="20"/>
              </w:rPr>
              <w:t>01</w:t>
            </w:r>
            <w:r>
              <w:rPr>
                <w:rFonts w:hint="eastAsia"/>
                <w:color w:val="000000"/>
                <w:sz w:val="20"/>
                <w:szCs w:val="20"/>
              </w:rPr>
              <w:t>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textAlignment w:val="center"/>
              <w:rPr>
                <w:color w:val="000000"/>
                <w:sz w:val="20"/>
                <w:szCs w:val="20"/>
              </w:rPr>
            </w:pPr>
            <w:r>
              <w:rPr>
                <w:rFonts w:hint="eastAsia"/>
                <w:color w:val="000000"/>
                <w:sz w:val="20"/>
                <w:szCs w:val="20"/>
              </w:rPr>
              <w:t>部门：罗山县机关事务中心</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default" w:eastAsia="宋体"/>
                <w:color w:val="000000"/>
                <w:sz w:val="20"/>
                <w:szCs w:val="20"/>
                <w:lang w:val="en-US" w:eastAsia="zh-CN"/>
              </w:rPr>
            </w:pPr>
            <w:r>
              <w:rPr>
                <w:rFonts w:hint="eastAsia"/>
                <w:color w:val="000000"/>
                <w:sz w:val="20"/>
                <w:szCs w:val="20"/>
                <w:lang w:val="en-US" w:eastAsia="zh-CN"/>
              </w:rPr>
              <w:t>2020年</w:t>
            </w: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340"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20"/>
                <w:szCs w:val="20"/>
              </w:rPr>
            </w:pPr>
            <w:r>
              <w:rPr>
                <w:rFonts w:hint="eastAsia"/>
                <w:b/>
                <w:bCs/>
                <w:color w:val="000000"/>
                <w:sz w:val="20"/>
                <w:szCs w:val="20"/>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20"/>
                <w:szCs w:val="20"/>
              </w:rPr>
            </w:pPr>
            <w:r>
              <w:rPr>
                <w:rFonts w:hint="eastAsia"/>
                <w:b/>
                <w:bCs/>
                <w:color w:val="000000"/>
                <w:sz w:val="20"/>
                <w:szCs w:val="20"/>
              </w:rPr>
              <w:t>支出</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20"/>
                <w:szCs w:val="20"/>
              </w:rPr>
            </w:pPr>
            <w:r>
              <w:rPr>
                <w:rFonts w:hint="eastAsia"/>
                <w:b/>
                <w:bCs/>
                <w:color w:val="000000"/>
                <w:sz w:val="20"/>
                <w:szCs w:val="20"/>
              </w:rPr>
              <w:t>项</w:t>
            </w:r>
            <w:r>
              <w:rPr>
                <w:b/>
                <w:bCs/>
                <w:color w:val="000000"/>
                <w:sz w:val="20"/>
                <w:szCs w:val="20"/>
              </w:rPr>
              <w:t xml:space="preserve">    </w:t>
            </w:r>
            <w:r>
              <w:rPr>
                <w:rFonts w:hint="eastAsia"/>
                <w:b/>
                <w:bCs/>
                <w:color w:val="000000"/>
                <w:sz w:val="20"/>
                <w:szCs w:val="20"/>
              </w:rPr>
              <w:t>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20"/>
                <w:szCs w:val="20"/>
              </w:rPr>
            </w:pPr>
            <w:r>
              <w:rPr>
                <w:rFonts w:hint="eastAsia"/>
                <w:b/>
                <w:bCs/>
                <w:color w:val="000000"/>
                <w:sz w:val="20"/>
                <w:szCs w:val="20"/>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20"/>
                <w:szCs w:val="20"/>
              </w:rPr>
            </w:pPr>
            <w:r>
              <w:rPr>
                <w:rFonts w:hint="eastAsia"/>
                <w:b/>
                <w:bCs/>
                <w:color w:val="000000"/>
                <w:sz w:val="20"/>
                <w:szCs w:val="20"/>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20"/>
                <w:szCs w:val="20"/>
              </w:rPr>
            </w:pPr>
            <w:r>
              <w:rPr>
                <w:rFonts w:hint="eastAsia"/>
                <w:b/>
                <w:bCs/>
                <w:color w:val="000000"/>
                <w:sz w:val="20"/>
                <w:szCs w:val="20"/>
              </w:rPr>
              <w:t>项</w:t>
            </w:r>
            <w:r>
              <w:rPr>
                <w:b/>
                <w:bCs/>
                <w:color w:val="000000"/>
                <w:sz w:val="20"/>
                <w:szCs w:val="20"/>
              </w:rPr>
              <w:t xml:space="preserve">    </w:t>
            </w:r>
            <w:r>
              <w:rPr>
                <w:rFonts w:hint="eastAsia"/>
                <w:b/>
                <w:bCs/>
                <w:color w:val="000000"/>
                <w:sz w:val="20"/>
                <w:szCs w:val="20"/>
              </w:rPr>
              <w:t>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20"/>
                <w:szCs w:val="20"/>
              </w:rPr>
            </w:pPr>
            <w:r>
              <w:rPr>
                <w:rFonts w:hint="eastAsia"/>
                <w:b/>
                <w:bCs/>
                <w:color w:val="000000"/>
                <w:sz w:val="20"/>
                <w:szCs w:val="20"/>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textAlignment w:val="center"/>
              <w:rPr>
                <w:b/>
                <w:bCs/>
                <w:color w:val="000000"/>
                <w:sz w:val="20"/>
                <w:szCs w:val="20"/>
              </w:rPr>
            </w:pPr>
            <w:r>
              <w:rPr>
                <w:rFonts w:hint="eastAsia"/>
                <w:b/>
                <w:bCs/>
                <w:color w:val="000000"/>
                <w:sz w:val="20"/>
                <w:szCs w:val="20"/>
              </w:rPr>
              <w:t>决算数</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20"/>
                <w:szCs w:val="20"/>
              </w:rPr>
            </w:pPr>
            <w:r>
              <w:rPr>
                <w:rFonts w:hint="eastAsia"/>
                <w:b/>
                <w:bCs/>
                <w:color w:val="000000"/>
                <w:sz w:val="20"/>
                <w:szCs w:val="20"/>
              </w:rPr>
              <w:t>栏</w:t>
            </w:r>
            <w:r>
              <w:rPr>
                <w:b/>
                <w:bCs/>
                <w:color w:val="000000"/>
                <w:sz w:val="20"/>
                <w:szCs w:val="20"/>
              </w:rPr>
              <w:t xml:space="preserve">    </w:t>
            </w:r>
            <w:r>
              <w:rPr>
                <w:rFonts w:hint="eastAsia"/>
                <w:b/>
                <w:bCs/>
                <w:color w:val="000000"/>
                <w:sz w:val="20"/>
                <w:szCs w:val="20"/>
              </w:rPr>
              <w:t>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b/>
                <w:bCs/>
                <w:color w:val="00000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20"/>
                <w:szCs w:val="20"/>
              </w:rPr>
            </w:pPr>
            <w:r>
              <w:rPr>
                <w:b/>
                <w:bCs/>
                <w:color w:val="000000"/>
                <w:sz w:val="20"/>
                <w:szCs w:val="20"/>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20"/>
                <w:szCs w:val="20"/>
              </w:rPr>
            </w:pPr>
            <w:r>
              <w:rPr>
                <w:rFonts w:hint="eastAsia"/>
                <w:b/>
                <w:bCs/>
                <w:color w:val="000000"/>
                <w:sz w:val="20"/>
                <w:szCs w:val="20"/>
              </w:rPr>
              <w:t>栏</w:t>
            </w:r>
            <w:r>
              <w:rPr>
                <w:b/>
                <w:bCs/>
                <w:color w:val="000000"/>
                <w:sz w:val="20"/>
                <w:szCs w:val="20"/>
              </w:rPr>
              <w:t xml:space="preserve">    </w:t>
            </w:r>
            <w:r>
              <w:rPr>
                <w:rFonts w:hint="eastAsia"/>
                <w:b/>
                <w:bCs/>
                <w:color w:val="000000"/>
                <w:sz w:val="20"/>
                <w:szCs w:val="20"/>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b/>
                <w:bCs/>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textAlignment w:val="center"/>
              <w:rPr>
                <w:b/>
                <w:bCs/>
                <w:color w:val="000000"/>
                <w:sz w:val="20"/>
                <w:szCs w:val="20"/>
              </w:rPr>
            </w:pPr>
            <w:r>
              <w:rPr>
                <w:b/>
                <w:bCs/>
                <w:color w:val="000000"/>
                <w:sz w:val="20"/>
                <w:szCs w:val="20"/>
              </w:rPr>
              <w:t>2</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20"/>
                <w:szCs w:val="20"/>
              </w:rPr>
            </w:pPr>
            <w:r>
              <w:rPr>
                <w:rFonts w:hint="eastAsia"/>
                <w:color w:val="000000"/>
                <w:sz w:val="20"/>
                <w:szCs w:val="20"/>
              </w:rPr>
              <w:t>一、财政拨款收入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1</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0"/>
                <w:szCs w:val="20"/>
              </w:rPr>
            </w:pPr>
            <w:r>
              <w:rPr>
                <w:b/>
                <w:bCs/>
                <w:color w:val="000000"/>
                <w:sz w:val="20"/>
                <w:szCs w:val="20"/>
              </w:rPr>
              <w:t>2264.09</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20"/>
                <w:szCs w:val="20"/>
              </w:rPr>
            </w:pPr>
            <w:r>
              <w:rPr>
                <w:rFonts w:hint="eastAsia"/>
                <w:color w:val="000000"/>
                <w:sz w:val="20"/>
                <w:szCs w:val="20"/>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20"/>
                <w:szCs w:val="20"/>
              </w:rPr>
            </w:pPr>
            <w:r>
              <w:rPr>
                <w:b/>
                <w:bCs/>
                <w:color w:val="000000"/>
                <w:sz w:val="20"/>
                <w:szCs w:val="20"/>
              </w:rPr>
              <w:t>2235.58</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20"/>
                <w:szCs w:val="20"/>
              </w:rPr>
            </w:pPr>
            <w:r>
              <w:rPr>
                <w:rFonts w:hint="eastAsia"/>
                <w:color w:val="000000"/>
                <w:sz w:val="20"/>
                <w:szCs w:val="20"/>
              </w:rPr>
              <w:t>二、上级补助收入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2</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20"/>
                <w:szCs w:val="20"/>
              </w:rPr>
            </w:pPr>
            <w:r>
              <w:rPr>
                <w:rFonts w:hint="eastAsia"/>
                <w:color w:val="000000"/>
                <w:sz w:val="20"/>
                <w:szCs w:val="20"/>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20"/>
                <w:szCs w:val="20"/>
              </w:rPr>
            </w:pPr>
            <w:r>
              <w:rPr>
                <w:rFonts w:hint="eastAsia"/>
                <w:color w:val="000000"/>
                <w:sz w:val="20"/>
                <w:szCs w:val="20"/>
              </w:rPr>
              <w:t>三、事业收入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3</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20"/>
                <w:szCs w:val="20"/>
              </w:rPr>
            </w:pPr>
            <w:r>
              <w:rPr>
                <w:rFonts w:hint="eastAsia"/>
                <w:color w:val="000000"/>
                <w:sz w:val="20"/>
                <w:szCs w:val="20"/>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20"/>
                <w:szCs w:val="20"/>
              </w:rPr>
            </w:pPr>
            <w:r>
              <w:rPr>
                <w:rFonts w:hint="eastAsia"/>
                <w:color w:val="000000"/>
                <w:sz w:val="20"/>
                <w:szCs w:val="20"/>
              </w:rPr>
              <w:t>四、经营收入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4</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20"/>
                <w:szCs w:val="20"/>
              </w:rPr>
            </w:pPr>
            <w:r>
              <w:rPr>
                <w:rFonts w:hint="eastAsia"/>
                <w:color w:val="000000"/>
                <w:sz w:val="20"/>
                <w:szCs w:val="20"/>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20"/>
                <w:szCs w:val="20"/>
              </w:rPr>
            </w:pPr>
            <w:r>
              <w:rPr>
                <w:rFonts w:hint="eastAsia"/>
                <w:color w:val="000000"/>
                <w:sz w:val="20"/>
                <w:szCs w:val="20"/>
              </w:rPr>
              <w:t>五、附属单位上缴收入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5</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20"/>
                <w:szCs w:val="20"/>
              </w:rPr>
            </w:pPr>
            <w:r>
              <w:rPr>
                <w:rFonts w:hint="eastAsia"/>
                <w:color w:val="000000"/>
                <w:sz w:val="20"/>
                <w:szCs w:val="20"/>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20"/>
                <w:szCs w:val="20"/>
              </w:rPr>
            </w:pPr>
            <w:r>
              <w:rPr>
                <w:rFonts w:hint="eastAsia"/>
                <w:color w:val="000000"/>
                <w:sz w:val="20"/>
                <w:szCs w:val="20"/>
              </w:rPr>
              <w:t>六、其他收入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6</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20"/>
                <w:szCs w:val="20"/>
              </w:rPr>
            </w:pPr>
            <w:r>
              <w:rPr>
                <w:rFonts w:hint="eastAsia"/>
                <w:color w:val="000000"/>
                <w:sz w:val="20"/>
                <w:szCs w:val="20"/>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7</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20"/>
                <w:szCs w:val="20"/>
              </w:rPr>
            </w:pPr>
            <w:r>
              <w:rPr>
                <w:rFonts w:hint="eastAsia"/>
                <w:color w:val="000000"/>
                <w:sz w:val="20"/>
              </w:rPr>
              <w:t>七、文化体育与传媒支出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8</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0"/>
                <w:szCs w:val="20"/>
              </w:rPr>
            </w:pP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color w:val="000000"/>
                <w:sz w:val="20"/>
                <w:szCs w:val="20"/>
              </w:rPr>
            </w:pPr>
            <w:r>
              <w:rPr>
                <w:rFonts w:hint="eastAsia"/>
                <w:color w:val="000000"/>
                <w:sz w:val="20"/>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color w:val="000000"/>
                <w:sz w:val="20"/>
                <w:szCs w:val="20"/>
              </w:rPr>
            </w:pPr>
            <w:r>
              <w:rPr>
                <w:b/>
                <w:bCs/>
                <w:color w:val="000000"/>
                <w:sz w:val="20"/>
                <w:szCs w:val="20"/>
              </w:rPr>
              <w:t>28.51</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b/>
                <w:color w:val="000000"/>
                <w:sz w:val="20"/>
                <w:szCs w:val="20"/>
              </w:rPr>
            </w:pPr>
            <w:r>
              <w:rPr>
                <w:rFonts w:hint="eastAsia"/>
                <w:b/>
                <w:color w:val="000000"/>
                <w:sz w:val="20"/>
                <w:szCs w:val="20"/>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9</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0"/>
                <w:szCs w:val="20"/>
              </w:rPr>
            </w:pPr>
            <w:r>
              <w:rPr>
                <w:b/>
                <w:bCs/>
                <w:color w:val="000000"/>
                <w:sz w:val="20"/>
                <w:szCs w:val="20"/>
              </w:rPr>
              <w:t>2264.09</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textAlignment w:val="center"/>
              <w:rPr>
                <w:b/>
                <w:color w:val="000000"/>
                <w:sz w:val="20"/>
                <w:szCs w:val="20"/>
              </w:rPr>
            </w:pPr>
            <w:r>
              <w:rPr>
                <w:rFonts w:hint="eastAsia"/>
                <w:b/>
                <w:color w:val="000000"/>
                <w:sz w:val="20"/>
                <w:szCs w:val="20"/>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bCs/>
                <w:color w:val="000000"/>
                <w:sz w:val="20"/>
                <w:szCs w:val="20"/>
              </w:rPr>
            </w:pPr>
            <w:r>
              <w:rPr>
                <w:b/>
                <w:bCs/>
                <w:color w:val="000000"/>
                <w:sz w:val="20"/>
                <w:szCs w:val="20"/>
              </w:rPr>
              <w:t>2264.09</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20"/>
                <w:szCs w:val="20"/>
              </w:rPr>
            </w:pPr>
            <w:r>
              <w:rPr>
                <w:color w:val="000000"/>
                <w:sz w:val="20"/>
                <w:szCs w:val="20"/>
              </w:rPr>
              <w:t xml:space="preserve">         </w:t>
            </w:r>
            <w:r>
              <w:rPr>
                <w:rFonts w:hint="eastAsia"/>
                <w:color w:val="000000"/>
                <w:sz w:val="20"/>
                <w:szCs w:val="20"/>
              </w:rPr>
              <w:t>用事业基金弥补收支差额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10</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0"/>
                <w:szCs w:val="20"/>
              </w:rPr>
            </w:pP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textAlignment w:val="center"/>
              <w:rPr>
                <w:color w:val="000000"/>
                <w:sz w:val="20"/>
                <w:szCs w:val="20"/>
              </w:rPr>
            </w:pPr>
            <w:r>
              <w:rPr>
                <w:color w:val="000000"/>
                <w:sz w:val="20"/>
                <w:szCs w:val="20"/>
              </w:rPr>
              <w:t xml:space="preserve">                </w:t>
            </w:r>
            <w:r>
              <w:rPr>
                <w:rFonts w:hint="eastAsia"/>
                <w:color w:val="000000"/>
                <w:sz w:val="20"/>
                <w:szCs w:val="20"/>
              </w:rPr>
              <w:t>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bCs/>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20"/>
                <w:szCs w:val="20"/>
              </w:rPr>
            </w:pPr>
            <w:r>
              <w:rPr>
                <w:color w:val="000000"/>
                <w:sz w:val="20"/>
                <w:szCs w:val="20"/>
              </w:rPr>
              <w:t xml:space="preserve">         </w:t>
            </w:r>
            <w:r>
              <w:rPr>
                <w:rFonts w:hint="eastAsia"/>
                <w:color w:val="000000"/>
                <w:sz w:val="20"/>
                <w:szCs w:val="20"/>
              </w:rPr>
              <w:t>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11</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0"/>
                <w:szCs w:val="20"/>
              </w:rPr>
            </w:pP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textAlignment w:val="center"/>
              <w:rPr>
                <w:color w:val="000000"/>
                <w:sz w:val="20"/>
                <w:szCs w:val="20"/>
              </w:rPr>
            </w:pPr>
            <w:r>
              <w:rPr>
                <w:color w:val="000000"/>
                <w:sz w:val="20"/>
                <w:szCs w:val="20"/>
              </w:rPr>
              <w:t xml:space="preserve">                </w:t>
            </w:r>
            <w:r>
              <w:rPr>
                <w:rFonts w:hint="eastAsia"/>
                <w:color w:val="000000"/>
                <w:sz w:val="20"/>
                <w:szCs w:val="20"/>
              </w:rPr>
              <w:t>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bCs/>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nil"/>
              <w:right w:val="nil"/>
            </w:tcBorders>
            <w:noWrap/>
            <w:tcMar>
              <w:top w:w="15" w:type="dxa"/>
              <w:left w:w="15" w:type="dxa"/>
              <w:right w:w="15" w:type="dxa"/>
            </w:tcMar>
            <w:vAlign w:val="center"/>
          </w:tcPr>
          <w:p>
            <w:pPr>
              <w:rPr>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12</w:t>
            </w:r>
          </w:p>
        </w:tc>
        <w:tc>
          <w:tcPr>
            <w:tcW w:w="1764"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color w:val="000000"/>
                <w:sz w:val="20"/>
                <w:szCs w:val="20"/>
              </w:rPr>
            </w:pPr>
          </w:p>
        </w:tc>
        <w:tc>
          <w:tcPr>
            <w:tcW w:w="4671" w:type="dxa"/>
            <w:tcBorders>
              <w:top w:val="single" w:color="000000" w:sz="4" w:space="0"/>
              <w:left w:val="single" w:color="000000" w:sz="4" w:space="0"/>
              <w:bottom w:val="nil"/>
              <w:right w:val="nil"/>
            </w:tcBorders>
            <w:noWrap/>
            <w:tcMar>
              <w:top w:w="15" w:type="dxa"/>
              <w:left w:w="15" w:type="dxa"/>
              <w:right w:w="15" w:type="dxa"/>
            </w:tcMar>
            <w:vAlign w:val="center"/>
          </w:tcPr>
          <w:p>
            <w:pPr>
              <w:rPr>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jc w:val="center"/>
              <w:rPr>
                <w:bCs/>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center"/>
              <w:textAlignment w:val="center"/>
              <w:rPr>
                <w:b/>
                <w:color w:val="000000"/>
                <w:sz w:val="20"/>
                <w:szCs w:val="20"/>
              </w:rPr>
            </w:pPr>
            <w:r>
              <w:rPr>
                <w:rFonts w:hint="eastAsia"/>
                <w:b/>
                <w:color w:val="000000"/>
                <w:sz w:val="20"/>
                <w:szCs w:val="20"/>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13</w:t>
            </w:r>
          </w:p>
        </w:tc>
        <w:tc>
          <w:tcPr>
            <w:tcW w:w="176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color w:val="000000"/>
                <w:sz w:val="20"/>
                <w:szCs w:val="20"/>
              </w:rPr>
            </w:pPr>
            <w:r>
              <w:rPr>
                <w:b/>
                <w:bCs/>
                <w:color w:val="000000"/>
                <w:sz w:val="20"/>
                <w:szCs w:val="20"/>
              </w:rPr>
              <w:t>2264.09</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jc w:val="center"/>
              <w:textAlignment w:val="center"/>
              <w:rPr>
                <w:b/>
                <w:color w:val="000000"/>
                <w:sz w:val="20"/>
                <w:szCs w:val="20"/>
              </w:rPr>
            </w:pPr>
            <w:r>
              <w:rPr>
                <w:rFonts w:hint="eastAsia"/>
                <w:b/>
                <w:color w:val="000000"/>
                <w:sz w:val="20"/>
                <w:szCs w:val="20"/>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20"/>
                <w:szCs w:val="20"/>
              </w:rPr>
            </w:pPr>
            <w:r>
              <w:rPr>
                <w:color w:val="000000"/>
                <w:sz w:val="20"/>
                <w:szCs w:val="20"/>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bCs/>
                <w:color w:val="000000"/>
                <w:sz w:val="20"/>
                <w:szCs w:val="20"/>
              </w:rPr>
            </w:pPr>
            <w:r>
              <w:rPr>
                <w:b/>
                <w:bCs/>
                <w:color w:val="000000"/>
                <w:sz w:val="20"/>
                <w:szCs w:val="20"/>
              </w:rPr>
              <w:t>2264.09</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注：本表反映部门本年度的总收支和年末结转结余情况。本表金额转换为万元时，因四舍五入可能存在尾差。</w:t>
            </w:r>
          </w:p>
        </w:tc>
      </w:tr>
    </w:tbl>
    <w:tbl>
      <w:tblPr>
        <w:tblStyle w:val="5"/>
        <w:tblpPr w:leftFromText="180" w:rightFromText="180" w:vertAnchor="text" w:horzAnchor="page" w:tblpX="1433" w:tblpY="184"/>
        <w:tblOverlap w:val="never"/>
        <w:tblW w:w="13845" w:type="dxa"/>
        <w:tblInd w:w="0" w:type="dxa"/>
        <w:tblLayout w:type="fixed"/>
        <w:tblCellMar>
          <w:top w:w="0" w:type="dxa"/>
          <w:left w:w="0" w:type="dxa"/>
          <w:bottom w:w="0" w:type="dxa"/>
          <w:right w:w="0" w:type="dxa"/>
        </w:tblCellMar>
      </w:tblPr>
      <w:tblGrid>
        <w:gridCol w:w="1027"/>
        <w:gridCol w:w="59"/>
        <w:gridCol w:w="2091"/>
        <w:gridCol w:w="733"/>
        <w:gridCol w:w="386"/>
        <w:gridCol w:w="1167"/>
        <w:gridCol w:w="176"/>
        <w:gridCol w:w="1377"/>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sz w:val="32"/>
                <w:szCs w:val="32"/>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2091"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733"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公开</w:t>
            </w:r>
            <w:r>
              <w:rPr>
                <w:color w:val="000000"/>
                <w:sz w:val="18"/>
                <w:szCs w:val="18"/>
              </w:rPr>
              <w:t>02</w:t>
            </w:r>
            <w:r>
              <w:rPr>
                <w:rFonts w:hint="eastAsia"/>
                <w:color w:val="000000"/>
                <w:sz w:val="18"/>
                <w:szCs w:val="18"/>
              </w:rPr>
              <w:t>表</w:t>
            </w:r>
          </w:p>
        </w:tc>
      </w:tr>
      <w:tr>
        <w:tblPrEx>
          <w:tblCellMar>
            <w:top w:w="0" w:type="dxa"/>
            <w:left w:w="0" w:type="dxa"/>
            <w:bottom w:w="0" w:type="dxa"/>
            <w:right w:w="0" w:type="dxa"/>
          </w:tblCellMar>
        </w:tblPrEx>
        <w:trPr>
          <w:trHeight w:val="300" w:hRule="atLeast"/>
        </w:trPr>
        <w:tc>
          <w:tcPr>
            <w:tcW w:w="3177" w:type="dxa"/>
            <w:gridSpan w:val="3"/>
            <w:tcBorders>
              <w:top w:val="nil"/>
              <w:left w:val="nil"/>
              <w:bottom w:val="nil"/>
              <w:right w:val="nil"/>
            </w:tcBorders>
            <w:shd w:val="clear" w:color="auto" w:fill="FFFFFF"/>
            <w:noWrap/>
            <w:tcMar>
              <w:top w:w="15" w:type="dxa"/>
              <w:left w:w="15" w:type="dxa"/>
              <w:right w:w="15" w:type="dxa"/>
            </w:tcMar>
            <w:vAlign w:val="center"/>
          </w:tcPr>
          <w:p>
            <w:pPr>
              <w:rPr>
                <w:color w:val="000000"/>
                <w:sz w:val="18"/>
                <w:szCs w:val="18"/>
              </w:rPr>
            </w:pPr>
            <w:r>
              <w:rPr>
                <w:rFonts w:hint="eastAsia"/>
                <w:color w:val="000000"/>
                <w:sz w:val="20"/>
                <w:szCs w:val="20"/>
              </w:rPr>
              <w:t>部门：罗山县机关事务中心</w:t>
            </w:r>
          </w:p>
        </w:tc>
        <w:tc>
          <w:tcPr>
            <w:tcW w:w="733"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color w:val="000000"/>
                <w:sz w:val="18"/>
                <w:szCs w:val="18"/>
              </w:rPr>
            </w:pPr>
            <w:r>
              <w:rPr>
                <w:rFonts w:hint="eastAsia"/>
                <w:color w:val="000000"/>
                <w:sz w:val="20"/>
                <w:szCs w:val="20"/>
                <w:lang w:val="en-US" w:eastAsia="zh-CN"/>
              </w:rPr>
              <w:t xml:space="preserve">       2020年</w:t>
            </w: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单位：万元</w:t>
            </w:r>
          </w:p>
        </w:tc>
      </w:tr>
      <w:tr>
        <w:tblPrEx>
          <w:tblCellMar>
            <w:top w:w="0" w:type="dxa"/>
            <w:left w:w="0" w:type="dxa"/>
            <w:bottom w:w="0" w:type="dxa"/>
            <w:right w:w="0" w:type="dxa"/>
          </w:tblCellMar>
        </w:tblPrEx>
        <w:trPr>
          <w:trHeight w:val="450" w:hRule="atLeast"/>
        </w:trPr>
        <w:tc>
          <w:tcPr>
            <w:tcW w:w="317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项</w:t>
            </w:r>
            <w:r>
              <w:rPr>
                <w:b/>
                <w:bCs/>
                <w:color w:val="000000"/>
                <w:sz w:val="18"/>
                <w:szCs w:val="18"/>
              </w:rPr>
              <w:t xml:space="preserve">    </w:t>
            </w:r>
            <w:r>
              <w:rPr>
                <w:rFonts w:hint="eastAsia"/>
                <w:b/>
                <w:bCs/>
                <w:color w:val="000000"/>
                <w:sz w:val="18"/>
                <w:szCs w:val="18"/>
              </w:rPr>
              <w:t>目</w:t>
            </w:r>
          </w:p>
        </w:tc>
        <w:tc>
          <w:tcPr>
            <w:tcW w:w="111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本年收入合计</w:t>
            </w:r>
          </w:p>
        </w:tc>
        <w:tc>
          <w:tcPr>
            <w:tcW w:w="1343"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功能分类</w:t>
            </w:r>
          </w:p>
          <w:p>
            <w:pPr>
              <w:jc w:val="center"/>
              <w:textAlignment w:val="center"/>
              <w:rPr>
                <w:b/>
                <w:bCs/>
                <w:color w:val="000000"/>
                <w:sz w:val="18"/>
                <w:szCs w:val="18"/>
              </w:rPr>
            </w:pPr>
            <w:r>
              <w:rPr>
                <w:rFonts w:hint="eastAsia"/>
                <w:b/>
                <w:bCs/>
                <w:color w:val="000000"/>
                <w:sz w:val="18"/>
                <w:szCs w:val="18"/>
              </w:rPr>
              <w:t>科目编码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科目名称</w:t>
            </w:r>
          </w:p>
        </w:tc>
        <w:tc>
          <w:tcPr>
            <w:tcW w:w="111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b/>
                <w:bCs/>
                <w:color w:val="000000"/>
                <w:sz w:val="18"/>
                <w:szCs w:val="18"/>
              </w:rPr>
            </w:pPr>
          </w:p>
        </w:tc>
        <w:tc>
          <w:tcPr>
            <w:tcW w:w="1343"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b/>
                <w:bCs/>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b/>
                <w:bCs/>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b/>
                <w:bCs/>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b/>
                <w:bCs/>
                <w:color w:val="000000"/>
                <w:sz w:val="18"/>
                <w:szCs w:val="18"/>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b/>
                <w:bCs/>
                <w:color w:val="000000"/>
                <w:sz w:val="18"/>
                <w:szCs w:val="18"/>
              </w:rPr>
            </w:pPr>
          </w:p>
        </w:tc>
      </w:tr>
      <w:tr>
        <w:tblPrEx>
          <w:tblCellMar>
            <w:top w:w="0" w:type="dxa"/>
            <w:left w:w="0" w:type="dxa"/>
            <w:bottom w:w="0" w:type="dxa"/>
            <w:right w:w="0" w:type="dxa"/>
          </w:tblCellMar>
        </w:tblPrEx>
        <w:trPr>
          <w:trHeight w:val="312"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color w:val="000000"/>
                <w:sz w:val="18"/>
                <w:szCs w:val="18"/>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111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1343"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317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栏次</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1</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7</w:t>
            </w:r>
          </w:p>
        </w:tc>
      </w:tr>
      <w:tr>
        <w:tblPrEx>
          <w:tblCellMar>
            <w:top w:w="0" w:type="dxa"/>
            <w:left w:w="0" w:type="dxa"/>
            <w:bottom w:w="0" w:type="dxa"/>
            <w:right w:w="0" w:type="dxa"/>
          </w:tblCellMar>
        </w:tblPrEx>
        <w:trPr>
          <w:trHeight w:val="450" w:hRule="atLeast"/>
        </w:trPr>
        <w:tc>
          <w:tcPr>
            <w:tcW w:w="317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合计</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r>
              <w:rPr>
                <w:b/>
                <w:bCs/>
                <w:color w:val="000000"/>
                <w:sz w:val="20"/>
                <w:szCs w:val="20"/>
              </w:rPr>
              <w:t>2264.09</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r>
              <w:rPr>
                <w:b/>
                <w:bCs/>
                <w:color w:val="000000"/>
                <w:sz w:val="20"/>
                <w:szCs w:val="20"/>
              </w:rPr>
              <w:t>2264.09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b/>
                <w:bCs/>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201</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一般公共服务支出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r>
              <w:rPr>
                <w:b/>
                <w:bCs/>
                <w:color w:val="000000"/>
                <w:sz w:val="20"/>
                <w:szCs w:val="20"/>
              </w:rPr>
              <w:t>2235.58</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r>
              <w:rPr>
                <w:b/>
                <w:bCs/>
                <w:color w:val="000000"/>
                <w:sz w:val="20"/>
                <w:szCs w:val="20"/>
              </w:rPr>
              <w:t>2235.58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20103</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政府办公厅（室）及相关机构事务</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华文中宋"/>
                <w:color w:val="000000"/>
                <w:sz w:val="18"/>
                <w:szCs w:val="18"/>
              </w:rPr>
            </w:pPr>
            <w:r>
              <w:rPr>
                <w:color w:val="000000"/>
                <w:sz w:val="18"/>
                <w:szCs w:val="18"/>
              </w:rPr>
              <w:t>1885.58</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1885.58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2010303</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机关服务</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1885.58</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1885.58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329"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20199</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其他一般公共服务支出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350</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350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2019999</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其他一般公共服务支出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350</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350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208</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社会保障和就业支出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r>
              <w:rPr>
                <w:b/>
                <w:bCs/>
                <w:color w:val="000000"/>
                <w:sz w:val="18"/>
                <w:szCs w:val="18"/>
              </w:rPr>
              <w:t>11.54</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r>
              <w:rPr>
                <w:b/>
                <w:bCs/>
                <w:color w:val="000000"/>
                <w:sz w:val="18"/>
                <w:szCs w:val="18"/>
              </w:rPr>
              <w:t>11.54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20805</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行政事业单位离退休</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11.54</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11.54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2080505</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机关事业单位基本养老保险缴费支出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11.54</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11.54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9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210</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卫生健康支出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r>
              <w:rPr>
                <w:b/>
                <w:bCs/>
                <w:color w:val="000000"/>
                <w:sz w:val="18"/>
                <w:szCs w:val="18"/>
              </w:rPr>
              <w:t>8.95</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r>
              <w:rPr>
                <w:b/>
                <w:bCs/>
                <w:color w:val="000000"/>
                <w:sz w:val="18"/>
                <w:szCs w:val="18"/>
              </w:rPr>
              <w:t>8.95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21011</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行政事业单位医疗</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8.95</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8.95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2101102</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事业单位医疗</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8.95</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8.95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221</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住房保障支出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r>
              <w:rPr>
                <w:b/>
                <w:bCs/>
                <w:color w:val="000000"/>
                <w:sz w:val="18"/>
                <w:szCs w:val="18"/>
              </w:rPr>
              <w:t>8.02</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r>
              <w:rPr>
                <w:b/>
                <w:bCs/>
                <w:color w:val="000000"/>
                <w:sz w:val="18"/>
                <w:szCs w:val="18"/>
              </w:rPr>
              <w:t>8.02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22102</w:t>
            </w:r>
          </w:p>
        </w:tc>
        <w:tc>
          <w:tcPr>
            <w:tcW w:w="209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住房改革支出</w:t>
            </w:r>
          </w:p>
        </w:tc>
        <w:tc>
          <w:tcPr>
            <w:tcW w:w="111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8.02</w:t>
            </w:r>
          </w:p>
        </w:tc>
        <w:tc>
          <w:tcPr>
            <w:tcW w:w="13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8.02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2210201</w:t>
            </w:r>
          </w:p>
        </w:tc>
        <w:tc>
          <w:tcPr>
            <w:tcW w:w="209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住房公积金</w:t>
            </w:r>
          </w:p>
        </w:tc>
        <w:tc>
          <w:tcPr>
            <w:tcW w:w="111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8.02</w:t>
            </w:r>
          </w:p>
        </w:tc>
        <w:tc>
          <w:tcPr>
            <w:tcW w:w="13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8.02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color w:val="000000"/>
                <w:sz w:val="18"/>
                <w:szCs w:val="18"/>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98"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textAlignment w:val="center"/>
              <w:rPr>
                <w:color w:val="000000"/>
                <w:sz w:val="18"/>
                <w:szCs w:val="18"/>
              </w:rPr>
            </w:pPr>
            <w:r>
              <w:rPr>
                <w:rFonts w:hint="eastAsia"/>
                <w:color w:val="000000"/>
                <w:sz w:val="18"/>
                <w:szCs w:val="18"/>
              </w:rPr>
              <w:t>注：本表反映部门本年度取得的各项收入情况。本表金额转换为万元时，因四舍五入可能存在尾差。</w:t>
            </w:r>
          </w:p>
        </w:tc>
      </w:tr>
    </w:tbl>
    <w:p>
      <w:pPr>
        <w:rPr>
          <w:rFonts w:ascii="??_GB2312" w:hAnsi="??_GB2312" w:cs="??_GB2312"/>
          <w:sz w:val="18"/>
          <w:szCs w:val="18"/>
        </w:rPr>
      </w:pPr>
    </w:p>
    <w:p>
      <w:pPr>
        <w:rPr>
          <w:rFonts w:ascii="仿宋_GB2312" w:eastAsia="仿宋_GB2312"/>
          <w:color w:val="000000"/>
          <w:sz w:val="32"/>
          <w:szCs w:val="32"/>
        </w:rPr>
        <w:sectPr>
          <w:pgSz w:w="16840" w:h="11907" w:orient="landscape"/>
          <w:pgMar w:top="1800" w:right="1440" w:bottom="1800" w:left="1440" w:header="851" w:footer="992" w:gutter="0"/>
          <w:cols w:space="425" w:num="1"/>
          <w:docGrid w:type="lines" w:linePitch="312" w:charSpace="0"/>
        </w:sectPr>
      </w:pPr>
    </w:p>
    <w:tbl>
      <w:tblPr>
        <w:tblStyle w:val="5"/>
        <w:tblpPr w:leftFromText="180" w:rightFromText="180" w:vertAnchor="text" w:horzAnchor="page" w:tblpX="1421" w:tblpY="155"/>
        <w:tblOverlap w:val="never"/>
        <w:tblW w:w="13988" w:type="dxa"/>
        <w:tblInd w:w="0" w:type="dxa"/>
        <w:tblLayout w:type="fixed"/>
        <w:tblCellMar>
          <w:top w:w="0" w:type="dxa"/>
          <w:left w:w="0" w:type="dxa"/>
          <w:bottom w:w="0" w:type="dxa"/>
          <w:right w:w="0" w:type="dxa"/>
        </w:tblCellMar>
      </w:tblPr>
      <w:tblGrid>
        <w:gridCol w:w="1120"/>
        <w:gridCol w:w="63"/>
        <w:gridCol w:w="27"/>
        <w:gridCol w:w="1914"/>
        <w:gridCol w:w="1209"/>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sz w:val="32"/>
                <w:szCs w:val="32"/>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914"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209"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公开</w:t>
            </w:r>
            <w:r>
              <w:rPr>
                <w:color w:val="000000"/>
                <w:sz w:val="18"/>
                <w:szCs w:val="18"/>
              </w:rPr>
              <w:t>03</w:t>
            </w:r>
            <w:r>
              <w:rPr>
                <w:rFonts w:hint="eastAsia"/>
                <w:color w:val="000000"/>
                <w:sz w:val="18"/>
                <w:szCs w:val="18"/>
              </w:rPr>
              <w:t>表</w:t>
            </w:r>
          </w:p>
        </w:tc>
      </w:tr>
      <w:tr>
        <w:tblPrEx>
          <w:tblCellMar>
            <w:top w:w="0" w:type="dxa"/>
            <w:left w:w="0" w:type="dxa"/>
            <w:bottom w:w="0" w:type="dxa"/>
            <w:right w:w="0" w:type="dxa"/>
          </w:tblCellMar>
        </w:tblPrEx>
        <w:trPr>
          <w:trHeight w:val="300" w:hRule="atLeast"/>
        </w:trPr>
        <w:tc>
          <w:tcPr>
            <w:tcW w:w="3124" w:type="dxa"/>
            <w:gridSpan w:val="4"/>
            <w:tcBorders>
              <w:top w:val="nil"/>
              <w:left w:val="nil"/>
              <w:bottom w:val="nil"/>
              <w:right w:val="nil"/>
            </w:tcBorders>
            <w:shd w:val="clear" w:color="auto" w:fill="FFFFFF"/>
            <w:noWrap/>
            <w:tcMar>
              <w:top w:w="15" w:type="dxa"/>
              <w:left w:w="15" w:type="dxa"/>
              <w:right w:w="15" w:type="dxa"/>
            </w:tcMar>
            <w:vAlign w:val="center"/>
          </w:tcPr>
          <w:p>
            <w:pPr>
              <w:rPr>
                <w:color w:val="000000"/>
                <w:sz w:val="18"/>
                <w:szCs w:val="18"/>
              </w:rPr>
            </w:pPr>
            <w:r>
              <w:rPr>
                <w:rFonts w:hint="eastAsia"/>
                <w:color w:val="000000"/>
                <w:sz w:val="18"/>
                <w:szCs w:val="18"/>
              </w:rPr>
              <w:t>部门：</w:t>
            </w:r>
            <w:r>
              <w:rPr>
                <w:rFonts w:hint="eastAsia"/>
                <w:color w:val="000000"/>
                <w:sz w:val="20"/>
                <w:szCs w:val="20"/>
              </w:rPr>
              <w:t>罗山县机关事务中心</w:t>
            </w:r>
          </w:p>
        </w:tc>
        <w:tc>
          <w:tcPr>
            <w:tcW w:w="1209"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color w:val="000000"/>
                <w:sz w:val="18"/>
                <w:szCs w:val="18"/>
              </w:rPr>
            </w:pPr>
            <w:r>
              <w:rPr>
                <w:rFonts w:hint="eastAsia"/>
                <w:color w:val="000000"/>
                <w:sz w:val="20"/>
                <w:szCs w:val="20"/>
                <w:lang w:val="en-US" w:eastAsia="zh-CN"/>
              </w:rPr>
              <w:t>2020年</w:t>
            </w: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单位：万元</w:t>
            </w:r>
          </w:p>
        </w:tc>
      </w:tr>
      <w:tr>
        <w:tblPrEx>
          <w:tblCellMar>
            <w:top w:w="0" w:type="dxa"/>
            <w:left w:w="0" w:type="dxa"/>
            <w:bottom w:w="0" w:type="dxa"/>
            <w:right w:w="0" w:type="dxa"/>
          </w:tblCellMar>
        </w:tblPrEx>
        <w:trPr>
          <w:trHeight w:val="450" w:hRule="atLeast"/>
        </w:trPr>
        <w:tc>
          <w:tcPr>
            <w:tcW w:w="3124"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项</w:t>
            </w:r>
            <w:r>
              <w:rPr>
                <w:b/>
                <w:bCs/>
                <w:color w:val="000000"/>
                <w:sz w:val="18"/>
                <w:szCs w:val="18"/>
              </w:rPr>
              <w:t xml:space="preserve">    </w:t>
            </w:r>
            <w:r>
              <w:rPr>
                <w:rFonts w:hint="eastAsia"/>
                <w:b/>
                <w:bCs/>
                <w:color w:val="000000"/>
                <w:sz w:val="18"/>
                <w:szCs w:val="18"/>
              </w:rPr>
              <w:t>目</w:t>
            </w:r>
          </w:p>
        </w:tc>
        <w:tc>
          <w:tcPr>
            <w:tcW w:w="133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功能分类</w:t>
            </w:r>
          </w:p>
          <w:p>
            <w:pPr>
              <w:jc w:val="center"/>
              <w:textAlignment w:val="center"/>
              <w:rPr>
                <w:b/>
                <w:bCs/>
                <w:color w:val="000000"/>
                <w:sz w:val="18"/>
                <w:szCs w:val="18"/>
              </w:rPr>
            </w:pPr>
            <w:r>
              <w:rPr>
                <w:rFonts w:hint="eastAsia"/>
                <w:b/>
                <w:bCs/>
                <w:color w:val="000000"/>
                <w:sz w:val="18"/>
                <w:szCs w:val="18"/>
              </w:rPr>
              <w:t>科目编码</w:t>
            </w:r>
          </w:p>
        </w:tc>
        <w:tc>
          <w:tcPr>
            <w:tcW w:w="19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科目名称</w:t>
            </w:r>
          </w:p>
        </w:tc>
        <w:tc>
          <w:tcPr>
            <w:tcW w:w="133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b/>
                <w:bCs/>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b/>
                <w:bCs/>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b/>
                <w:bCs/>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b/>
                <w:bCs/>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b/>
                <w:bCs/>
                <w:color w:val="000000"/>
                <w:sz w:val="18"/>
                <w:szCs w:val="18"/>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b/>
                <w:bCs/>
                <w:color w:val="000000"/>
                <w:sz w:val="18"/>
                <w:szCs w:val="18"/>
              </w:rPr>
            </w:pPr>
          </w:p>
        </w:tc>
      </w:tr>
      <w:tr>
        <w:tblPrEx>
          <w:tblCellMar>
            <w:top w:w="0" w:type="dxa"/>
            <w:left w:w="0" w:type="dxa"/>
            <w:bottom w:w="0" w:type="dxa"/>
            <w:right w:w="0" w:type="dxa"/>
          </w:tblCellMar>
        </w:tblPrEx>
        <w:trPr>
          <w:trHeight w:val="312"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color w:val="000000"/>
                <w:sz w:val="18"/>
                <w:szCs w:val="18"/>
              </w:rPr>
            </w:pPr>
          </w:p>
        </w:tc>
        <w:tc>
          <w:tcPr>
            <w:tcW w:w="19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133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3124"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栏次</w:t>
            </w:r>
          </w:p>
        </w:tc>
        <w:tc>
          <w:tcPr>
            <w:tcW w:w="133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6</w:t>
            </w:r>
          </w:p>
        </w:tc>
      </w:tr>
      <w:tr>
        <w:tblPrEx>
          <w:tblCellMar>
            <w:top w:w="0" w:type="dxa"/>
            <w:left w:w="0" w:type="dxa"/>
            <w:bottom w:w="0" w:type="dxa"/>
            <w:right w:w="0" w:type="dxa"/>
          </w:tblCellMar>
        </w:tblPrEx>
        <w:trPr>
          <w:trHeight w:val="450" w:hRule="atLeast"/>
        </w:trPr>
        <w:tc>
          <w:tcPr>
            <w:tcW w:w="3124"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合计</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r>
              <w:rPr>
                <w:b/>
                <w:bCs/>
                <w:color w:val="000000"/>
                <w:sz w:val="20"/>
                <w:szCs w:val="20"/>
              </w:rPr>
              <w:t>2264.09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r>
              <w:rPr>
                <w:b/>
                <w:bCs/>
                <w:color w:val="000000"/>
                <w:sz w:val="20"/>
                <w:szCs w:val="20"/>
              </w:rPr>
              <w:t>2264.09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b/>
                <w:bCs/>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b/>
                <w:bCs/>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201</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一般公共服务支出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b/>
                <w:bCs/>
                <w:color w:val="000000"/>
                <w:sz w:val="20"/>
                <w:szCs w:val="20"/>
              </w:rPr>
              <w:t>2235.58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b/>
                <w:bCs/>
                <w:color w:val="000000"/>
                <w:sz w:val="20"/>
                <w:szCs w:val="20"/>
              </w:rPr>
              <w:t>2235.58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20103</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政府办公厅（室）及相关机构事务</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1885.58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1885.58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2010303</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机关服务</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1885.58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1885.58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20199</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其他一般公共服务支出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350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350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2019999</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其他一般公共服务支出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350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350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208</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社会保障和就业支出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b/>
                <w:bCs/>
                <w:color w:val="000000"/>
                <w:sz w:val="18"/>
                <w:szCs w:val="18"/>
              </w:rPr>
              <w:t>11.54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b/>
                <w:bCs/>
                <w:color w:val="000000"/>
                <w:sz w:val="18"/>
                <w:szCs w:val="18"/>
              </w:rPr>
              <w:t>11.54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20805</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行政事业单位离退休</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11.54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11.54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2080505</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机关事业单位基本养老保险缴费支出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11.54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11.54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210</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卫生健康支出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b/>
                <w:bCs/>
                <w:color w:val="000000"/>
                <w:sz w:val="18"/>
                <w:szCs w:val="18"/>
              </w:rPr>
              <w:t>8.95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b/>
                <w:bCs/>
                <w:color w:val="000000"/>
                <w:sz w:val="18"/>
                <w:szCs w:val="18"/>
              </w:rPr>
              <w:t>8.95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21011</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行政事业单位医疗</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8.95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8.95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2101102</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事业单位医疗</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8.95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8.95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hAnsi="Times New Roman"/>
                <w:color w:val="000000"/>
                <w:kern w:val="2"/>
                <w:sz w:val="18"/>
                <w:szCs w:val="18"/>
              </w:rPr>
            </w:pPr>
            <w:r>
              <w:rPr>
                <w:color w:val="000000"/>
                <w:sz w:val="18"/>
                <w:szCs w:val="18"/>
              </w:rPr>
              <w:t>221</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Ansi="Times New Roman"/>
                <w:color w:val="000000"/>
                <w:kern w:val="2"/>
                <w:sz w:val="18"/>
                <w:szCs w:val="18"/>
              </w:rPr>
            </w:pPr>
            <w:r>
              <w:rPr>
                <w:rFonts w:hint="eastAsia"/>
                <w:color w:val="000000"/>
                <w:sz w:val="18"/>
                <w:szCs w:val="18"/>
              </w:rPr>
              <w:t>住房保障支出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b/>
                <w:bCs/>
                <w:color w:val="000000"/>
                <w:kern w:val="2"/>
                <w:sz w:val="18"/>
                <w:szCs w:val="18"/>
              </w:rPr>
            </w:pPr>
            <w:r>
              <w:rPr>
                <w:b/>
                <w:bCs/>
                <w:color w:val="000000"/>
                <w:sz w:val="18"/>
                <w:szCs w:val="18"/>
              </w:rPr>
              <w:t>8.02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b/>
                <w:bCs/>
                <w:color w:val="000000"/>
                <w:kern w:val="2"/>
                <w:sz w:val="18"/>
                <w:szCs w:val="18"/>
              </w:rPr>
            </w:pPr>
            <w:r>
              <w:rPr>
                <w:b/>
                <w:bCs/>
                <w:color w:val="000000"/>
                <w:sz w:val="18"/>
                <w:szCs w:val="18"/>
              </w:rPr>
              <w:t>8.02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hAnsi="Times New Roman"/>
                <w:color w:val="000000"/>
                <w:kern w:val="2"/>
                <w:sz w:val="18"/>
                <w:szCs w:val="18"/>
              </w:rPr>
            </w:pPr>
            <w:r>
              <w:rPr>
                <w:color w:val="000000"/>
                <w:sz w:val="18"/>
                <w:szCs w:val="18"/>
              </w:rPr>
              <w:t>22102</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Ansi="Times New Roman"/>
                <w:color w:val="000000"/>
                <w:kern w:val="2"/>
                <w:sz w:val="18"/>
                <w:szCs w:val="18"/>
              </w:rPr>
            </w:pPr>
            <w:r>
              <w:rPr>
                <w:rFonts w:hint="eastAsia"/>
                <w:color w:val="000000"/>
                <w:sz w:val="18"/>
                <w:szCs w:val="18"/>
              </w:rPr>
              <w:t>住房改革支出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8.02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8.02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hAnsi="Times New Roman"/>
                <w:color w:val="000000"/>
                <w:kern w:val="2"/>
                <w:sz w:val="18"/>
                <w:szCs w:val="18"/>
              </w:rPr>
            </w:pPr>
            <w:r>
              <w:rPr>
                <w:color w:val="000000"/>
                <w:sz w:val="18"/>
                <w:szCs w:val="18"/>
              </w:rPr>
              <w:t>2210201</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hAnsi="Times New Roman"/>
                <w:color w:val="000000"/>
                <w:kern w:val="2"/>
                <w:sz w:val="18"/>
                <w:szCs w:val="18"/>
              </w:rPr>
            </w:pPr>
            <w:r>
              <w:rPr>
                <w:color w:val="000000"/>
                <w:sz w:val="18"/>
                <w:szCs w:val="18"/>
              </w:rPr>
              <w:t xml:space="preserve">  </w:t>
            </w:r>
            <w:r>
              <w:rPr>
                <w:rFonts w:hint="eastAsia"/>
                <w:color w:val="000000"/>
                <w:sz w:val="18"/>
                <w:szCs w:val="18"/>
              </w:rPr>
              <w:t>住房公积金</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8.02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8.02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89"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textAlignment w:val="center"/>
              <w:rPr>
                <w:color w:val="000000"/>
                <w:sz w:val="18"/>
                <w:szCs w:val="18"/>
              </w:rPr>
            </w:pPr>
            <w:r>
              <w:rPr>
                <w:rFonts w:hint="eastAsia"/>
                <w:color w:val="000000"/>
                <w:sz w:val="18"/>
                <w:szCs w:val="18"/>
              </w:rPr>
              <w:t>注：本表反映部门本年度各项支出情况。本表金额转换为万元时，因四舍五入可能存在尾差。</w:t>
            </w:r>
          </w:p>
        </w:tc>
      </w:tr>
    </w:tbl>
    <w:p>
      <w:pPr>
        <w:rPr>
          <w:rFonts w:ascii="??_GB2312" w:hAnsi="??_GB2312" w:cs="??_GB2312"/>
          <w:sz w:val="18"/>
          <w:szCs w:val="18"/>
        </w:rPr>
      </w:pPr>
    </w:p>
    <w:p>
      <w:pPr>
        <w:rPr>
          <w:rFonts w:ascii="仿宋_GB2312" w:eastAsia="仿宋_GB2312"/>
          <w:color w:val="000000"/>
          <w:sz w:val="32"/>
          <w:szCs w:val="32"/>
        </w:rPr>
        <w:sectPr>
          <w:pgSz w:w="16840" w:h="11907" w:orient="landscape"/>
          <w:pgMar w:top="1800" w:right="1440" w:bottom="1800" w:left="1440" w:header="851" w:footer="992" w:gutter="0"/>
          <w:cols w:space="425"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3994"/>
        <w:gridCol w:w="720"/>
        <w:gridCol w:w="1210"/>
        <w:gridCol w:w="3400"/>
        <w:gridCol w:w="597"/>
        <w:gridCol w:w="708"/>
        <w:gridCol w:w="1343"/>
        <w:gridCol w:w="336"/>
        <w:gridCol w:w="1680"/>
      </w:tblGrid>
      <w:tr>
        <w:tblPrEx>
          <w:tblCellMar>
            <w:top w:w="0" w:type="dxa"/>
            <w:left w:w="0" w:type="dxa"/>
            <w:bottom w:w="0" w:type="dxa"/>
            <w:right w:w="0" w:type="dxa"/>
          </w:tblCellMar>
        </w:tblPrEx>
        <w:trPr>
          <w:trHeight w:val="360" w:hRule="atLeast"/>
        </w:trPr>
        <w:tc>
          <w:tcPr>
            <w:tcW w:w="13988" w:type="dxa"/>
            <w:gridSpan w:val="9"/>
            <w:tcBorders>
              <w:top w:val="nil"/>
              <w:left w:val="nil"/>
              <w:bottom w:val="nil"/>
              <w:right w:val="nil"/>
            </w:tcBorders>
            <w:noWrap/>
            <w:tcMar>
              <w:top w:w="15" w:type="dxa"/>
              <w:left w:w="15" w:type="dxa"/>
              <w:right w:w="15" w:type="dxa"/>
            </w:tcMar>
            <w:vAlign w:val="center"/>
          </w:tcPr>
          <w:p>
            <w:pPr>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sz w:val="32"/>
                <w:szCs w:val="32"/>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公开</w:t>
            </w:r>
            <w:r>
              <w:rPr>
                <w:color w:val="000000"/>
                <w:sz w:val="18"/>
                <w:szCs w:val="18"/>
              </w:rPr>
              <w:t>04</w:t>
            </w:r>
            <w:r>
              <w:rPr>
                <w:rFonts w:hint="eastAsia"/>
                <w:color w:val="000000"/>
                <w:sz w:val="18"/>
                <w:szCs w:val="18"/>
              </w:rPr>
              <w:t>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20"/>
                <w:szCs w:val="20"/>
              </w:rPr>
              <w:t>部门：罗山县机关事务中心</w:t>
            </w: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default"/>
                <w:color w:val="000000"/>
                <w:sz w:val="18"/>
                <w:szCs w:val="18"/>
                <w:lang w:val="en-US"/>
              </w:rPr>
            </w:pPr>
            <w:r>
              <w:rPr>
                <w:rFonts w:hint="eastAsia"/>
                <w:color w:val="000000"/>
                <w:sz w:val="20"/>
                <w:szCs w:val="20"/>
                <w:lang w:val="en-US" w:eastAsia="zh-CN"/>
              </w:rPr>
              <w:t xml:space="preserve">2020年                    </w:t>
            </w: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color w:val="000000"/>
                <w:sz w:val="18"/>
                <w:szCs w:val="18"/>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单位：万元</w:t>
            </w:r>
          </w:p>
        </w:tc>
      </w:tr>
      <w:tr>
        <w:tblPrEx>
          <w:tblCellMar>
            <w:top w:w="0" w:type="dxa"/>
            <w:left w:w="0" w:type="dxa"/>
            <w:bottom w:w="0" w:type="dxa"/>
            <w:right w:w="0" w:type="dxa"/>
          </w:tblCellMar>
        </w:tblPrEx>
        <w:trPr>
          <w:trHeight w:val="283"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支出</w:t>
            </w: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项</w:t>
            </w:r>
            <w:r>
              <w:rPr>
                <w:b/>
                <w:bCs/>
                <w:color w:val="000000"/>
                <w:sz w:val="18"/>
                <w:szCs w:val="18"/>
              </w:rPr>
              <w:t xml:space="preserve">    </w:t>
            </w:r>
            <w:r>
              <w:rPr>
                <w:rFonts w:hint="eastAsia"/>
                <w:b/>
                <w:bCs/>
                <w:color w:val="000000"/>
                <w:sz w:val="18"/>
                <w:szCs w:val="18"/>
              </w:rPr>
              <w:t>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项</w:t>
            </w:r>
            <w:r>
              <w:rPr>
                <w:b/>
                <w:bCs/>
                <w:color w:val="000000"/>
                <w:sz w:val="18"/>
                <w:szCs w:val="18"/>
              </w:rPr>
              <w:t xml:space="preserve">    </w:t>
            </w:r>
            <w:r>
              <w:rPr>
                <w:rFonts w:hint="eastAsia"/>
                <w:b/>
                <w:bCs/>
                <w:color w:val="000000"/>
                <w:sz w:val="18"/>
                <w:szCs w:val="18"/>
              </w:rPr>
              <w:t>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合计</w:t>
            </w:r>
          </w:p>
        </w:tc>
        <w:tc>
          <w:tcPr>
            <w:tcW w:w="16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一般公共预算财政拨款</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政府性基金预算财政拨款</w:t>
            </w: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栏</w:t>
            </w:r>
            <w:r>
              <w:rPr>
                <w:b/>
                <w:bCs/>
                <w:color w:val="000000"/>
                <w:sz w:val="18"/>
                <w:szCs w:val="18"/>
              </w:rPr>
              <w:t xml:space="preserve">    </w:t>
            </w:r>
            <w:r>
              <w:rPr>
                <w:rFonts w:hint="eastAsia"/>
                <w:b/>
                <w:bCs/>
                <w:color w:val="000000"/>
                <w:sz w:val="18"/>
                <w:szCs w:val="18"/>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b/>
                <w:bCs/>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栏</w:t>
            </w:r>
            <w:r>
              <w:rPr>
                <w:b/>
                <w:bCs/>
                <w:color w:val="000000"/>
                <w:sz w:val="18"/>
                <w:szCs w:val="18"/>
              </w:rPr>
              <w:t xml:space="preserve">    </w:t>
            </w:r>
            <w:r>
              <w:rPr>
                <w:rFonts w:hint="eastAsia"/>
                <w:b/>
                <w:bCs/>
                <w:color w:val="000000"/>
                <w:sz w:val="18"/>
                <w:szCs w:val="18"/>
              </w:rPr>
              <w:t>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b/>
                <w:bCs/>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textAlignment w:val="center"/>
              <w:rPr>
                <w:b/>
                <w:bCs/>
                <w:color w:val="000000"/>
                <w:sz w:val="18"/>
                <w:szCs w:val="18"/>
              </w:rPr>
            </w:pPr>
            <w:r>
              <w:rPr>
                <w:b/>
                <w:bCs/>
                <w:color w:val="000000"/>
                <w:sz w:val="18"/>
                <w:szCs w:val="18"/>
              </w:rPr>
              <w:t>4</w:t>
            </w: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rFonts w:hint="eastAsia"/>
                <w:color w:val="000000"/>
                <w:sz w:val="18"/>
                <w:szCs w:val="18"/>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1</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b/>
                <w:bCs/>
                <w:color w:val="000000"/>
                <w:sz w:val="20"/>
                <w:szCs w:val="20"/>
              </w:rPr>
              <w:t>2264.09</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15</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r>
              <w:rPr>
                <w:b/>
                <w:bCs/>
                <w:color w:val="000000"/>
                <w:sz w:val="20"/>
                <w:szCs w:val="20"/>
              </w:rPr>
              <w:t>2235.58</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2</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16</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3</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17</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4</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18</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5</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19</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6</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color w:val="000000"/>
                <w:sz w:val="18"/>
                <w:szCs w:val="18"/>
              </w:rPr>
            </w:pPr>
            <w:r>
              <w:rPr>
                <w:rFonts w:hint="eastAsia"/>
                <w:color w:val="000000"/>
                <w:sz w:val="18"/>
                <w:szCs w:val="18"/>
              </w:rPr>
              <w:t>六、科学技术支出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20</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7</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rFonts w:hint="eastAsia"/>
                <w:color w:val="000000"/>
                <w:sz w:val="18"/>
                <w:szCs w:val="18"/>
              </w:rPr>
              <w:t>七、文化体育与传媒支出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21</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8</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34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textAlignment w:val="center"/>
              <w:rPr>
                <w:color w:val="000000"/>
                <w:sz w:val="18"/>
                <w:szCs w:val="18"/>
              </w:rPr>
            </w:pPr>
            <w:r>
              <w:rPr>
                <w:rFonts w:hint="eastAsia"/>
                <w:color w:val="000000"/>
                <w:sz w:val="18"/>
                <w:szCs w:val="18"/>
              </w:rPr>
              <w:t>八、社会保障和就业支出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22</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000000"/>
                <w:sz w:val="18"/>
                <w:szCs w:val="18"/>
              </w:rPr>
            </w:pPr>
            <w:r>
              <w:rPr>
                <w:b/>
                <w:bCs/>
                <w:color w:val="000000"/>
                <w:sz w:val="20"/>
                <w:szCs w:val="20"/>
              </w:rPr>
              <w:t>28.51</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b/>
                <w:color w:val="000000"/>
                <w:sz w:val="18"/>
                <w:szCs w:val="18"/>
              </w:rPr>
            </w:pPr>
            <w:r>
              <w:rPr>
                <w:rFonts w:hint="eastAsia"/>
                <w:b/>
                <w:color w:val="000000"/>
                <w:sz w:val="18"/>
                <w:szCs w:val="18"/>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9</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b/>
                <w:bCs/>
                <w:color w:val="000000"/>
                <w:sz w:val="20"/>
                <w:szCs w:val="20"/>
              </w:rPr>
              <w:t>2264.09</w:t>
            </w:r>
          </w:p>
        </w:tc>
        <w:tc>
          <w:tcPr>
            <w:tcW w:w="34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textAlignment w:val="center"/>
              <w:rPr>
                <w:b/>
                <w:color w:val="000000"/>
                <w:sz w:val="18"/>
                <w:szCs w:val="18"/>
              </w:rPr>
            </w:pPr>
            <w:r>
              <w:rPr>
                <w:rFonts w:hint="eastAsia"/>
                <w:b/>
                <w:color w:val="000000"/>
                <w:sz w:val="18"/>
                <w:szCs w:val="18"/>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23</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000000"/>
                <w:sz w:val="18"/>
                <w:szCs w:val="18"/>
              </w:rPr>
            </w:pPr>
            <w:r>
              <w:rPr>
                <w:b/>
                <w:bCs/>
                <w:color w:val="000000"/>
                <w:sz w:val="20"/>
                <w:szCs w:val="20"/>
              </w:rPr>
              <w:t>2264.09</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b/>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18"/>
                <w:szCs w:val="18"/>
              </w:rPr>
            </w:pPr>
            <w:r>
              <w:rPr>
                <w:rFonts w:hint="eastAsia"/>
                <w:color w:val="000000"/>
                <w:sz w:val="18"/>
                <w:szCs w:val="18"/>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10</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34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textAlignment w:val="center"/>
              <w:rPr>
                <w:color w:val="000000"/>
                <w:sz w:val="18"/>
                <w:szCs w:val="18"/>
              </w:rPr>
            </w:pPr>
            <w:r>
              <w:rPr>
                <w:rFonts w:hint="eastAsia"/>
                <w:color w:val="000000"/>
                <w:sz w:val="18"/>
                <w:szCs w:val="18"/>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24</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000000"/>
                <w:sz w:val="18"/>
                <w:szCs w:val="18"/>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18"/>
                <w:szCs w:val="18"/>
              </w:rPr>
            </w:pPr>
            <w:r>
              <w:rPr>
                <w:color w:val="000000"/>
                <w:sz w:val="18"/>
                <w:szCs w:val="18"/>
              </w:rPr>
              <w:t xml:space="preserve">      </w:t>
            </w:r>
            <w:r>
              <w:rPr>
                <w:rFonts w:hint="eastAsia"/>
                <w:color w:val="000000"/>
                <w:sz w:val="18"/>
                <w:szCs w:val="18"/>
              </w:rPr>
              <w:t>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11</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34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25</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000000"/>
                <w:sz w:val="18"/>
                <w:szCs w:val="18"/>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nil"/>
              <w:right w:val="nil"/>
            </w:tcBorders>
            <w:noWrap/>
            <w:tcMar>
              <w:top w:w="15" w:type="dxa"/>
              <w:left w:w="15" w:type="dxa"/>
              <w:right w:w="15" w:type="dxa"/>
            </w:tcMar>
            <w:vAlign w:val="center"/>
          </w:tcPr>
          <w:p>
            <w:pPr>
              <w:jc w:val="center"/>
              <w:textAlignment w:val="center"/>
              <w:rPr>
                <w:color w:val="000000"/>
                <w:sz w:val="18"/>
                <w:szCs w:val="18"/>
              </w:rPr>
            </w:pPr>
            <w:r>
              <w:rPr>
                <w:color w:val="000000"/>
                <w:sz w:val="18"/>
                <w:szCs w:val="18"/>
              </w:rPr>
              <w:t xml:space="preserve">        </w:t>
            </w:r>
            <w:r>
              <w:rPr>
                <w:rFonts w:hint="eastAsia"/>
                <w:color w:val="000000"/>
                <w:sz w:val="18"/>
                <w:szCs w:val="18"/>
              </w:rPr>
              <w:t>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12</w:t>
            </w:r>
          </w:p>
        </w:tc>
        <w:tc>
          <w:tcPr>
            <w:tcW w:w="121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color w:val="000000"/>
                <w:sz w:val="18"/>
                <w:szCs w:val="18"/>
              </w:rPr>
            </w:pPr>
          </w:p>
        </w:tc>
        <w:tc>
          <w:tcPr>
            <w:tcW w:w="3400" w:type="dxa"/>
            <w:tcBorders>
              <w:top w:val="single" w:color="000000" w:sz="4" w:space="0"/>
              <w:left w:val="single" w:color="000000" w:sz="4" w:space="0"/>
              <w:bottom w:val="nil"/>
              <w:right w:val="nil"/>
            </w:tcBorders>
            <w:noWrap/>
            <w:tcMar>
              <w:top w:w="15" w:type="dxa"/>
              <w:left w:w="15" w:type="dxa"/>
              <w:right w:w="15" w:type="dxa"/>
            </w:tcMar>
            <w:vAlign w:val="center"/>
          </w:tcPr>
          <w:p>
            <w:pPr>
              <w:rPr>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26</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000000"/>
                <w:sz w:val="18"/>
                <w:szCs w:val="18"/>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nil"/>
              <w:right w:val="nil"/>
            </w:tcBorders>
            <w:noWrap/>
            <w:tcMar>
              <w:top w:w="15" w:type="dxa"/>
              <w:left w:w="15" w:type="dxa"/>
              <w:right w:w="15" w:type="dxa"/>
            </w:tcMar>
            <w:vAlign w:val="center"/>
          </w:tcPr>
          <w:p>
            <w:pPr>
              <w:jc w:val="center"/>
              <w:rPr>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13</w:t>
            </w:r>
          </w:p>
        </w:tc>
        <w:tc>
          <w:tcPr>
            <w:tcW w:w="121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color w:val="000000"/>
                <w:sz w:val="18"/>
                <w:szCs w:val="18"/>
              </w:rPr>
            </w:pPr>
          </w:p>
        </w:tc>
        <w:tc>
          <w:tcPr>
            <w:tcW w:w="3400" w:type="dxa"/>
            <w:tcBorders>
              <w:top w:val="single" w:color="000000" w:sz="4" w:space="0"/>
              <w:left w:val="single" w:color="000000" w:sz="4" w:space="0"/>
              <w:bottom w:val="nil"/>
              <w:right w:val="nil"/>
            </w:tcBorders>
            <w:noWrap/>
            <w:tcMar>
              <w:top w:w="15" w:type="dxa"/>
              <w:left w:w="15" w:type="dxa"/>
              <w:right w:w="15" w:type="dxa"/>
            </w:tcMar>
            <w:vAlign w:val="center"/>
          </w:tcPr>
          <w:p>
            <w:pPr>
              <w:rPr>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27</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color w:val="000000"/>
                <w:sz w:val="18"/>
                <w:szCs w:val="18"/>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center"/>
              <w:textAlignment w:val="center"/>
              <w:rPr>
                <w:b/>
                <w:color w:val="000000"/>
                <w:sz w:val="18"/>
                <w:szCs w:val="18"/>
              </w:rPr>
            </w:pPr>
            <w:r>
              <w:rPr>
                <w:rFonts w:hint="eastAsia"/>
                <w:b/>
                <w:color w:val="000000"/>
                <w:sz w:val="18"/>
                <w:szCs w:val="18"/>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14</w:t>
            </w:r>
          </w:p>
        </w:tc>
        <w:tc>
          <w:tcPr>
            <w:tcW w:w="121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color w:val="000000"/>
                <w:sz w:val="18"/>
                <w:szCs w:val="18"/>
              </w:rPr>
            </w:pPr>
            <w:r>
              <w:rPr>
                <w:b/>
                <w:bCs/>
                <w:color w:val="000000"/>
                <w:sz w:val="20"/>
                <w:szCs w:val="20"/>
              </w:rPr>
              <w:t>2264.09</w:t>
            </w:r>
          </w:p>
        </w:tc>
        <w:tc>
          <w:tcPr>
            <w:tcW w:w="34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jc w:val="center"/>
              <w:textAlignment w:val="center"/>
              <w:rPr>
                <w:b/>
                <w:color w:val="000000"/>
                <w:sz w:val="18"/>
                <w:szCs w:val="18"/>
              </w:rPr>
            </w:pPr>
            <w:r>
              <w:rPr>
                <w:rFonts w:hint="eastAsia"/>
                <w:b/>
                <w:color w:val="000000"/>
                <w:sz w:val="18"/>
                <w:szCs w:val="18"/>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color w:val="000000"/>
                <w:sz w:val="18"/>
                <w:szCs w:val="18"/>
              </w:rPr>
            </w:pPr>
            <w:r>
              <w:rPr>
                <w:color w:val="000000"/>
                <w:sz w:val="18"/>
                <w:szCs w:val="18"/>
              </w:rPr>
              <w:t>28</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color w:val="000000"/>
                <w:sz w:val="18"/>
                <w:szCs w:val="18"/>
              </w:rPr>
            </w:pP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b/>
                <w:bCs/>
                <w:color w:val="000000"/>
                <w:sz w:val="18"/>
                <w:szCs w:val="18"/>
              </w:rPr>
            </w:pPr>
            <w:r>
              <w:rPr>
                <w:b/>
                <w:bCs/>
                <w:color w:val="000000"/>
                <w:sz w:val="20"/>
                <w:szCs w:val="20"/>
              </w:rPr>
              <w:t>2264.09</w:t>
            </w:r>
          </w:p>
        </w:tc>
        <w:tc>
          <w:tcPr>
            <w:tcW w:w="1680"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b/>
                <w:bCs/>
                <w:color w:val="000000"/>
                <w:sz w:val="18"/>
                <w:szCs w:val="18"/>
              </w:rPr>
            </w:pPr>
          </w:p>
        </w:tc>
      </w:tr>
      <w:tr>
        <w:tblPrEx>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textAlignment w:val="center"/>
              <w:rPr>
                <w:color w:val="000000"/>
                <w:sz w:val="18"/>
                <w:szCs w:val="18"/>
              </w:rPr>
            </w:pPr>
            <w:r>
              <w:rPr>
                <w:rFonts w:hint="eastAsia"/>
                <w:color w:val="000000"/>
                <w:sz w:val="18"/>
                <w:szCs w:val="18"/>
              </w:rPr>
              <w:t>注：本表反映部门本年度一般公共预算财政拨款和政府性基金预算财政拨款的总收支和年末结转结余情况。本表金额转换为万元时，因四舍五入可能存在尾差。</w:t>
            </w:r>
          </w:p>
        </w:tc>
      </w:tr>
    </w:tbl>
    <w:p>
      <w:pPr>
        <w:rPr>
          <w:rFonts w:ascii="仿宋_GB2312" w:eastAsia="仿宋_GB2312"/>
          <w:color w:val="000000"/>
          <w:sz w:val="32"/>
          <w:szCs w:val="32"/>
        </w:rPr>
        <w:sectPr>
          <w:pgSz w:w="16840" w:h="11907" w:orient="landscape"/>
          <w:pgMar w:top="1800" w:right="1440" w:bottom="1800" w:left="1440" w:header="851" w:footer="992" w:gutter="0"/>
          <w:cols w:space="425" w:num="1"/>
          <w:docGrid w:type="lines" w:linePitch="312" w:charSpace="0"/>
        </w:sectPr>
      </w:pPr>
    </w:p>
    <w:tbl>
      <w:tblPr>
        <w:tblStyle w:val="5"/>
        <w:tblW w:w="13907" w:type="dxa"/>
        <w:tblInd w:w="0" w:type="dxa"/>
        <w:tblLayout w:type="fixed"/>
        <w:tblCellMar>
          <w:top w:w="0" w:type="dxa"/>
          <w:left w:w="0" w:type="dxa"/>
          <w:bottom w:w="0" w:type="dxa"/>
          <w:right w:w="0" w:type="dxa"/>
        </w:tblCellMar>
      </w:tblPr>
      <w:tblGrid>
        <w:gridCol w:w="726"/>
        <w:gridCol w:w="688"/>
        <w:gridCol w:w="3300"/>
        <w:gridCol w:w="2772"/>
        <w:gridCol w:w="3941"/>
        <w:gridCol w:w="2480"/>
      </w:tblGrid>
      <w:tr>
        <w:tblPrEx>
          <w:tblCellMar>
            <w:top w:w="0" w:type="dxa"/>
            <w:left w:w="0" w:type="dxa"/>
            <w:bottom w:w="0" w:type="dxa"/>
            <w:right w:w="0" w:type="dxa"/>
          </w:tblCellMar>
        </w:tblPrEx>
        <w:trPr>
          <w:trHeight w:val="600" w:hRule="atLeast"/>
        </w:trPr>
        <w:tc>
          <w:tcPr>
            <w:tcW w:w="13907" w:type="dxa"/>
            <w:gridSpan w:val="6"/>
            <w:tcBorders>
              <w:top w:val="nil"/>
              <w:left w:val="nil"/>
              <w:bottom w:val="nil"/>
              <w:right w:val="nil"/>
            </w:tcBorders>
            <w:shd w:val="clear" w:color="auto" w:fill="FFFFFF"/>
            <w:tcMar>
              <w:top w:w="15" w:type="dxa"/>
              <w:left w:w="15" w:type="dxa"/>
              <w:right w:w="15" w:type="dxa"/>
            </w:tcMar>
            <w:vAlign w:val="center"/>
          </w:tcPr>
          <w:p>
            <w:pPr>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sz w:val="32"/>
                <w:szCs w:val="32"/>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18"/>
                <w:szCs w:val="18"/>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18"/>
                <w:szCs w:val="18"/>
              </w:rPr>
            </w:pPr>
          </w:p>
        </w:tc>
        <w:tc>
          <w:tcPr>
            <w:tcW w:w="3300"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18"/>
                <w:szCs w:val="18"/>
              </w:rPr>
            </w:pPr>
          </w:p>
        </w:tc>
        <w:tc>
          <w:tcPr>
            <w:tcW w:w="2772"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3941"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2480"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公开</w:t>
            </w:r>
            <w:r>
              <w:rPr>
                <w:color w:val="000000"/>
                <w:sz w:val="18"/>
                <w:szCs w:val="18"/>
              </w:rPr>
              <w:t>0</w:t>
            </w:r>
            <w:r>
              <w:rPr>
                <w:rStyle w:val="9"/>
                <w:sz w:val="18"/>
                <w:szCs w:val="18"/>
              </w:rPr>
              <w:t>5</w:t>
            </w:r>
            <w:r>
              <w:rPr>
                <w:rStyle w:val="9"/>
                <w:rFonts w:hint="eastAsia"/>
                <w:sz w:val="18"/>
                <w:szCs w:val="18"/>
              </w:rPr>
              <w:t>表</w:t>
            </w:r>
          </w:p>
        </w:tc>
      </w:tr>
      <w:tr>
        <w:tblPrEx>
          <w:tblCellMar>
            <w:top w:w="0" w:type="dxa"/>
            <w:left w:w="0" w:type="dxa"/>
            <w:bottom w:w="0" w:type="dxa"/>
            <w:right w:w="0" w:type="dxa"/>
          </w:tblCellMar>
        </w:tblPrEx>
        <w:trPr>
          <w:trHeight w:val="300" w:hRule="atLeast"/>
        </w:trPr>
        <w:tc>
          <w:tcPr>
            <w:tcW w:w="4714" w:type="dxa"/>
            <w:gridSpan w:val="3"/>
            <w:tcBorders>
              <w:top w:val="nil"/>
              <w:left w:val="nil"/>
              <w:bottom w:val="nil"/>
              <w:right w:val="nil"/>
            </w:tcBorders>
            <w:shd w:val="clear" w:color="auto" w:fill="FFFFFF"/>
            <w:noWrap/>
            <w:tcMar>
              <w:top w:w="15" w:type="dxa"/>
              <w:left w:w="15" w:type="dxa"/>
              <w:right w:w="15" w:type="dxa"/>
            </w:tcMar>
            <w:vAlign w:val="center"/>
          </w:tcPr>
          <w:p>
            <w:pPr>
              <w:rPr>
                <w:color w:val="000000"/>
                <w:sz w:val="18"/>
                <w:szCs w:val="18"/>
              </w:rPr>
            </w:pPr>
            <w:r>
              <w:rPr>
                <w:rFonts w:hint="eastAsia"/>
                <w:color w:val="000000"/>
                <w:sz w:val="20"/>
                <w:szCs w:val="20"/>
              </w:rPr>
              <w:t>部门：罗山县机关事务中心</w:t>
            </w:r>
          </w:p>
        </w:tc>
        <w:tc>
          <w:tcPr>
            <w:tcW w:w="2772" w:type="dxa"/>
            <w:tcBorders>
              <w:top w:val="nil"/>
              <w:left w:val="nil"/>
              <w:bottom w:val="nil"/>
              <w:right w:val="nil"/>
            </w:tcBorders>
            <w:shd w:val="clear" w:color="auto" w:fill="FFFFFF"/>
            <w:tcMar>
              <w:top w:w="15" w:type="dxa"/>
              <w:left w:w="15" w:type="dxa"/>
              <w:right w:w="15" w:type="dxa"/>
            </w:tcMar>
            <w:vAlign w:val="center"/>
          </w:tcPr>
          <w:p>
            <w:pPr>
              <w:ind w:firstLine="2000" w:firstLineChars="1000"/>
              <w:rPr>
                <w:color w:val="000000"/>
                <w:sz w:val="18"/>
                <w:szCs w:val="18"/>
              </w:rPr>
            </w:pPr>
            <w:r>
              <w:rPr>
                <w:rFonts w:hint="eastAsia"/>
                <w:color w:val="000000"/>
                <w:sz w:val="20"/>
                <w:szCs w:val="20"/>
                <w:lang w:val="en-US" w:eastAsia="zh-CN"/>
              </w:rPr>
              <w:t>2020年</w:t>
            </w:r>
          </w:p>
        </w:tc>
        <w:tc>
          <w:tcPr>
            <w:tcW w:w="3941"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2480"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单位：万元</w:t>
            </w:r>
          </w:p>
        </w:tc>
      </w:tr>
      <w:tr>
        <w:tblPrEx>
          <w:tblCellMar>
            <w:top w:w="0" w:type="dxa"/>
            <w:left w:w="0" w:type="dxa"/>
            <w:bottom w:w="0" w:type="dxa"/>
            <w:right w:w="0" w:type="dxa"/>
          </w:tblCellMar>
        </w:tblPrEx>
        <w:trPr>
          <w:trHeight w:val="405" w:hRule="atLeast"/>
        </w:trPr>
        <w:tc>
          <w:tcPr>
            <w:tcW w:w="471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项</w:t>
            </w:r>
            <w:r>
              <w:rPr>
                <w:b/>
                <w:bCs/>
                <w:color w:val="000000"/>
                <w:sz w:val="18"/>
                <w:szCs w:val="18"/>
              </w:rPr>
              <w:t xml:space="preserve"> </w:t>
            </w:r>
            <w:r>
              <w:rPr>
                <w:rStyle w:val="10"/>
                <w:b/>
                <w:bCs/>
                <w:sz w:val="18"/>
                <w:szCs w:val="18"/>
              </w:rPr>
              <w:t xml:space="preserve">   </w:t>
            </w:r>
            <w:r>
              <w:rPr>
                <w:rStyle w:val="11"/>
                <w:rFonts w:hint="eastAsia"/>
                <w:b/>
                <w:bCs/>
                <w:sz w:val="18"/>
                <w:szCs w:val="18"/>
              </w:rPr>
              <w:t>目</w:t>
            </w:r>
          </w:p>
        </w:tc>
        <w:tc>
          <w:tcPr>
            <w:tcW w:w="9193"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功能分类</w:t>
            </w:r>
          </w:p>
          <w:p>
            <w:pPr>
              <w:jc w:val="center"/>
              <w:textAlignment w:val="center"/>
              <w:rPr>
                <w:b/>
                <w:bCs/>
                <w:color w:val="000000"/>
                <w:sz w:val="18"/>
                <w:szCs w:val="18"/>
              </w:rPr>
            </w:pPr>
            <w:r>
              <w:rPr>
                <w:rFonts w:hint="eastAsia"/>
                <w:b/>
                <w:bCs/>
                <w:color w:val="000000"/>
                <w:sz w:val="18"/>
                <w:szCs w:val="18"/>
              </w:rPr>
              <w:t>科目编码</w:t>
            </w:r>
          </w:p>
        </w:tc>
        <w:tc>
          <w:tcPr>
            <w:tcW w:w="33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科目名称</w:t>
            </w:r>
          </w:p>
        </w:tc>
        <w:tc>
          <w:tcPr>
            <w:tcW w:w="277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小计</w:t>
            </w:r>
          </w:p>
        </w:tc>
        <w:tc>
          <w:tcPr>
            <w:tcW w:w="3941"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基本支出</w:t>
            </w:r>
          </w:p>
        </w:tc>
        <w:tc>
          <w:tcPr>
            <w:tcW w:w="2480"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33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27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394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2480"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b/>
                <w:bCs/>
                <w:color w:val="000000"/>
                <w:sz w:val="18"/>
                <w:szCs w:val="18"/>
              </w:rPr>
            </w:pPr>
          </w:p>
        </w:tc>
      </w:tr>
      <w:tr>
        <w:tblPrEx>
          <w:tblCellMar>
            <w:top w:w="0" w:type="dxa"/>
            <w:left w:w="0" w:type="dxa"/>
            <w:bottom w:w="0" w:type="dxa"/>
            <w:right w:w="0" w:type="dxa"/>
          </w:tblCellMar>
        </w:tblPrEx>
        <w:trPr>
          <w:trHeight w:val="312"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33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27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394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2480"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b/>
                <w:bCs/>
                <w:color w:val="000000"/>
                <w:sz w:val="18"/>
                <w:szCs w:val="18"/>
              </w:rPr>
            </w:pPr>
          </w:p>
        </w:tc>
      </w:tr>
      <w:tr>
        <w:tblPrEx>
          <w:tblCellMar>
            <w:top w:w="0" w:type="dxa"/>
            <w:left w:w="0" w:type="dxa"/>
            <w:bottom w:w="0" w:type="dxa"/>
            <w:right w:w="0" w:type="dxa"/>
          </w:tblCellMar>
        </w:tblPrEx>
        <w:trPr>
          <w:trHeight w:val="450" w:hRule="atLeast"/>
        </w:trPr>
        <w:tc>
          <w:tcPr>
            <w:tcW w:w="47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栏次</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1</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2</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3</w:t>
            </w:r>
          </w:p>
        </w:tc>
      </w:tr>
      <w:tr>
        <w:tblPrEx>
          <w:tblCellMar>
            <w:top w:w="0" w:type="dxa"/>
            <w:left w:w="0" w:type="dxa"/>
            <w:bottom w:w="0" w:type="dxa"/>
            <w:right w:w="0" w:type="dxa"/>
          </w:tblCellMar>
        </w:tblPrEx>
        <w:trPr>
          <w:trHeight w:val="450" w:hRule="atLeast"/>
        </w:trPr>
        <w:tc>
          <w:tcPr>
            <w:tcW w:w="47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合计</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r>
              <w:rPr>
                <w:b/>
                <w:bCs/>
                <w:color w:val="000000"/>
                <w:sz w:val="20"/>
                <w:szCs w:val="20"/>
              </w:rPr>
              <w:t>2264.09</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r>
              <w:rPr>
                <w:b/>
                <w:bCs/>
                <w:color w:val="000000"/>
                <w:sz w:val="20"/>
                <w:szCs w:val="20"/>
              </w:rPr>
              <w:t>2264.09</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b/>
                <w:bCs/>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201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rFonts w:hint="eastAsia"/>
                <w:color w:val="000000"/>
                <w:sz w:val="18"/>
                <w:szCs w:val="18"/>
              </w:rPr>
              <w:t>一般公共服务支出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b/>
                <w:bCs/>
                <w:color w:val="000000"/>
                <w:sz w:val="20"/>
                <w:szCs w:val="20"/>
              </w:rPr>
              <w:t>2235.58</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b/>
                <w:bCs/>
                <w:color w:val="000000"/>
                <w:sz w:val="20"/>
                <w:szCs w:val="20"/>
              </w:rPr>
              <w:t>2235.58</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20103</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rFonts w:hint="eastAsia"/>
                <w:color w:val="000000"/>
                <w:sz w:val="18"/>
                <w:szCs w:val="18"/>
              </w:rPr>
              <w:t>政府办公厅（室）及相关机构事务</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1885.58</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1885.58</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2010303</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机关服务</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1885.58</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1885.58</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20199</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rFonts w:hint="eastAsia"/>
                <w:color w:val="000000"/>
                <w:sz w:val="18"/>
                <w:szCs w:val="18"/>
              </w:rPr>
              <w:t>其他一般公共服务支出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350</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350</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2019999</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其他一般公共服务支出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350</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350</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208</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rFonts w:hint="eastAsia"/>
                <w:color w:val="000000"/>
                <w:sz w:val="18"/>
                <w:szCs w:val="18"/>
              </w:rPr>
              <w:t>社会保障和就业支出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b/>
                <w:bCs/>
                <w:color w:val="000000"/>
                <w:sz w:val="18"/>
                <w:szCs w:val="18"/>
              </w:rPr>
              <w:t>11.54</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b/>
                <w:bCs/>
                <w:color w:val="000000"/>
                <w:sz w:val="18"/>
                <w:szCs w:val="18"/>
              </w:rPr>
              <w:t>11.54</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20805</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rFonts w:hint="eastAsia"/>
                <w:color w:val="000000"/>
                <w:sz w:val="18"/>
                <w:szCs w:val="18"/>
              </w:rPr>
              <w:t>行政事业单位离退休</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11.54</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11.54</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2080505</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机关事业单位基本养老保险缴费支出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11.54</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11.54</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210</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rFonts w:hint="eastAsia"/>
                <w:color w:val="000000"/>
                <w:sz w:val="18"/>
                <w:szCs w:val="18"/>
              </w:rPr>
              <w:t>卫生健康支出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b/>
                <w:bCs/>
                <w:color w:val="000000"/>
                <w:sz w:val="18"/>
                <w:szCs w:val="18"/>
              </w:rPr>
              <w:t>8.95</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b/>
                <w:bCs/>
                <w:color w:val="000000"/>
                <w:sz w:val="18"/>
                <w:szCs w:val="18"/>
              </w:rPr>
              <w:t>8.95</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21011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rFonts w:hint="eastAsia"/>
                <w:color w:val="000000"/>
                <w:sz w:val="18"/>
                <w:szCs w:val="18"/>
              </w:rPr>
              <w:t>行政事业单位医疗</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8.95</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8.95</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2101102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事业单位医疗</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8.95</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8.95</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rFonts w:hAnsi="Times New Roman"/>
                <w:color w:val="000000"/>
                <w:kern w:val="2"/>
                <w:sz w:val="18"/>
                <w:szCs w:val="18"/>
              </w:rPr>
            </w:pPr>
            <w:r>
              <w:rPr>
                <w:color w:val="000000"/>
                <w:sz w:val="18"/>
                <w:szCs w:val="18"/>
              </w:rPr>
              <w:t>221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Ansi="Times New Roman"/>
                <w:color w:val="000000"/>
                <w:kern w:val="2"/>
                <w:sz w:val="18"/>
                <w:szCs w:val="18"/>
              </w:rPr>
            </w:pPr>
            <w:r>
              <w:rPr>
                <w:rFonts w:hint="eastAsia"/>
                <w:color w:val="000000"/>
                <w:sz w:val="18"/>
                <w:szCs w:val="18"/>
              </w:rPr>
              <w:t>住房保障支出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Ansi="Times New Roman"/>
                <w:b/>
                <w:bCs/>
                <w:color w:val="000000"/>
                <w:kern w:val="2"/>
                <w:sz w:val="18"/>
                <w:szCs w:val="18"/>
              </w:rPr>
            </w:pPr>
            <w:r>
              <w:rPr>
                <w:b/>
                <w:bCs/>
                <w:color w:val="000000"/>
                <w:sz w:val="18"/>
                <w:szCs w:val="18"/>
              </w:rPr>
              <w:t>8.02</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Ansi="Times New Roman"/>
                <w:b/>
                <w:bCs/>
                <w:color w:val="000000"/>
                <w:kern w:val="2"/>
                <w:sz w:val="18"/>
                <w:szCs w:val="18"/>
              </w:rPr>
            </w:pPr>
            <w:r>
              <w:rPr>
                <w:b/>
                <w:bCs/>
                <w:color w:val="000000"/>
                <w:sz w:val="18"/>
                <w:szCs w:val="18"/>
              </w:rPr>
              <w:t>8.02</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rFonts w:hAnsi="Times New Roman"/>
                <w:color w:val="000000"/>
                <w:kern w:val="2"/>
                <w:sz w:val="18"/>
                <w:szCs w:val="18"/>
              </w:rPr>
            </w:pPr>
            <w:r>
              <w:rPr>
                <w:color w:val="000000"/>
                <w:sz w:val="18"/>
                <w:szCs w:val="18"/>
              </w:rPr>
              <w:t>22102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Ansi="Times New Roman"/>
                <w:color w:val="000000"/>
                <w:kern w:val="2"/>
                <w:sz w:val="18"/>
                <w:szCs w:val="18"/>
              </w:rPr>
            </w:pPr>
            <w:r>
              <w:rPr>
                <w:rFonts w:hint="eastAsia"/>
                <w:color w:val="000000"/>
                <w:sz w:val="18"/>
                <w:szCs w:val="18"/>
              </w:rPr>
              <w:t>住房改革支出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8.02</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8.02</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rFonts w:hAnsi="Times New Roman"/>
                <w:color w:val="000000"/>
                <w:kern w:val="2"/>
                <w:sz w:val="18"/>
                <w:szCs w:val="18"/>
              </w:rPr>
            </w:pPr>
            <w:r>
              <w:rPr>
                <w:color w:val="000000"/>
                <w:sz w:val="18"/>
                <w:szCs w:val="18"/>
              </w:rPr>
              <w:t>2210201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Ansi="Times New Roman"/>
                <w:color w:val="000000"/>
                <w:kern w:val="2"/>
                <w:sz w:val="18"/>
                <w:szCs w:val="18"/>
              </w:rPr>
            </w:pPr>
            <w:r>
              <w:rPr>
                <w:color w:val="000000"/>
                <w:sz w:val="18"/>
                <w:szCs w:val="18"/>
              </w:rPr>
              <w:t xml:space="preserve">  </w:t>
            </w:r>
            <w:r>
              <w:rPr>
                <w:rFonts w:hint="eastAsia"/>
                <w:color w:val="000000"/>
                <w:sz w:val="18"/>
                <w:szCs w:val="18"/>
              </w:rPr>
              <w:t>住房公积金</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8.02</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Ansi="Times New Roman"/>
                <w:color w:val="000000"/>
                <w:kern w:val="2"/>
                <w:sz w:val="18"/>
                <w:szCs w:val="18"/>
              </w:rPr>
            </w:pPr>
            <w:r>
              <w:rPr>
                <w:color w:val="000000"/>
                <w:sz w:val="18"/>
                <w:szCs w:val="18"/>
              </w:rPr>
              <w:t>8.02</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645" w:hRule="atLeast"/>
        </w:trPr>
        <w:tc>
          <w:tcPr>
            <w:tcW w:w="13907" w:type="dxa"/>
            <w:gridSpan w:val="6"/>
            <w:tcBorders>
              <w:top w:val="nil"/>
              <w:left w:val="nil"/>
              <w:bottom w:val="nil"/>
              <w:right w:val="nil"/>
            </w:tcBorders>
            <w:tcMar>
              <w:top w:w="15" w:type="dxa"/>
              <w:left w:w="15" w:type="dxa"/>
              <w:right w:w="15" w:type="dxa"/>
            </w:tcMar>
            <w:vAlign w:val="center"/>
          </w:tcPr>
          <w:p>
            <w:pPr>
              <w:textAlignment w:val="center"/>
              <w:rPr>
                <w:color w:val="000000"/>
                <w:sz w:val="18"/>
                <w:szCs w:val="18"/>
              </w:rPr>
            </w:pPr>
            <w:r>
              <w:rPr>
                <w:rFonts w:hint="eastAsia"/>
                <w:color w:val="000000"/>
                <w:sz w:val="18"/>
                <w:szCs w:val="18"/>
              </w:rPr>
              <w:t>注：本表反映部门本年度一般公共预算财政拨款支出情况。本表金额转换为万元时，因四舍五入可能存在尾差。</w:t>
            </w:r>
          </w:p>
        </w:tc>
      </w:tr>
    </w:tbl>
    <w:p>
      <w:pPr>
        <w:rPr>
          <w:rFonts w:ascii="仿宋_GB2312" w:eastAsia="仿宋_GB2312"/>
          <w:color w:val="000000"/>
          <w:sz w:val="32"/>
          <w:szCs w:val="32"/>
        </w:rPr>
        <w:sectPr>
          <w:pgSz w:w="16840" w:h="11907" w:orient="landscape"/>
          <w:pgMar w:top="1800" w:right="1440" w:bottom="1800" w:left="1440" w:header="851" w:footer="992" w:gutter="0"/>
          <w:cols w:space="425"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sz w:val="32"/>
                <w:szCs w:val="32"/>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18"/>
                <w:szCs w:val="18"/>
              </w:rPr>
            </w:pPr>
          </w:p>
        </w:tc>
        <w:tc>
          <w:tcPr>
            <w:tcW w:w="2923"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18"/>
                <w:szCs w:val="18"/>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18"/>
                <w:szCs w:val="18"/>
              </w:rPr>
            </w:pPr>
          </w:p>
        </w:tc>
        <w:tc>
          <w:tcPr>
            <w:tcW w:w="870"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938"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870"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公开</w:t>
            </w:r>
            <w:r>
              <w:rPr>
                <w:color w:val="000000"/>
                <w:sz w:val="18"/>
                <w:szCs w:val="18"/>
              </w:rPr>
              <w:t>06</w:t>
            </w:r>
            <w:r>
              <w:rPr>
                <w:rFonts w:hint="eastAsia"/>
                <w:color w:val="000000"/>
                <w:sz w:val="18"/>
                <w:szCs w:val="18"/>
              </w:rPr>
              <w:t>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r>
              <w:rPr>
                <w:rFonts w:hint="eastAsia"/>
                <w:color w:val="000000"/>
                <w:sz w:val="20"/>
                <w:szCs w:val="20"/>
              </w:rPr>
              <w:t>部门：罗山县机关事务中心</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2066" w:type="dxa"/>
            <w:tcBorders>
              <w:top w:val="nil"/>
              <w:left w:val="nil"/>
              <w:bottom w:val="nil"/>
              <w:right w:val="nil"/>
            </w:tcBorders>
            <w:noWrap/>
            <w:tcMar>
              <w:top w:w="15" w:type="dxa"/>
              <w:left w:w="15" w:type="dxa"/>
              <w:right w:w="15" w:type="dxa"/>
            </w:tcMar>
            <w:vAlign w:val="center"/>
          </w:tcPr>
          <w:p>
            <w:pPr>
              <w:ind w:firstLine="1200" w:firstLineChars="600"/>
              <w:rPr>
                <w:rFonts w:ascii="Arial" w:hAnsi="Arial" w:cs="Arial"/>
                <w:color w:val="000000"/>
                <w:sz w:val="18"/>
                <w:szCs w:val="18"/>
              </w:rPr>
            </w:pPr>
            <w:r>
              <w:rPr>
                <w:rFonts w:hint="eastAsia"/>
                <w:color w:val="000000"/>
                <w:sz w:val="20"/>
                <w:szCs w:val="20"/>
                <w:lang w:val="en-US" w:eastAsia="zh-CN"/>
              </w:rPr>
              <w:t>2020年</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938" w:type="dxa"/>
            <w:tcBorders>
              <w:top w:val="nil"/>
              <w:left w:val="nil"/>
              <w:bottom w:val="nil"/>
              <w:right w:val="nil"/>
            </w:tcBorders>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经济分类科目编码</w:t>
            </w:r>
          </w:p>
        </w:tc>
        <w:tc>
          <w:tcPr>
            <w:tcW w:w="2923"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rFonts w:hint="eastAsia"/>
                <w:color w:val="000000"/>
                <w:sz w:val="18"/>
                <w:szCs w:val="18"/>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b/>
                <w:bCs/>
                <w:color w:val="000000"/>
                <w:sz w:val="18"/>
                <w:szCs w:val="18"/>
              </w:rPr>
              <w:t>181.31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rFonts w:hint="eastAsia"/>
                <w:color w:val="000000"/>
                <w:sz w:val="18"/>
                <w:szCs w:val="18"/>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b/>
                <w:bCs/>
                <w:color w:val="000000"/>
                <w:sz w:val="18"/>
                <w:szCs w:val="18"/>
              </w:rPr>
              <w:t>1705.90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rFonts w:hint="eastAsia"/>
                <w:color w:val="000000"/>
                <w:sz w:val="18"/>
                <w:szCs w:val="18"/>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r>
              <w:rPr>
                <w:b/>
                <w:bCs/>
                <w:color w:val="000000"/>
                <w:sz w:val="18"/>
                <w:szCs w:val="18"/>
              </w:rPr>
              <w:t>305.36</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67.70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9.36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30102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0.31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r>
              <w:rPr>
                <w:color w:val="000000"/>
                <w:sz w:val="18"/>
                <w:szCs w:val="18"/>
              </w:rPr>
              <w:t>295.82</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32.34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r>
              <w:rPr>
                <w:color w:val="000000"/>
                <w:sz w:val="18"/>
                <w:szCs w:val="18"/>
              </w:rPr>
              <w:t>9.03</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30106</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30107</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11.11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30108</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11.54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71.67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r>
              <w:rPr>
                <w:color w:val="000000"/>
                <w:sz w:val="18"/>
                <w:szCs w:val="18"/>
              </w:rPr>
              <w:t>0.5</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30109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30110</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8.95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30111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212.64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30112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1.27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4.31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30113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8.02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30114</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557.70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30199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51.20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rFonts w:hint="eastAsia"/>
                <w:color w:val="000000"/>
                <w:sz w:val="18"/>
                <w:szCs w:val="18"/>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30301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30302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309.49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30303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rFonts w:hint="eastAsia"/>
                <w:color w:val="000000"/>
                <w:sz w:val="18"/>
                <w:szCs w:val="18"/>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30304</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30305</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30306</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0.76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30307</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30308</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30309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rFonts w:hint="eastAsia"/>
                <w:color w:val="000000"/>
                <w:sz w:val="18"/>
                <w:szCs w:val="18"/>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30310</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21.11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30399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rFonts w:hint="eastAsia"/>
                <w:color w:val="000000"/>
                <w:sz w:val="18"/>
                <w:szCs w:val="18"/>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r>
              <w:rPr>
                <w:color w:val="000000"/>
                <w:sz w:val="18"/>
                <w:szCs w:val="18"/>
              </w:rPr>
              <w:t>507.75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rFonts w:hint="eastAsia"/>
                <w:color w:val="000000"/>
                <w:sz w:val="18"/>
                <w:szCs w:val="18"/>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color w:val="000000"/>
                <w:sz w:val="18"/>
                <w:szCs w:val="18"/>
              </w:rPr>
            </w:pPr>
            <w:r>
              <w:rPr>
                <w:color w:val="000000"/>
                <w:sz w:val="18"/>
                <w:szCs w:val="18"/>
              </w:rPr>
              <w:t xml:space="preserve">  </w:t>
            </w:r>
            <w:r>
              <w:rPr>
                <w:rFonts w:hint="eastAsia"/>
                <w:color w:val="000000"/>
                <w:sz w:val="18"/>
                <w:szCs w:val="18"/>
              </w:rPr>
              <w:t>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b/>
                <w:bCs/>
                <w:color w:val="000000"/>
                <w:sz w:val="18"/>
                <w:szCs w:val="18"/>
              </w:rPr>
            </w:pPr>
            <w:r>
              <w:rPr>
                <w:b/>
                <w:bCs/>
                <w:color w:val="000000"/>
                <w:sz w:val="18"/>
                <w:szCs w:val="18"/>
              </w:rPr>
              <w:t>181.31</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b/>
                <w:bCs/>
                <w:color w:val="000000"/>
                <w:sz w:val="18"/>
                <w:szCs w:val="18"/>
              </w:rPr>
            </w:pPr>
            <w:r>
              <w:rPr>
                <w:b/>
                <w:bCs/>
                <w:color w:val="000000"/>
                <w:sz w:val="18"/>
                <w:szCs w:val="18"/>
              </w:rPr>
              <w:t>2011.26</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textAlignment w:val="center"/>
              <w:rPr>
                <w:color w:val="000000"/>
                <w:sz w:val="18"/>
                <w:szCs w:val="18"/>
              </w:rPr>
            </w:pPr>
            <w:r>
              <w:rPr>
                <w:rFonts w:hint="eastAsia"/>
                <w:color w:val="000000"/>
                <w:sz w:val="18"/>
                <w:szCs w:val="18"/>
              </w:rPr>
              <w:t>注：本表反映部门本年度一般公共预算财政拨款基本支出明细情况。本表金额转换为万元时，因四舍五入可能存在尾差。</w:t>
            </w:r>
          </w:p>
        </w:tc>
      </w:tr>
    </w:tbl>
    <w:p>
      <w:pPr>
        <w:rPr>
          <w:rFonts w:ascii="仿宋_GB2312" w:eastAsia="仿宋_GB2312"/>
          <w:color w:val="000000"/>
          <w:sz w:val="32"/>
          <w:szCs w:val="32"/>
        </w:rPr>
        <w:sectPr>
          <w:pgSz w:w="16840" w:h="11907" w:orient="landscape"/>
          <w:pgMar w:top="1800" w:right="1440" w:bottom="1800" w:left="1440" w:header="851" w:footer="992" w:gutter="0"/>
          <w:cols w:space="425" w:num="1"/>
          <w:docGrid w:type="lines" w:linePitch="312" w:charSpace="0"/>
        </w:sectPr>
      </w:pPr>
    </w:p>
    <w:tbl>
      <w:tblPr>
        <w:tblStyle w:val="5"/>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公开</w:t>
            </w:r>
            <w:r>
              <w:rPr>
                <w:color w:val="000000"/>
                <w:sz w:val="18"/>
                <w:szCs w:val="18"/>
              </w:rPr>
              <w:t>07</w:t>
            </w:r>
            <w:r>
              <w:rPr>
                <w:rFonts w:hint="eastAsia"/>
                <w:color w:val="000000"/>
                <w:sz w:val="18"/>
                <w:szCs w:val="18"/>
              </w:rPr>
              <w:t>表</w:t>
            </w:r>
          </w:p>
        </w:tc>
      </w:tr>
      <w:tr>
        <w:tblPrEx>
          <w:tblCellMar>
            <w:top w:w="0" w:type="dxa"/>
            <w:left w:w="0" w:type="dxa"/>
            <w:bottom w:w="0" w:type="dxa"/>
            <w:right w:w="0" w:type="dxa"/>
          </w:tblCellMar>
        </w:tblPrEx>
        <w:trPr>
          <w:trHeight w:val="300" w:hRule="atLeast"/>
        </w:trPr>
        <w:tc>
          <w:tcPr>
            <w:tcW w:w="6901" w:type="dxa"/>
            <w:gridSpan w:val="6"/>
            <w:tcBorders>
              <w:top w:val="nil"/>
              <w:left w:val="nil"/>
              <w:bottom w:val="nil"/>
              <w:right w:val="nil"/>
            </w:tcBorders>
            <w:shd w:val="clear" w:color="auto" w:fill="FFFFFF"/>
            <w:noWrap/>
            <w:tcMar>
              <w:top w:w="15" w:type="dxa"/>
              <w:left w:w="15" w:type="dxa"/>
              <w:right w:w="15" w:type="dxa"/>
            </w:tcMar>
            <w:vAlign w:val="center"/>
          </w:tcPr>
          <w:p>
            <w:pPr>
              <w:rPr>
                <w:color w:val="000000"/>
                <w:sz w:val="18"/>
                <w:szCs w:val="18"/>
              </w:rPr>
            </w:pPr>
            <w:r>
              <w:rPr>
                <w:rFonts w:hint="eastAsia"/>
                <w:color w:val="000000"/>
                <w:sz w:val="20"/>
                <w:szCs w:val="20"/>
              </w:rPr>
              <w:t>部门：罗山县机关事务中心</w:t>
            </w:r>
            <w:r>
              <w:rPr>
                <w:rFonts w:hint="eastAsia"/>
                <w:color w:val="000000"/>
                <w:sz w:val="20"/>
                <w:szCs w:val="20"/>
                <w:lang w:val="en-US" w:eastAsia="zh-CN"/>
              </w:rPr>
              <w:t xml:space="preserve">                                      </w:t>
            </w:r>
            <w:r>
              <w:rPr>
                <w:rFonts w:hint="eastAsia"/>
                <w:color w:val="000000"/>
                <w:sz w:val="20"/>
                <w:szCs w:val="20"/>
                <w:lang w:val="en-US" w:eastAsia="zh-CN"/>
              </w:rPr>
              <w:t>2020年</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eastAsia="宋体"/>
                <w:b/>
                <w:bCs/>
                <w:color w:val="000000"/>
                <w:sz w:val="18"/>
                <w:szCs w:val="18"/>
                <w:lang w:eastAsia="zh-CN"/>
              </w:rPr>
            </w:pPr>
            <w:r>
              <w:rPr>
                <w:rFonts w:hint="eastAsia"/>
                <w:b/>
                <w:bCs/>
                <w:color w:val="000000"/>
                <w:sz w:val="18"/>
                <w:szCs w:val="18"/>
              </w:rPr>
              <w:t>公务用车</w:t>
            </w:r>
          </w:p>
          <w:p>
            <w:pPr>
              <w:jc w:val="center"/>
              <w:textAlignment w:val="center"/>
              <w:rPr>
                <w:b/>
                <w:bCs/>
                <w:color w:val="000000"/>
                <w:sz w:val="18"/>
                <w:szCs w:val="18"/>
              </w:rPr>
            </w:pPr>
            <w:r>
              <w:rPr>
                <w:rFonts w:hint="eastAsia"/>
                <w:b/>
                <w:bCs/>
                <w:color w:val="000000"/>
                <w:sz w:val="18"/>
                <w:szCs w:val="18"/>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eastAsia="宋体"/>
                <w:b/>
                <w:bCs/>
                <w:color w:val="000000"/>
                <w:sz w:val="18"/>
                <w:szCs w:val="18"/>
                <w:lang w:eastAsia="zh-CN"/>
              </w:rPr>
            </w:pPr>
            <w:r>
              <w:rPr>
                <w:rFonts w:hint="eastAsia"/>
                <w:b/>
                <w:bCs/>
                <w:color w:val="000000"/>
                <w:sz w:val="18"/>
                <w:szCs w:val="18"/>
              </w:rPr>
              <w:t>公务用车</w:t>
            </w:r>
          </w:p>
          <w:p>
            <w:pPr>
              <w:jc w:val="center"/>
              <w:textAlignment w:val="center"/>
              <w:rPr>
                <w:b/>
                <w:bCs/>
                <w:color w:val="000000"/>
                <w:sz w:val="18"/>
                <w:szCs w:val="18"/>
              </w:rPr>
            </w:pPr>
            <w:r>
              <w:rPr>
                <w:rFonts w:hint="eastAsia"/>
                <w:b/>
                <w:bCs/>
                <w:color w:val="000000"/>
                <w:sz w:val="18"/>
                <w:szCs w:val="18"/>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eastAsia="宋体"/>
                <w:b/>
                <w:bCs/>
                <w:color w:val="000000"/>
                <w:sz w:val="18"/>
                <w:szCs w:val="18"/>
                <w:lang w:eastAsia="zh-CN"/>
              </w:rPr>
            </w:pPr>
            <w:r>
              <w:rPr>
                <w:rFonts w:hint="eastAsia"/>
                <w:b/>
                <w:bCs/>
                <w:color w:val="000000"/>
                <w:sz w:val="18"/>
                <w:szCs w:val="18"/>
              </w:rPr>
              <w:t>公务用车</w:t>
            </w:r>
          </w:p>
          <w:p>
            <w:pPr>
              <w:jc w:val="center"/>
              <w:textAlignment w:val="center"/>
              <w:rPr>
                <w:b/>
                <w:bCs/>
                <w:color w:val="000000"/>
                <w:sz w:val="18"/>
                <w:szCs w:val="18"/>
              </w:rPr>
            </w:pPr>
            <w:r>
              <w:rPr>
                <w:rFonts w:hint="eastAsia"/>
                <w:b/>
                <w:bCs/>
                <w:color w:val="000000"/>
                <w:sz w:val="18"/>
                <w:szCs w:val="18"/>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eastAsia="宋体"/>
                <w:b/>
                <w:bCs/>
                <w:color w:val="000000"/>
                <w:sz w:val="18"/>
                <w:szCs w:val="18"/>
                <w:lang w:eastAsia="zh-CN"/>
              </w:rPr>
            </w:pPr>
            <w:r>
              <w:rPr>
                <w:rFonts w:hint="eastAsia"/>
                <w:b/>
                <w:bCs/>
                <w:color w:val="000000"/>
                <w:sz w:val="18"/>
                <w:szCs w:val="18"/>
              </w:rPr>
              <w:t>公务用车</w:t>
            </w:r>
          </w:p>
          <w:p>
            <w:pPr>
              <w:jc w:val="center"/>
              <w:textAlignment w:val="center"/>
              <w:rPr>
                <w:b/>
                <w:bCs/>
                <w:color w:val="000000"/>
                <w:sz w:val="18"/>
                <w:szCs w:val="18"/>
              </w:rPr>
            </w:pPr>
            <w:r>
              <w:rPr>
                <w:rFonts w:hint="eastAsia"/>
                <w:b/>
                <w:bCs/>
                <w:color w:val="000000"/>
                <w:sz w:val="18"/>
                <w:szCs w:val="18"/>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b/>
                <w:bCs/>
                <w:color w:val="000000"/>
                <w:sz w:val="18"/>
                <w:szCs w:val="18"/>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r>
              <w:rPr>
                <w:b/>
                <w:bCs/>
                <w:color w:val="000000"/>
                <w:sz w:val="18"/>
                <w:szCs w:val="18"/>
              </w:rPr>
              <w:t>345.7</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r>
              <w:rPr>
                <w:b/>
                <w:bCs/>
                <w:color w:val="000000"/>
                <w:sz w:val="18"/>
                <w:szCs w:val="18"/>
              </w:rPr>
              <w:t>17.7</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17.7</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r>
              <w:rPr>
                <w:b/>
                <w:bCs/>
                <w:color w:val="000000"/>
                <w:sz w:val="18"/>
                <w:szCs w:val="18"/>
              </w:rPr>
              <w:t>328</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329.99</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r>
              <w:rPr>
                <w:b/>
                <w:bCs/>
                <w:color w:val="000000"/>
                <w:sz w:val="18"/>
                <w:szCs w:val="18"/>
              </w:rPr>
              <w:t>20.50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r>
              <w:rPr>
                <w:color w:val="000000"/>
                <w:sz w:val="18"/>
                <w:szCs w:val="18"/>
              </w:rPr>
              <w:t>0</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center"/>
              <w:rPr>
                <w:color w:val="000000"/>
                <w:sz w:val="18"/>
                <w:szCs w:val="18"/>
              </w:rPr>
            </w:pPr>
            <w:r>
              <w:rPr>
                <w:color w:val="000000"/>
                <w:sz w:val="18"/>
                <w:szCs w:val="18"/>
              </w:rPr>
              <w:t>20.50</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color w:val="000000"/>
                <w:sz w:val="18"/>
                <w:szCs w:val="18"/>
              </w:rPr>
            </w:pPr>
            <w:r>
              <w:rPr>
                <w:b/>
                <w:bCs/>
                <w:color w:val="000000"/>
                <w:sz w:val="18"/>
                <w:szCs w:val="18"/>
              </w:rPr>
              <w:t>309.49</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textAlignment w:val="center"/>
              <w:rPr>
                <w:color w:val="000000"/>
                <w:sz w:val="18"/>
                <w:szCs w:val="18"/>
              </w:rPr>
            </w:pPr>
            <w:r>
              <w:rPr>
                <w:rFonts w:hint="eastAsia"/>
                <w:color w:val="000000"/>
                <w:sz w:val="18"/>
                <w:szCs w:val="18"/>
              </w:rPr>
              <w:t>注：本表反映部门本年度“三公”经费支出预决算情况。其中，</w:t>
            </w:r>
            <w:r>
              <w:rPr>
                <w:rStyle w:val="12"/>
                <w:rFonts w:hint="eastAsia"/>
                <w:sz w:val="18"/>
                <w:szCs w:val="18"/>
              </w:rPr>
              <w:t>预算数为</w:t>
            </w:r>
            <w:r>
              <w:rPr>
                <w:rStyle w:val="12"/>
                <w:rFonts w:hint="eastAsia" w:hAnsi="Times New Roman"/>
                <w:sz w:val="18"/>
                <w:szCs w:val="18"/>
              </w:rPr>
              <w:t>“</w:t>
            </w:r>
            <w:r>
              <w:rPr>
                <w:rStyle w:val="12"/>
                <w:rFonts w:hint="eastAsia"/>
                <w:sz w:val="18"/>
                <w:szCs w:val="18"/>
              </w:rPr>
              <w:t>三公</w:t>
            </w:r>
            <w:r>
              <w:rPr>
                <w:rStyle w:val="12"/>
                <w:rFonts w:hint="eastAsia" w:hAnsi="Times New Roman"/>
                <w:sz w:val="18"/>
                <w:szCs w:val="18"/>
              </w:rPr>
              <w:t>”</w:t>
            </w:r>
            <w:r>
              <w:rPr>
                <w:rStyle w:val="12"/>
                <w:rFonts w:hint="eastAsia"/>
                <w:sz w:val="18"/>
                <w:szCs w:val="18"/>
              </w:rPr>
              <w:t>经费年初预算数，决算数是包括当年一般公共预算财政拨款和以前年度结转资金安排的实际支出。</w:t>
            </w:r>
            <w:r>
              <w:rPr>
                <w:rFonts w:hint="eastAsia"/>
                <w:color w:val="000000"/>
                <w:sz w:val="18"/>
                <w:szCs w:val="18"/>
              </w:rPr>
              <w:t>本表金额转换为万元时，因四舍五入可能存在尾差。</w:t>
            </w:r>
          </w:p>
        </w:tc>
      </w:tr>
    </w:tbl>
    <w:p>
      <w:pPr>
        <w:rPr>
          <w:rFonts w:ascii="仿宋_GB2312" w:eastAsia="仿宋_GB2312"/>
          <w:color w:val="000000"/>
          <w:sz w:val="32"/>
          <w:szCs w:val="32"/>
        </w:rPr>
        <w:sectPr>
          <w:pgSz w:w="16840" w:h="11907" w:orient="landscape"/>
          <w:pgMar w:top="1800" w:right="1440" w:bottom="1800" w:left="1440" w:header="851" w:footer="992" w:gutter="0"/>
          <w:cols w:space="425"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jc w:val="center"/>
              <w:textAlignment w:val="center"/>
              <w:rPr>
                <w:rFonts w:ascii="华文中宋" w:hAnsi="华文中宋" w:eastAsia="华文中宋" w:cs="华文中宋"/>
                <w:color w:val="000000"/>
                <w:szCs w:val="21"/>
              </w:rPr>
            </w:pPr>
            <w:r>
              <w:rPr>
                <w:rFonts w:hint="eastAsia" w:ascii="华文中宋" w:hAnsi="华文中宋" w:eastAsia="华文中宋" w:cs="华文中宋"/>
                <w:b/>
                <w:bCs/>
                <w:color w:val="000000"/>
                <w:sz w:val="32"/>
                <w:szCs w:val="32"/>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18"/>
                <w:szCs w:val="18"/>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18"/>
                <w:szCs w:val="18"/>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927"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公开</w:t>
            </w:r>
            <w:r>
              <w:rPr>
                <w:color w:val="000000"/>
                <w:sz w:val="18"/>
                <w:szCs w:val="18"/>
              </w:rPr>
              <w:t>08</w:t>
            </w:r>
            <w:r>
              <w:rPr>
                <w:rFonts w:hint="eastAsia"/>
                <w:color w:val="000000"/>
                <w:sz w:val="18"/>
                <w:szCs w:val="18"/>
              </w:rPr>
              <w:t>表</w:t>
            </w:r>
          </w:p>
        </w:tc>
      </w:tr>
      <w:tr>
        <w:tblPrEx>
          <w:tblCellMar>
            <w:top w:w="0" w:type="dxa"/>
            <w:left w:w="0" w:type="dxa"/>
            <w:bottom w:w="0" w:type="dxa"/>
            <w:right w:w="0" w:type="dxa"/>
          </w:tblCellMar>
        </w:tblPrEx>
        <w:trPr>
          <w:trHeight w:val="300" w:hRule="atLeast"/>
        </w:trPr>
        <w:tc>
          <w:tcPr>
            <w:tcW w:w="6276" w:type="dxa"/>
            <w:gridSpan w:val="5"/>
            <w:tcBorders>
              <w:top w:val="nil"/>
              <w:left w:val="nil"/>
              <w:bottom w:val="nil"/>
              <w:right w:val="nil"/>
            </w:tcBorders>
            <w:shd w:val="clear" w:color="auto" w:fill="FFFFFF"/>
            <w:noWrap/>
            <w:tcMar>
              <w:top w:w="15" w:type="dxa"/>
              <w:left w:w="15" w:type="dxa"/>
              <w:right w:w="15" w:type="dxa"/>
            </w:tcMar>
            <w:vAlign w:val="center"/>
          </w:tcPr>
          <w:p>
            <w:pPr>
              <w:rPr>
                <w:color w:val="000000"/>
                <w:sz w:val="18"/>
                <w:szCs w:val="18"/>
              </w:rPr>
            </w:pPr>
            <w:r>
              <w:rPr>
                <w:rFonts w:hint="eastAsia"/>
                <w:color w:val="000000"/>
                <w:sz w:val="20"/>
                <w:szCs w:val="20"/>
              </w:rPr>
              <w:t>部门：罗山县机关事务中心</w:t>
            </w: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ind w:firstLine="200" w:firstLineChars="100"/>
              <w:rPr>
                <w:color w:val="000000"/>
                <w:sz w:val="18"/>
                <w:szCs w:val="18"/>
              </w:rPr>
            </w:pPr>
            <w:bookmarkStart w:id="0" w:name="_GoBack"/>
            <w:bookmarkEnd w:id="0"/>
            <w:r>
              <w:rPr>
                <w:rFonts w:hint="eastAsia"/>
                <w:color w:val="000000"/>
                <w:sz w:val="20"/>
                <w:szCs w:val="20"/>
                <w:lang w:val="en-US" w:eastAsia="zh-CN"/>
              </w:rPr>
              <w:t>2020年</w:t>
            </w: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color w:val="000000"/>
                <w:sz w:val="18"/>
                <w:szCs w:val="18"/>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color w:val="000000"/>
                <w:sz w:val="18"/>
                <w:szCs w:val="18"/>
              </w:rPr>
            </w:pPr>
            <w:r>
              <w:rPr>
                <w:rFonts w:hint="eastAsia"/>
                <w:color w:val="000000"/>
                <w:sz w:val="18"/>
                <w:szCs w:val="18"/>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项</w:t>
            </w:r>
            <w:r>
              <w:rPr>
                <w:b/>
                <w:bCs/>
                <w:color w:val="000000"/>
                <w:sz w:val="18"/>
                <w:szCs w:val="18"/>
              </w:rPr>
              <w:t xml:space="preserve">    </w:t>
            </w:r>
            <w:r>
              <w:rPr>
                <w:rFonts w:hint="eastAsia"/>
                <w:b/>
                <w:bCs/>
                <w:color w:val="000000"/>
                <w:sz w:val="18"/>
                <w:szCs w:val="18"/>
              </w:rPr>
              <w:t>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功能分类</w:t>
            </w:r>
          </w:p>
          <w:p>
            <w:pPr>
              <w:jc w:val="center"/>
              <w:textAlignment w:val="center"/>
              <w:rPr>
                <w:b/>
                <w:bCs/>
                <w:color w:val="000000"/>
                <w:sz w:val="18"/>
                <w:szCs w:val="18"/>
              </w:rPr>
            </w:pPr>
            <w:r>
              <w:rPr>
                <w:rFonts w:hint="eastAsia"/>
                <w:b/>
                <w:bCs/>
                <w:color w:val="000000"/>
                <w:sz w:val="18"/>
                <w:szCs w:val="18"/>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b/>
                <w:bCs/>
                <w:color w:val="000000"/>
                <w:sz w:val="18"/>
                <w:szCs w:val="18"/>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b/>
                <w:bCs/>
                <w:color w:val="000000"/>
                <w:sz w:val="18"/>
                <w:szCs w:val="18"/>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b/>
                <w:bCs/>
                <w:color w:val="000000"/>
                <w:sz w:val="18"/>
                <w:szCs w:val="18"/>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b/>
                <w:bCs/>
                <w:color w:val="000000"/>
                <w:sz w:val="18"/>
                <w:szCs w:val="18"/>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b/>
                <w:bCs/>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b/>
                <w:bCs/>
                <w:color w:val="000000"/>
                <w:sz w:val="18"/>
                <w:szCs w:val="18"/>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b/>
                <w:bCs/>
                <w:color w:val="000000"/>
                <w:sz w:val="18"/>
                <w:szCs w:val="18"/>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b/>
                <w:bCs/>
                <w:color w:val="000000"/>
                <w:sz w:val="18"/>
                <w:szCs w:val="18"/>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b/>
                <w:bCs/>
                <w:color w:val="000000"/>
                <w:sz w:val="18"/>
                <w:szCs w:val="18"/>
              </w:rPr>
            </w:pPr>
            <w:r>
              <w:rPr>
                <w:b/>
                <w:bCs/>
                <w:color w:val="000000"/>
                <w:sz w:val="18"/>
                <w:szCs w:val="18"/>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b/>
                <w:bCs/>
                <w:color w:val="000000"/>
                <w:sz w:val="18"/>
                <w:szCs w:val="18"/>
              </w:rPr>
            </w:pPr>
            <w:r>
              <w:rPr>
                <w:rFonts w:hint="eastAsia"/>
                <w:b/>
                <w:bCs/>
                <w:color w:val="000000"/>
                <w:sz w:val="18"/>
                <w:szCs w:val="18"/>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b/>
                <w:bCs/>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b/>
                <w:bCs/>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color w:val="000000"/>
                <w:sz w:val="18"/>
                <w:szCs w:val="18"/>
              </w:rPr>
            </w:pPr>
          </w:p>
        </w:tc>
        <w:tc>
          <w:tcPr>
            <w:tcW w:w="192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center"/>
              <w:rPr>
                <w:color w:val="000000"/>
                <w:sz w:val="18"/>
                <w:szCs w:val="18"/>
              </w:rPr>
            </w:pPr>
          </w:p>
        </w:tc>
        <w:tc>
          <w:tcPr>
            <w:tcW w:w="19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textAlignment w:val="center"/>
              <w:rPr>
                <w:color w:val="000000"/>
                <w:sz w:val="18"/>
                <w:szCs w:val="18"/>
              </w:rPr>
            </w:pPr>
            <w:r>
              <w:rPr>
                <w:rFonts w:hint="eastAsia"/>
                <w:color w:val="000000"/>
                <w:sz w:val="18"/>
                <w:szCs w:val="18"/>
              </w:rPr>
              <w:t>注：本表反映部门本年度政府性基金预算财政拨款收入、支出及结转和结余情况。</w:t>
            </w:r>
          </w:p>
        </w:tc>
      </w:tr>
    </w:tbl>
    <w:p>
      <w:pPr>
        <w:widowControl w:val="0"/>
        <w:jc w:val="both"/>
        <w:outlineLvl w:val="0"/>
        <w:rPr>
          <w:sz w:val="18"/>
          <w:szCs w:val="18"/>
          <w:highlight w:val="yellow"/>
        </w:rPr>
      </w:pPr>
      <w:r>
        <w:rPr>
          <w:rFonts w:hint="eastAsia"/>
          <w:sz w:val="18"/>
          <w:szCs w:val="18"/>
          <w:highlight w:val="yellow"/>
        </w:rPr>
        <w:t>说明：我部门没有政府性基金收入，也没有使用政府性基金安排的支出，故本表无数据。</w:t>
      </w:r>
    </w:p>
    <w:p>
      <w:pPr>
        <w:widowControl w:val="0"/>
        <w:jc w:val="both"/>
        <w:outlineLvl w:val="0"/>
        <w:rPr>
          <w:sz w:val="18"/>
          <w:szCs w:val="18"/>
          <w:highlight w:val="yellow"/>
        </w:rPr>
        <w:sectPr>
          <w:pgSz w:w="16838" w:h="11906" w:orient="landscape"/>
          <w:pgMar w:top="1800" w:right="1440" w:bottom="1800" w:left="1440" w:header="851" w:footer="992" w:gutter="0"/>
          <w:cols w:space="425" w:num="1"/>
          <w:docGrid w:type="lines" w:linePitch="312" w:charSpace="0"/>
        </w:sectPr>
      </w:pPr>
    </w:p>
    <w:p>
      <w:pPr>
        <w:rPr>
          <w:rFonts w:ascii="仿宋_GB2312" w:eastAsia="仿宋_GB2312"/>
          <w:color w:val="000000"/>
          <w:sz w:val="32"/>
          <w:szCs w:val="32"/>
        </w:rPr>
      </w:pPr>
    </w:p>
    <w:sectPr>
      <w:pgSz w:w="16840" w:h="11907"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ZDg1NDZhODA5ZjJhMjg1MTU1MGVkZmZhZTZhNjQifQ=="/>
  </w:docVars>
  <w:rsids>
    <w:rsidRoot w:val="00380C49"/>
    <w:rsid w:val="0005518E"/>
    <w:rsid w:val="000D3621"/>
    <w:rsid w:val="001C7E92"/>
    <w:rsid w:val="001F1E8D"/>
    <w:rsid w:val="00204EF8"/>
    <w:rsid w:val="00352AD1"/>
    <w:rsid w:val="00380C49"/>
    <w:rsid w:val="00463B25"/>
    <w:rsid w:val="004C77BC"/>
    <w:rsid w:val="00582974"/>
    <w:rsid w:val="00623890"/>
    <w:rsid w:val="006C602E"/>
    <w:rsid w:val="00704B4A"/>
    <w:rsid w:val="007169BE"/>
    <w:rsid w:val="00810050"/>
    <w:rsid w:val="00851627"/>
    <w:rsid w:val="0087510B"/>
    <w:rsid w:val="008B058C"/>
    <w:rsid w:val="008F0429"/>
    <w:rsid w:val="009008AB"/>
    <w:rsid w:val="00B07176"/>
    <w:rsid w:val="00B30B3E"/>
    <w:rsid w:val="00C53051"/>
    <w:rsid w:val="00C73F3D"/>
    <w:rsid w:val="00CA1E5C"/>
    <w:rsid w:val="00CB1114"/>
    <w:rsid w:val="00CE118F"/>
    <w:rsid w:val="00D45C75"/>
    <w:rsid w:val="00D60397"/>
    <w:rsid w:val="00D75BD3"/>
    <w:rsid w:val="00E23DC1"/>
    <w:rsid w:val="00E91CCC"/>
    <w:rsid w:val="00FA1D49"/>
    <w:rsid w:val="00FB071E"/>
    <w:rsid w:val="00FD03C9"/>
    <w:rsid w:val="01D94501"/>
    <w:rsid w:val="08317739"/>
    <w:rsid w:val="08F17778"/>
    <w:rsid w:val="09430076"/>
    <w:rsid w:val="098E6353"/>
    <w:rsid w:val="09AE1ED3"/>
    <w:rsid w:val="0D7D6D4F"/>
    <w:rsid w:val="11AC1494"/>
    <w:rsid w:val="14680CFD"/>
    <w:rsid w:val="15A3261A"/>
    <w:rsid w:val="166439C7"/>
    <w:rsid w:val="16A4040C"/>
    <w:rsid w:val="17DF2975"/>
    <w:rsid w:val="1944141C"/>
    <w:rsid w:val="1A165E6B"/>
    <w:rsid w:val="1A2C7A22"/>
    <w:rsid w:val="1A5220C8"/>
    <w:rsid w:val="1B2D7593"/>
    <w:rsid w:val="1C4240CE"/>
    <w:rsid w:val="1DB60184"/>
    <w:rsid w:val="23983A20"/>
    <w:rsid w:val="24914158"/>
    <w:rsid w:val="24BE0B77"/>
    <w:rsid w:val="28CA07A8"/>
    <w:rsid w:val="29B87D71"/>
    <w:rsid w:val="2EFC3BE2"/>
    <w:rsid w:val="2F6E7BC5"/>
    <w:rsid w:val="31762888"/>
    <w:rsid w:val="3349058E"/>
    <w:rsid w:val="34FE3CB1"/>
    <w:rsid w:val="35ED0BC1"/>
    <w:rsid w:val="36053BD7"/>
    <w:rsid w:val="38832151"/>
    <w:rsid w:val="3901402F"/>
    <w:rsid w:val="395D6E46"/>
    <w:rsid w:val="3CD173F2"/>
    <w:rsid w:val="3DB71E65"/>
    <w:rsid w:val="431B1243"/>
    <w:rsid w:val="45A174B9"/>
    <w:rsid w:val="45C5024D"/>
    <w:rsid w:val="47297337"/>
    <w:rsid w:val="4A414FA0"/>
    <w:rsid w:val="4A9A1AA2"/>
    <w:rsid w:val="4AE96030"/>
    <w:rsid w:val="4C427C28"/>
    <w:rsid w:val="4D284863"/>
    <w:rsid w:val="4FA74B72"/>
    <w:rsid w:val="532D6BCC"/>
    <w:rsid w:val="57653C35"/>
    <w:rsid w:val="59965923"/>
    <w:rsid w:val="59EF1407"/>
    <w:rsid w:val="5BED45F7"/>
    <w:rsid w:val="5E70539C"/>
    <w:rsid w:val="5E916AC6"/>
    <w:rsid w:val="5EF1558F"/>
    <w:rsid w:val="605432E7"/>
    <w:rsid w:val="608115FE"/>
    <w:rsid w:val="63043994"/>
    <w:rsid w:val="64682DFF"/>
    <w:rsid w:val="65B20A44"/>
    <w:rsid w:val="69940C26"/>
    <w:rsid w:val="69C578D9"/>
    <w:rsid w:val="6A642447"/>
    <w:rsid w:val="6CD373AB"/>
    <w:rsid w:val="6D444534"/>
    <w:rsid w:val="6DC3130B"/>
    <w:rsid w:val="70400ED0"/>
    <w:rsid w:val="70FD7398"/>
    <w:rsid w:val="71663B4D"/>
    <w:rsid w:val="720F12A2"/>
    <w:rsid w:val="733C35BC"/>
    <w:rsid w:val="73C6625C"/>
    <w:rsid w:val="758B1B7B"/>
    <w:rsid w:val="758C68D3"/>
    <w:rsid w:val="78C100E8"/>
    <w:rsid w:val="7ABB0CFB"/>
    <w:rsid w:val="7B091CA8"/>
    <w:rsid w:val="7DA77D15"/>
    <w:rsid w:val="7EB6636B"/>
    <w:rsid w:val="7F44113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pPr>
    <w:rPr>
      <w:sz w:val="18"/>
      <w:szCs w:val="18"/>
    </w:rPr>
  </w:style>
  <w:style w:type="paragraph" w:styleId="3">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spacing w:before="100" w:beforeAutospacing="1" w:after="100" w:afterAutospacing="1"/>
    </w:pPr>
  </w:style>
  <w:style w:type="character" w:customStyle="1" w:styleId="7">
    <w:name w:val="Footer Char"/>
    <w:basedOn w:val="6"/>
    <w:link w:val="2"/>
    <w:semiHidden/>
    <w:qFormat/>
    <w:locked/>
    <w:uiPriority w:val="99"/>
    <w:rPr>
      <w:rFonts w:ascii="宋体" w:hAnsi="宋体" w:eastAsia="宋体" w:cs="宋体"/>
      <w:kern w:val="0"/>
      <w:sz w:val="18"/>
      <w:szCs w:val="18"/>
    </w:rPr>
  </w:style>
  <w:style w:type="character" w:customStyle="1" w:styleId="8">
    <w:name w:val="Header Char"/>
    <w:basedOn w:val="6"/>
    <w:link w:val="3"/>
    <w:semiHidden/>
    <w:qFormat/>
    <w:locked/>
    <w:uiPriority w:val="99"/>
    <w:rPr>
      <w:rFonts w:ascii="宋体" w:hAnsi="宋体" w:eastAsia="宋体" w:cs="宋体"/>
      <w:kern w:val="0"/>
      <w:sz w:val="18"/>
      <w:szCs w:val="18"/>
    </w:rPr>
  </w:style>
  <w:style w:type="character" w:customStyle="1" w:styleId="9">
    <w:name w:val="font11"/>
    <w:basedOn w:val="6"/>
    <w:qFormat/>
    <w:uiPriority w:val="99"/>
    <w:rPr>
      <w:rFonts w:ascii="宋体" w:hAnsi="宋体" w:eastAsia="宋体" w:cs="宋体"/>
      <w:color w:val="000000"/>
      <w:sz w:val="20"/>
      <w:szCs w:val="20"/>
      <w:u w:val="none"/>
    </w:rPr>
  </w:style>
  <w:style w:type="character" w:customStyle="1" w:styleId="10">
    <w:name w:val="font01"/>
    <w:basedOn w:val="6"/>
    <w:uiPriority w:val="99"/>
    <w:rPr>
      <w:rFonts w:ascii="宋体" w:hAnsi="宋体" w:eastAsia="宋体" w:cs="宋体"/>
      <w:color w:val="000000"/>
      <w:sz w:val="22"/>
      <w:szCs w:val="22"/>
      <w:u w:val="none"/>
    </w:rPr>
  </w:style>
  <w:style w:type="character" w:customStyle="1" w:styleId="11">
    <w:name w:val="font51"/>
    <w:basedOn w:val="6"/>
    <w:uiPriority w:val="99"/>
    <w:rPr>
      <w:rFonts w:ascii="宋体" w:hAnsi="宋体" w:eastAsia="宋体" w:cs="宋体"/>
      <w:color w:val="000000"/>
      <w:sz w:val="24"/>
      <w:szCs w:val="24"/>
      <w:u w:val="none"/>
    </w:rPr>
  </w:style>
  <w:style w:type="character" w:customStyle="1" w:styleId="12">
    <w:name w:val="font41"/>
    <w:basedOn w:val="6"/>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30</Pages>
  <Words>7903</Words>
  <Characters>9527</Characters>
  <Lines>0</Lines>
  <Paragraphs>0</Paragraphs>
  <TotalTime>2</TotalTime>
  <ScaleCrop>false</ScaleCrop>
  <LinksUpToDate>false</LinksUpToDate>
  <CharactersWithSpaces>9935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安好</cp:lastModifiedBy>
  <cp:lastPrinted>2021-11-01T02:43:00Z</cp:lastPrinted>
  <dcterms:modified xsi:type="dcterms:W3CDTF">2022-09-07T08:02:29Z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D4C7D332FCDF4B13907833310463C13A</vt:lpwstr>
  </property>
</Properties>
</file>