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olor w:val="000000"/>
          <w:sz w:val="28"/>
          <w:szCs w:val="28"/>
        </w:rPr>
      </w:pPr>
    </w:p>
    <w:p>
      <w:pPr>
        <w:ind w:firstLine="1820" w:firstLineChars="350"/>
        <w:rPr>
          <w:rFonts w:ascii="黑体" w:hAnsi="黑体" w:eastAsia="黑体" w:cs="黑体"/>
          <w:sz w:val="52"/>
          <w:szCs w:val="52"/>
        </w:rPr>
      </w:pPr>
    </w:p>
    <w:p>
      <w:pPr>
        <w:ind w:firstLine="1820" w:firstLineChars="350"/>
        <w:rPr>
          <w:rFonts w:ascii="黑体" w:hAnsi="黑体" w:eastAsia="黑体" w:cs="黑体"/>
          <w:sz w:val="52"/>
          <w:szCs w:val="52"/>
        </w:rPr>
      </w:pPr>
    </w:p>
    <w:p>
      <w:pPr>
        <w:ind w:firstLine="1820" w:firstLineChars="350"/>
        <w:rPr>
          <w:rFonts w:ascii="黑体" w:hAnsi="黑体" w:eastAsia="黑体" w:cs="黑体"/>
          <w:sz w:val="52"/>
          <w:szCs w:val="52"/>
        </w:rPr>
      </w:pPr>
    </w:p>
    <w:p>
      <w:pPr>
        <w:ind w:firstLine="440" w:firstLineChars="100"/>
        <w:rPr>
          <w:rFonts w:ascii="黑体" w:hAnsi="黑体" w:eastAsia="黑体" w:cs="黑体"/>
          <w:sz w:val="44"/>
          <w:szCs w:val="44"/>
        </w:rPr>
      </w:pPr>
      <w:r>
        <w:rPr>
          <w:rFonts w:hint="eastAsia" w:ascii="黑体" w:hAnsi="黑体" w:eastAsia="黑体" w:cs="黑体"/>
          <w:sz w:val="44"/>
          <w:szCs w:val="44"/>
        </w:rPr>
        <w:t>2020年度罗山县产业集聚区管理委员会</w:t>
      </w:r>
    </w:p>
    <w:p>
      <w:pPr>
        <w:ind w:firstLine="2420" w:firstLineChars="550"/>
        <w:rPr>
          <w:rFonts w:ascii="黑体" w:hAnsi="黑体" w:eastAsia="黑体" w:cs="黑体"/>
          <w:sz w:val="44"/>
          <w:szCs w:val="44"/>
        </w:rPr>
      </w:pPr>
      <w:r>
        <w:rPr>
          <w:rFonts w:hint="eastAsia" w:ascii="黑体" w:hAnsi="黑体" w:eastAsia="黑体" w:cs="黑体"/>
          <w:sz w:val="44"/>
          <w:szCs w:val="44"/>
        </w:rPr>
        <w:t>部门决算公开</w:t>
      </w: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r>
        <w:rPr>
          <w:rFonts w:hint="eastAsia" w:ascii="黑体" w:hAnsi="黑体" w:eastAsia="黑体" w:cs="黑体"/>
          <w:sz w:val="36"/>
          <w:szCs w:val="36"/>
        </w:rPr>
        <w:t>目　　录</w:t>
      </w:r>
    </w:p>
    <w:p>
      <w:pPr>
        <w:jc w:val="center"/>
        <w:rPr>
          <w:rFonts w:ascii="黑体" w:hAnsi="黑体" w:eastAsia="黑体" w:cs="黑体"/>
          <w:sz w:val="36"/>
          <w:szCs w:val="36"/>
        </w:rPr>
      </w:pPr>
    </w:p>
    <w:p>
      <w:pPr>
        <w:rPr>
          <w:rFonts w:ascii="黑体" w:hAnsi="黑体" w:eastAsia="黑体" w:cs="黑体"/>
          <w:sz w:val="32"/>
          <w:szCs w:val="32"/>
        </w:rPr>
      </w:pPr>
      <w:r>
        <w:rPr>
          <w:rFonts w:hint="eastAsia" w:ascii="黑体" w:hAnsi="黑体" w:eastAsia="黑体" w:cs="黑体"/>
          <w:sz w:val="32"/>
          <w:szCs w:val="32"/>
        </w:rPr>
        <w:t>第一部分　罗山县产业集聚区管理委员会概况</w:t>
      </w:r>
    </w:p>
    <w:p>
      <w:pPr>
        <w:widowControl w:val="0"/>
        <w:numPr>
          <w:ilvl w:val="0"/>
          <w:numId w:val="1"/>
        </w:numPr>
        <w:ind w:firstLine="640" w:firstLineChars="200"/>
        <w:rPr>
          <w:sz w:val="32"/>
          <w:szCs w:val="32"/>
        </w:rPr>
      </w:pPr>
      <w:r>
        <w:rPr>
          <w:rFonts w:hint="eastAsia"/>
          <w:sz w:val="32"/>
          <w:szCs w:val="32"/>
        </w:rPr>
        <w:t>部门职责</w:t>
      </w:r>
    </w:p>
    <w:p>
      <w:pPr>
        <w:widowControl w:val="0"/>
        <w:numPr>
          <w:ilvl w:val="0"/>
          <w:numId w:val="1"/>
        </w:numPr>
        <w:ind w:firstLine="640" w:firstLineChars="200"/>
        <w:rPr>
          <w:sz w:val="32"/>
          <w:szCs w:val="32"/>
        </w:rPr>
      </w:pPr>
      <w:r>
        <w:rPr>
          <w:rFonts w:hint="eastAsia"/>
          <w:sz w:val="32"/>
          <w:szCs w:val="32"/>
        </w:rPr>
        <w:t>机构设置</w:t>
      </w:r>
    </w:p>
    <w:p>
      <w:pPr>
        <w:rPr>
          <w:rFonts w:ascii="黑体" w:hAnsi="黑体" w:eastAsia="黑体" w:cs="黑体"/>
          <w:sz w:val="32"/>
          <w:szCs w:val="32"/>
        </w:rPr>
      </w:pPr>
      <w:r>
        <w:rPr>
          <w:rFonts w:hint="eastAsia" w:ascii="黑体" w:hAnsi="黑体" w:eastAsia="黑体" w:cs="黑体"/>
          <w:sz w:val="32"/>
          <w:szCs w:val="32"/>
        </w:rPr>
        <w:t>第二部分　　2020年度部门决算情况说明</w:t>
      </w:r>
    </w:p>
    <w:p>
      <w:pPr>
        <w:ind w:firstLine="640" w:firstLineChars="200"/>
        <w:rPr>
          <w:sz w:val="32"/>
          <w:szCs w:val="32"/>
        </w:rPr>
      </w:pPr>
      <w:r>
        <w:rPr>
          <w:rFonts w:hint="eastAsia"/>
          <w:sz w:val="32"/>
          <w:szCs w:val="32"/>
        </w:rPr>
        <w:t>一、收入支出决算总体情况说明</w:t>
      </w:r>
    </w:p>
    <w:p>
      <w:pPr>
        <w:ind w:firstLine="640" w:firstLineChars="200"/>
        <w:rPr>
          <w:sz w:val="32"/>
          <w:szCs w:val="32"/>
        </w:rPr>
      </w:pPr>
      <w:r>
        <w:rPr>
          <w:rFonts w:hint="eastAsia"/>
          <w:sz w:val="32"/>
          <w:szCs w:val="32"/>
        </w:rPr>
        <w:t>二、收入决算情况说明</w:t>
      </w:r>
    </w:p>
    <w:p>
      <w:pPr>
        <w:ind w:firstLine="640" w:firstLineChars="200"/>
        <w:rPr>
          <w:sz w:val="32"/>
          <w:szCs w:val="32"/>
        </w:rPr>
      </w:pPr>
      <w:r>
        <w:rPr>
          <w:rFonts w:hint="eastAsia"/>
          <w:sz w:val="32"/>
          <w:szCs w:val="32"/>
        </w:rPr>
        <w:t>三、支出决算情况说明</w:t>
      </w:r>
    </w:p>
    <w:p>
      <w:pPr>
        <w:ind w:firstLine="640" w:firstLineChars="200"/>
        <w:rPr>
          <w:sz w:val="32"/>
          <w:szCs w:val="32"/>
        </w:rPr>
      </w:pPr>
      <w:r>
        <w:rPr>
          <w:rFonts w:hint="eastAsia"/>
          <w:sz w:val="32"/>
          <w:szCs w:val="32"/>
        </w:rPr>
        <w:t>四、财政拨款收入支出决算总体情况说明</w:t>
      </w:r>
    </w:p>
    <w:p>
      <w:pPr>
        <w:ind w:firstLine="640" w:firstLineChars="200"/>
        <w:rPr>
          <w:sz w:val="32"/>
          <w:szCs w:val="32"/>
        </w:rPr>
      </w:pPr>
      <w:r>
        <w:rPr>
          <w:rFonts w:hint="eastAsia"/>
          <w:sz w:val="32"/>
          <w:szCs w:val="32"/>
        </w:rPr>
        <w:t>五、一般公共预算财政拨款支出决算情况说明</w:t>
      </w:r>
    </w:p>
    <w:p>
      <w:pPr>
        <w:ind w:firstLine="640" w:firstLineChars="200"/>
        <w:rPr>
          <w:sz w:val="32"/>
          <w:szCs w:val="32"/>
        </w:rPr>
      </w:pPr>
      <w:r>
        <w:rPr>
          <w:rFonts w:hint="eastAsia"/>
          <w:sz w:val="32"/>
          <w:szCs w:val="32"/>
        </w:rPr>
        <w:t>六、一般公共预算财政拨款基本支出决算情况说明</w:t>
      </w:r>
    </w:p>
    <w:p>
      <w:pPr>
        <w:ind w:firstLine="640" w:firstLineChars="200"/>
        <w:rPr>
          <w:sz w:val="32"/>
          <w:szCs w:val="32"/>
        </w:rPr>
      </w:pPr>
      <w:r>
        <w:rPr>
          <w:rFonts w:hint="eastAsia"/>
          <w:sz w:val="32"/>
          <w:szCs w:val="32"/>
        </w:rPr>
        <w:t>七、一般公共预算财政拨款“三公”经费支出决算情况说明</w:t>
      </w:r>
    </w:p>
    <w:p>
      <w:pPr>
        <w:ind w:firstLine="640" w:firstLineChars="200"/>
        <w:rPr>
          <w:sz w:val="32"/>
          <w:szCs w:val="32"/>
        </w:rPr>
      </w:pPr>
      <w:r>
        <w:rPr>
          <w:rFonts w:hint="eastAsia"/>
          <w:sz w:val="32"/>
          <w:szCs w:val="32"/>
        </w:rPr>
        <w:t>八、预算绩效情况说明</w:t>
      </w:r>
    </w:p>
    <w:p>
      <w:pPr>
        <w:ind w:firstLine="640" w:firstLineChars="200"/>
        <w:rPr>
          <w:sz w:val="32"/>
          <w:szCs w:val="32"/>
        </w:rPr>
      </w:pPr>
      <w:r>
        <w:rPr>
          <w:rFonts w:hint="eastAsia"/>
          <w:sz w:val="32"/>
          <w:szCs w:val="32"/>
        </w:rPr>
        <w:t>九、政府性基金预算财政拨款支出决算情况说明</w:t>
      </w:r>
    </w:p>
    <w:p>
      <w:pPr>
        <w:ind w:firstLine="640" w:firstLineChars="200"/>
        <w:rPr>
          <w:sz w:val="32"/>
          <w:szCs w:val="32"/>
        </w:rPr>
      </w:pPr>
      <w:r>
        <w:rPr>
          <w:rFonts w:hint="eastAsia"/>
          <w:sz w:val="32"/>
          <w:szCs w:val="32"/>
        </w:rPr>
        <w:t>十、机关运行经费支出情况说明</w:t>
      </w:r>
    </w:p>
    <w:p>
      <w:pPr>
        <w:ind w:firstLine="640" w:firstLineChars="200"/>
        <w:rPr>
          <w:sz w:val="32"/>
          <w:szCs w:val="32"/>
        </w:rPr>
      </w:pPr>
      <w:r>
        <w:rPr>
          <w:rFonts w:hint="eastAsia"/>
          <w:sz w:val="32"/>
          <w:szCs w:val="32"/>
        </w:rPr>
        <w:t>十一、政府采购支出情况说明</w:t>
      </w:r>
    </w:p>
    <w:p>
      <w:pPr>
        <w:ind w:firstLine="640" w:firstLineChars="200"/>
        <w:rPr>
          <w:sz w:val="32"/>
          <w:szCs w:val="32"/>
        </w:rPr>
      </w:pPr>
      <w:r>
        <w:rPr>
          <w:rFonts w:hint="eastAsia"/>
          <w:sz w:val="32"/>
          <w:szCs w:val="32"/>
        </w:rPr>
        <w:t>十二、国有资产占用情况说明</w:t>
      </w: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第三部分　　名词解释</w:t>
      </w:r>
    </w:p>
    <w:p>
      <w:pPr>
        <w:rPr>
          <w:rFonts w:ascii="黑体" w:hAnsi="黑体" w:eastAsia="黑体" w:cs="黑体"/>
          <w:sz w:val="32"/>
          <w:szCs w:val="32"/>
        </w:rPr>
      </w:pPr>
      <w:r>
        <w:rPr>
          <w:rFonts w:hint="eastAsia" w:ascii="黑体" w:hAnsi="黑体" w:eastAsia="黑体" w:cs="黑体"/>
          <w:sz w:val="32"/>
          <w:szCs w:val="32"/>
        </w:rPr>
        <w:t>第四部分　　2020年度部门决算表（Excel表格形式）</w:t>
      </w:r>
    </w:p>
    <w:p>
      <w:pPr>
        <w:ind w:firstLine="640" w:firstLineChars="200"/>
        <w:rPr>
          <w:sz w:val="32"/>
          <w:szCs w:val="32"/>
        </w:rPr>
      </w:pPr>
    </w:p>
    <w:p>
      <w:pPr>
        <w:ind w:firstLine="640" w:firstLineChars="200"/>
        <w:rPr>
          <w:sz w:val="32"/>
          <w:szCs w:val="32"/>
        </w:rPr>
      </w:pPr>
      <w:r>
        <w:rPr>
          <w:rFonts w:hint="eastAsia"/>
          <w:sz w:val="32"/>
          <w:szCs w:val="32"/>
        </w:rPr>
        <w:t>一、收入支出决算总表</w:t>
      </w:r>
    </w:p>
    <w:p>
      <w:pPr>
        <w:ind w:firstLine="640" w:firstLineChars="200"/>
        <w:rPr>
          <w:sz w:val="32"/>
          <w:szCs w:val="32"/>
        </w:rPr>
      </w:pPr>
      <w:r>
        <w:rPr>
          <w:rFonts w:hint="eastAsia"/>
          <w:sz w:val="32"/>
          <w:szCs w:val="32"/>
        </w:rPr>
        <w:t>二、收入决算表</w:t>
      </w:r>
    </w:p>
    <w:p>
      <w:pPr>
        <w:ind w:firstLine="640" w:firstLineChars="200"/>
        <w:rPr>
          <w:sz w:val="32"/>
          <w:szCs w:val="32"/>
        </w:rPr>
      </w:pPr>
      <w:r>
        <w:rPr>
          <w:rFonts w:hint="eastAsia"/>
          <w:sz w:val="32"/>
          <w:szCs w:val="32"/>
        </w:rPr>
        <w:t>三、支出决算表</w:t>
      </w:r>
    </w:p>
    <w:p>
      <w:pPr>
        <w:ind w:firstLine="640" w:firstLineChars="200"/>
        <w:rPr>
          <w:sz w:val="32"/>
          <w:szCs w:val="32"/>
        </w:rPr>
      </w:pPr>
      <w:r>
        <w:rPr>
          <w:rFonts w:hint="eastAsia"/>
          <w:sz w:val="32"/>
          <w:szCs w:val="32"/>
        </w:rPr>
        <w:t>四、财政拨款收入支出决算总表</w:t>
      </w:r>
    </w:p>
    <w:p>
      <w:pPr>
        <w:ind w:firstLine="640" w:firstLineChars="200"/>
        <w:rPr>
          <w:sz w:val="32"/>
          <w:szCs w:val="32"/>
        </w:rPr>
      </w:pPr>
      <w:r>
        <w:rPr>
          <w:rFonts w:hint="eastAsia"/>
          <w:sz w:val="32"/>
          <w:szCs w:val="32"/>
        </w:rPr>
        <w:t>五、一般公共预算财政拨款支出决算表</w:t>
      </w:r>
    </w:p>
    <w:p>
      <w:pPr>
        <w:ind w:firstLine="640" w:firstLineChars="200"/>
        <w:rPr>
          <w:sz w:val="32"/>
          <w:szCs w:val="32"/>
        </w:rPr>
      </w:pPr>
      <w:r>
        <w:rPr>
          <w:rFonts w:hint="eastAsia"/>
          <w:sz w:val="32"/>
          <w:szCs w:val="32"/>
        </w:rPr>
        <w:t>六、一般公共预算财政拨款基本支出决算表</w:t>
      </w:r>
    </w:p>
    <w:p>
      <w:pPr>
        <w:ind w:firstLine="640" w:firstLineChars="200"/>
        <w:rPr>
          <w:sz w:val="32"/>
          <w:szCs w:val="32"/>
        </w:rPr>
      </w:pPr>
      <w:r>
        <w:rPr>
          <w:rFonts w:hint="eastAsia"/>
          <w:sz w:val="32"/>
          <w:szCs w:val="32"/>
        </w:rPr>
        <w:t>七、一般公共预算财政拨款“三公”经费支出决算表</w:t>
      </w:r>
    </w:p>
    <w:p>
      <w:pPr>
        <w:ind w:firstLine="640" w:firstLineChars="200"/>
        <w:rPr>
          <w:rFonts w:ascii="黑体" w:hAnsi="黑体" w:eastAsia="黑体" w:cs="黑体"/>
          <w:sz w:val="44"/>
          <w:szCs w:val="44"/>
        </w:rPr>
      </w:pPr>
      <w:r>
        <w:rPr>
          <w:rFonts w:hint="eastAsia"/>
          <w:sz w:val="32"/>
          <w:szCs w:val="32"/>
        </w:rPr>
        <w:t>八、政府性基金预算财政拨款收入支出决算表</w:t>
      </w: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rPr>
          <w:rFonts w:ascii="黑体" w:hAnsi="黑体" w:eastAsia="黑体" w:cs="黑体"/>
          <w:sz w:val="44"/>
          <w:szCs w:val="44"/>
        </w:rPr>
      </w:pPr>
    </w:p>
    <w:p>
      <w:pPr>
        <w:jc w:val="center"/>
        <w:rPr>
          <w:rFonts w:ascii="黑体" w:hAnsi="黑体" w:eastAsia="黑体" w:cs="黑体"/>
          <w:sz w:val="36"/>
          <w:szCs w:val="36"/>
        </w:rPr>
      </w:pPr>
      <w:r>
        <w:rPr>
          <w:rFonts w:hint="eastAsia" w:ascii="黑体" w:hAnsi="黑体" w:eastAsia="黑体" w:cs="黑体"/>
          <w:sz w:val="44"/>
          <w:szCs w:val="44"/>
        </w:rPr>
        <w:t>第一部分　　</w:t>
      </w:r>
      <w:r>
        <w:rPr>
          <w:rFonts w:hint="eastAsia" w:ascii="黑体" w:hAnsi="黑体" w:eastAsia="黑体" w:cs="黑体"/>
          <w:sz w:val="36"/>
          <w:szCs w:val="36"/>
        </w:rPr>
        <w:t>罗山县产业集聚区管理委员会概况</w:t>
      </w:r>
    </w:p>
    <w:p>
      <w:pPr>
        <w:rPr>
          <w:rFonts w:ascii="黑体" w:hAnsi="黑体" w:eastAsia="黑体" w:cs="黑体"/>
          <w:sz w:val="32"/>
          <w:szCs w:val="32"/>
        </w:rPr>
      </w:pPr>
    </w:p>
    <w:p>
      <w:pPr>
        <w:rPr>
          <w:rFonts w:ascii="黑体" w:hAnsi="黑体" w:eastAsia="黑体" w:cs="黑体"/>
          <w:bCs/>
          <w:sz w:val="32"/>
          <w:szCs w:val="32"/>
        </w:rPr>
      </w:pPr>
      <w:r>
        <w:rPr>
          <w:rFonts w:hint="eastAsia" w:ascii="黑体" w:hAnsi="黑体" w:eastAsia="黑体" w:cs="黑体"/>
          <w:sz w:val="32"/>
          <w:szCs w:val="32"/>
        </w:rPr>
        <w:t>一、部门</w:t>
      </w:r>
      <w:r>
        <w:rPr>
          <w:rFonts w:hint="eastAsia" w:ascii="黑体" w:hAnsi="黑体" w:eastAsia="黑体" w:cs="黑体"/>
          <w:bCs/>
          <w:sz w:val="32"/>
          <w:szCs w:val="32"/>
        </w:rPr>
        <w:t>职责</w:t>
      </w:r>
    </w:p>
    <w:p>
      <w:pPr>
        <w:rPr>
          <w:rFonts w:asciiTheme="minorEastAsia" w:hAnsiTheme="minorEastAsia" w:eastAsiaTheme="minorEastAsia"/>
          <w:sz w:val="32"/>
          <w:szCs w:val="32"/>
        </w:rPr>
      </w:pPr>
      <w:r>
        <w:rPr>
          <w:rFonts w:hint="eastAsia" w:asciiTheme="minorEastAsia" w:hAnsiTheme="minorEastAsia" w:eastAsiaTheme="minorEastAsia"/>
          <w:sz w:val="32"/>
          <w:szCs w:val="32"/>
        </w:rPr>
        <w:t>（一）负责党的路线、方针、政策和县委、县政府重大决策在产业集聚区的贯彻落实；负责制定产业集聚区的行政管理规定并组织实施。</w:t>
      </w:r>
    </w:p>
    <w:p>
      <w:pPr>
        <w:widowControl w:val="0"/>
        <w:numPr>
          <w:ilvl w:val="0"/>
          <w:numId w:val="2"/>
        </w:numPr>
        <w:jc w:val="both"/>
        <w:rPr>
          <w:rFonts w:asciiTheme="minorEastAsia" w:hAnsiTheme="minorEastAsia" w:eastAsiaTheme="minorEastAsia"/>
          <w:sz w:val="32"/>
          <w:szCs w:val="32"/>
        </w:rPr>
      </w:pPr>
      <w:r>
        <w:rPr>
          <w:rFonts w:hint="eastAsia" w:asciiTheme="minorEastAsia" w:hAnsiTheme="minorEastAsia" w:eastAsiaTheme="minorEastAsia"/>
          <w:sz w:val="32"/>
          <w:szCs w:val="32"/>
        </w:rPr>
        <w:t>负责编制产业集聚区的经济、社会发展规划，经县政府批准后实施；负责各类产业、公司的布局、规划并组织实施；负责制定产业集聚区区域用地、融资、财税、招商引资、人才引进等优惠政策，并组织实施。</w:t>
      </w:r>
    </w:p>
    <w:p>
      <w:pPr>
        <w:widowControl w:val="0"/>
        <w:numPr>
          <w:ilvl w:val="0"/>
          <w:numId w:val="2"/>
        </w:numPr>
        <w:jc w:val="both"/>
        <w:rPr>
          <w:rFonts w:asciiTheme="minorEastAsia" w:hAnsiTheme="minorEastAsia" w:eastAsiaTheme="minorEastAsia"/>
          <w:sz w:val="32"/>
          <w:szCs w:val="32"/>
        </w:rPr>
      </w:pPr>
      <w:r>
        <w:rPr>
          <w:rFonts w:hint="eastAsia" w:asciiTheme="minorEastAsia" w:hAnsiTheme="minorEastAsia" w:eastAsiaTheme="minorEastAsia"/>
          <w:sz w:val="32"/>
          <w:szCs w:val="32"/>
        </w:rPr>
        <w:t>负责在罗山县城镇总体规划框架内组织编制产业集聚区的详细规划并实施。</w:t>
      </w:r>
    </w:p>
    <w:p>
      <w:pPr>
        <w:widowControl w:val="0"/>
        <w:numPr>
          <w:ilvl w:val="0"/>
          <w:numId w:val="2"/>
        </w:numPr>
        <w:jc w:val="both"/>
        <w:rPr>
          <w:rFonts w:asciiTheme="minorEastAsia" w:hAnsiTheme="minorEastAsia" w:eastAsiaTheme="minorEastAsia"/>
          <w:sz w:val="32"/>
          <w:szCs w:val="32"/>
        </w:rPr>
      </w:pPr>
      <w:r>
        <w:rPr>
          <w:rFonts w:hint="eastAsia" w:asciiTheme="minorEastAsia" w:hAnsiTheme="minorEastAsia" w:eastAsiaTheme="minorEastAsia"/>
          <w:sz w:val="32"/>
          <w:szCs w:val="32"/>
        </w:rPr>
        <w:t>会同国土资源局，制定产业集聚区内土地供给方案，与企业签订土地出让合同，核发土地权证等；负责产业集聚区内各项基础设施和公共设施的同意规划、建设与管理工作。</w:t>
      </w:r>
    </w:p>
    <w:p>
      <w:pPr>
        <w:widowControl w:val="0"/>
        <w:numPr>
          <w:ilvl w:val="0"/>
          <w:numId w:val="2"/>
        </w:numPr>
        <w:jc w:val="both"/>
        <w:rPr>
          <w:rFonts w:asciiTheme="minorEastAsia" w:hAnsiTheme="minorEastAsia" w:eastAsiaTheme="minorEastAsia"/>
          <w:sz w:val="32"/>
          <w:szCs w:val="32"/>
        </w:rPr>
      </w:pPr>
      <w:r>
        <w:rPr>
          <w:rFonts w:hint="eastAsia" w:asciiTheme="minorEastAsia" w:hAnsiTheme="minorEastAsia" w:eastAsiaTheme="minorEastAsia"/>
          <w:sz w:val="32"/>
          <w:szCs w:val="32"/>
        </w:rPr>
        <w:t>负责产业集聚区内各企业、公司的服务工作。</w:t>
      </w:r>
    </w:p>
    <w:p>
      <w:pPr>
        <w:widowControl w:val="0"/>
        <w:numPr>
          <w:ilvl w:val="0"/>
          <w:numId w:val="2"/>
        </w:numPr>
        <w:jc w:val="both"/>
        <w:rPr>
          <w:rFonts w:asciiTheme="minorEastAsia" w:hAnsiTheme="minorEastAsia" w:eastAsiaTheme="minorEastAsia"/>
          <w:sz w:val="32"/>
          <w:szCs w:val="32"/>
        </w:rPr>
      </w:pPr>
      <w:r>
        <w:rPr>
          <w:rFonts w:hint="eastAsia" w:asciiTheme="minorEastAsia" w:hAnsiTheme="minorEastAsia" w:eastAsiaTheme="minorEastAsia"/>
          <w:sz w:val="32"/>
          <w:szCs w:val="32"/>
        </w:rPr>
        <w:t>承办县委、县政府交办的其他工作。</w:t>
      </w:r>
    </w:p>
    <w:p>
      <w:pPr>
        <w:ind w:firstLine="640" w:firstLineChars="200"/>
        <w:outlineLvl w:val="1"/>
        <w:rPr>
          <w:rFonts w:ascii="黑体" w:hAnsi="黑体" w:eastAsia="黑体" w:cs="黑体"/>
          <w:sz w:val="32"/>
          <w:szCs w:val="32"/>
        </w:rPr>
      </w:pPr>
      <w:r>
        <w:rPr>
          <w:rFonts w:hint="eastAsia" w:ascii="黑体" w:hAnsi="黑体" w:eastAsia="黑体" w:cs="黑体"/>
          <w:sz w:val="32"/>
          <w:szCs w:val="32"/>
        </w:rPr>
        <w:t>二、机构设置</w:t>
      </w:r>
    </w:p>
    <w:p>
      <w:pPr>
        <w:widowControl w:val="0"/>
        <w:numPr>
          <w:ilvl w:val="0"/>
          <w:numId w:val="3"/>
        </w:numPr>
        <w:autoSpaceDE w:val="0"/>
        <w:spacing w:line="480" w:lineRule="auto"/>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罗山县产业集聚区管理委员会</w:t>
      </w:r>
      <w:r>
        <w:rPr>
          <w:rFonts w:hint="eastAsia" w:cs="仿宋_GB2312" w:asciiTheme="minorEastAsia" w:hAnsiTheme="minorEastAsia" w:eastAsiaTheme="minorEastAsia"/>
          <w:sz w:val="32"/>
          <w:szCs w:val="32"/>
        </w:rPr>
        <w:t>内设机构5个，包括：</w:t>
      </w:r>
      <w:r>
        <w:rPr>
          <w:rFonts w:hint="eastAsia" w:asciiTheme="minorEastAsia" w:hAnsiTheme="minorEastAsia" w:eastAsiaTheme="minorEastAsia"/>
          <w:sz w:val="32"/>
          <w:szCs w:val="32"/>
        </w:rPr>
        <w:t>综合办公室,招商股,企业服务股,规划基建股，统计办公室。</w:t>
      </w:r>
    </w:p>
    <w:p>
      <w:pPr>
        <w:ind w:firstLine="640" w:firstLineChars="2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从决算单位构成看，产业集聚区管理委员会部门决算</w:t>
      </w:r>
      <w:r>
        <w:rPr>
          <w:rFonts w:hint="eastAsia" w:cs="仿宋_GB2312" w:asciiTheme="minorEastAsia" w:hAnsiTheme="minorEastAsia" w:eastAsiaTheme="minorEastAsia"/>
          <w:sz w:val="32"/>
          <w:szCs w:val="32"/>
          <w:lang w:val="en-US" w:eastAsia="zh-CN"/>
        </w:rPr>
        <w:t>为</w:t>
      </w:r>
      <w:r>
        <w:rPr>
          <w:rFonts w:hint="eastAsia" w:cs="仿宋_GB2312" w:asciiTheme="minorEastAsia" w:hAnsiTheme="minorEastAsia" w:eastAsiaTheme="minorEastAsia"/>
          <w:sz w:val="32"/>
          <w:szCs w:val="32"/>
        </w:rPr>
        <w:t>本级决算。</w:t>
      </w:r>
    </w:p>
    <w:p>
      <w:pPr>
        <w:ind w:firstLine="640" w:firstLineChars="200"/>
        <w:rPr>
          <w:rFonts w:ascii="仿宋_GB2312"/>
          <w:color w:val="000000"/>
          <w:sz w:val="32"/>
          <w:szCs w:val="32"/>
        </w:rPr>
      </w:pPr>
      <w:r>
        <w:rPr>
          <w:rFonts w:hint="eastAsia"/>
          <w:color w:val="000000"/>
          <w:sz w:val="32"/>
          <w:szCs w:val="32"/>
        </w:rPr>
        <w:t>纳入本部门2020年度部门决算编制范围的单位1个，没有二级决算单位，具体是：罗山县产业集聚区管理委员会本级。</w:t>
      </w:r>
    </w:p>
    <w:p>
      <w:pPr>
        <w:jc w:val="center"/>
        <w:rPr>
          <w:rFonts w:ascii="黑体" w:hAnsi="黑体" w:eastAsia="黑体" w:cs="黑体"/>
          <w:sz w:val="32"/>
          <w:szCs w:val="32"/>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ascii="黑体" w:hAnsi="黑体" w:eastAsia="黑体" w:cs="黑体"/>
          <w:sz w:val="44"/>
          <w:szCs w:val="44"/>
        </w:rPr>
      </w:pPr>
      <w:r>
        <w:rPr>
          <w:rFonts w:hint="eastAsia" w:ascii="黑体" w:hAnsi="黑体" w:eastAsia="黑体" w:cs="黑体"/>
          <w:sz w:val="44"/>
          <w:szCs w:val="44"/>
        </w:rPr>
        <w:t>第二部分产业集聚区管理委员会2020年度部门决算情况说明</w:t>
      </w:r>
    </w:p>
    <w:p>
      <w:pPr>
        <w:ind w:firstLine="3080" w:firstLineChars="700"/>
        <w:jc w:val="both"/>
        <w:rPr>
          <w:rFonts w:ascii="黑体" w:hAnsi="黑体" w:eastAsia="黑体" w:cs="黑体"/>
          <w:sz w:val="44"/>
          <w:szCs w:val="44"/>
        </w:rPr>
      </w:pPr>
    </w:p>
    <w:p>
      <w:pPr>
        <w:pStyle w:val="8"/>
        <w:shd w:val="clear" w:color="auto" w:fill="FFFFFF"/>
        <w:ind w:left="161" w:leftChars="67" w:firstLine="480" w:firstLineChars="150"/>
        <w:rPr>
          <w:rFonts w:ascii="仿宋_GB2312" w:eastAsia="仿宋_GB2312"/>
          <w:sz w:val="32"/>
          <w:szCs w:val="32"/>
        </w:rPr>
      </w:pPr>
      <w:r>
        <w:rPr>
          <w:rFonts w:hint="eastAsia" w:ascii="仿宋_GB2312" w:eastAsia="仿宋_GB2312"/>
          <w:sz w:val="32"/>
          <w:szCs w:val="32"/>
        </w:rPr>
        <w:t>一、收入支出决算总体情况说明</w:t>
      </w:r>
    </w:p>
    <w:p>
      <w:pPr>
        <w:pStyle w:val="8"/>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2020年度收、支总计均为224.46万元。与上年度相比，收、支总计各减少18.53万元，下 降8.26%。主要是上年补缴人员准备期养老金。</w:t>
      </w:r>
    </w:p>
    <w:p>
      <w:pPr>
        <w:pStyle w:val="8"/>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二、收入决算情况说明</w:t>
      </w:r>
    </w:p>
    <w:p>
      <w:pPr>
        <w:pStyle w:val="8"/>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年度收入合计224.46万元，其中：财政拨款收入224.46万元，占100%。</w:t>
      </w:r>
    </w:p>
    <w:p>
      <w:pPr>
        <w:pStyle w:val="8"/>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三、支出决算情况说明</w:t>
      </w:r>
    </w:p>
    <w:p>
      <w:pPr>
        <w:pStyle w:val="8"/>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2020年度支出合计224.46万元，其中：基本支出224.46万元，占100.00%。</w:t>
      </w:r>
    </w:p>
    <w:p>
      <w:pPr>
        <w:pStyle w:val="8"/>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四、财政拨款收入支出决算总体情况说明</w:t>
      </w:r>
    </w:p>
    <w:p>
      <w:pPr>
        <w:pStyle w:val="8"/>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2020年度财政拨款收、支总计均为224.46万元。与上年度相比，财政拨款收、支总计各减 少18.53万元，下 降8.26%。主要是上年补缴人员准备期养老金。</w:t>
      </w:r>
    </w:p>
    <w:p>
      <w:pPr>
        <w:pStyle w:val="8"/>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五、一般公共预算财政拨款支出决算情况说明</w:t>
      </w:r>
    </w:p>
    <w:p>
      <w:pPr>
        <w:pStyle w:val="8"/>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（一）总体情况。</w:t>
      </w:r>
    </w:p>
    <w:p>
      <w:pPr>
        <w:pStyle w:val="8"/>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2020年度一般公共预算财政拨款支出224.46万元，占支出合计的100%。与上年度相比，一般公共预算财政拨款支出增加减少18.53万元，下降8.26%。主要是上年补缴人员准备期养老金。</w:t>
      </w:r>
    </w:p>
    <w:p>
      <w:pPr>
        <w:pStyle w:val="8"/>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（二）结构情况。</w:t>
      </w:r>
    </w:p>
    <w:p>
      <w:pPr>
        <w:pStyle w:val="8"/>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2020年度一般公共预算财政拨款支出224.46万元，主要用于以下方面：一般公共服务（类）支出199.22万元，占88.76%；</w:t>
      </w:r>
      <w:r>
        <w:rPr>
          <w:rFonts w:hint="eastAsia" w:ascii="仿宋" w:hAnsi="仿宋" w:eastAsia="仿宋"/>
          <w:b/>
          <w:color w:val="000000"/>
          <w:sz w:val="32"/>
          <w:szCs w:val="32"/>
        </w:rPr>
        <w:t>社会保障和就业</w:t>
      </w:r>
      <w:r>
        <w:rPr>
          <w:rFonts w:hint="eastAsia" w:ascii="仿宋" w:hAnsi="仿宋" w:eastAsia="仿宋" w:cs="仿宋_GB2312"/>
          <w:b/>
          <w:sz w:val="32"/>
          <w:szCs w:val="32"/>
        </w:rPr>
        <w:t>（类）</w:t>
      </w:r>
      <w:r>
        <w:rPr>
          <w:rFonts w:hint="eastAsia" w:ascii="仿宋" w:hAnsi="仿宋" w:eastAsia="仿宋"/>
          <w:b/>
          <w:color w:val="000000"/>
          <w:sz w:val="32"/>
          <w:szCs w:val="32"/>
        </w:rPr>
        <w:t>支出</w:t>
      </w:r>
      <w:r>
        <w:rPr>
          <w:rFonts w:hint="eastAsia" w:ascii="仿宋_GB2312" w:hAnsi="仿宋_GB2312" w:eastAsia="仿宋_GB2312" w:cs="仿宋_GB2312"/>
          <w:sz w:val="32"/>
          <w:szCs w:val="32"/>
        </w:rPr>
        <w:t>11.32万元，占5.04%。</w:t>
      </w:r>
      <w:r>
        <w:rPr>
          <w:rFonts w:hint="eastAsia" w:ascii="仿宋" w:hAnsi="仿宋" w:eastAsia="仿宋"/>
          <w:b/>
          <w:color w:val="000000"/>
          <w:sz w:val="32"/>
          <w:szCs w:val="32"/>
        </w:rPr>
        <w:t>医疗卫生与计划生育</w:t>
      </w:r>
      <w:r>
        <w:rPr>
          <w:rFonts w:hint="eastAsia" w:ascii="仿宋" w:hAnsi="仿宋" w:eastAsia="仿宋" w:cs="仿宋_GB2312"/>
          <w:b/>
          <w:sz w:val="32"/>
          <w:szCs w:val="32"/>
        </w:rPr>
        <w:t>（类）</w:t>
      </w:r>
      <w:r>
        <w:rPr>
          <w:rFonts w:hint="eastAsia" w:ascii="仿宋" w:hAnsi="仿宋" w:eastAsia="仿宋"/>
          <w:b/>
          <w:color w:val="000000"/>
          <w:sz w:val="32"/>
          <w:szCs w:val="32"/>
        </w:rPr>
        <w:t>支出</w:t>
      </w:r>
      <w:r>
        <w:rPr>
          <w:rFonts w:hint="eastAsia" w:ascii="仿宋_GB2312" w:hAnsi="仿宋_GB2312" w:eastAsia="仿宋_GB2312" w:cs="仿宋_GB2312"/>
          <w:sz w:val="32"/>
          <w:szCs w:val="32"/>
        </w:rPr>
        <w:t>5.58万元，占2.49%。</w:t>
      </w:r>
      <w:r>
        <w:rPr>
          <w:rFonts w:hint="eastAsia" w:ascii="仿宋" w:hAnsi="仿宋" w:eastAsia="仿宋"/>
          <w:b/>
          <w:color w:val="000000"/>
          <w:sz w:val="32"/>
          <w:szCs w:val="32"/>
        </w:rPr>
        <w:t xml:space="preserve">  住房保障</w:t>
      </w:r>
      <w:r>
        <w:rPr>
          <w:rFonts w:hint="eastAsia" w:ascii="仿宋" w:hAnsi="仿宋" w:eastAsia="仿宋" w:cs="仿宋_GB2312"/>
          <w:b/>
          <w:sz w:val="32"/>
          <w:szCs w:val="32"/>
        </w:rPr>
        <w:t>（类）</w:t>
      </w:r>
      <w:r>
        <w:rPr>
          <w:rFonts w:hint="eastAsia" w:ascii="仿宋" w:hAnsi="仿宋" w:eastAsia="仿宋"/>
          <w:b/>
          <w:color w:val="000000"/>
          <w:sz w:val="32"/>
          <w:szCs w:val="32"/>
        </w:rPr>
        <w:t>支出</w:t>
      </w:r>
      <w:r>
        <w:rPr>
          <w:rFonts w:hint="eastAsia" w:ascii="仿宋_GB2312" w:hAnsi="仿宋_GB2312" w:eastAsia="仿宋_GB2312" w:cs="仿宋_GB2312"/>
          <w:sz w:val="32"/>
          <w:szCs w:val="32"/>
        </w:rPr>
        <w:t>8.34万元，占3.71%。</w:t>
      </w:r>
    </w:p>
    <w:p>
      <w:pPr>
        <w:pStyle w:val="8"/>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（三）具体情况。</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2020 年度一般公共预算财政拨款支出年初预算为</w:t>
      </w:r>
      <w:r>
        <w:rPr>
          <w:rFonts w:hint="eastAsia" w:ascii="仿宋_GB2312" w:eastAsia="仿宋_GB2312"/>
          <w:color w:val="000000" w:themeColor="text1"/>
          <w:sz w:val="32"/>
          <w:szCs w:val="32"/>
        </w:rPr>
        <w:t>178</w:t>
      </w:r>
      <w:r>
        <w:rPr>
          <w:rFonts w:hint="eastAsia" w:ascii="仿宋_GB2312" w:eastAsia="仿宋_GB2312"/>
          <w:sz w:val="32"/>
          <w:szCs w:val="32"/>
        </w:rPr>
        <w:t>万元，支出决算为224.46万元，完成年初预算的</w:t>
      </w:r>
      <w:r>
        <w:rPr>
          <w:rFonts w:hint="eastAsia" w:ascii="仿宋_GB2312" w:eastAsia="仿宋_GB2312"/>
          <w:color w:val="000000" w:themeColor="text1"/>
          <w:sz w:val="32"/>
          <w:szCs w:val="32"/>
        </w:rPr>
        <w:t>126.10</w:t>
      </w:r>
      <w:r>
        <w:rPr>
          <w:rFonts w:hint="eastAsia" w:ascii="仿宋_GB2312" w:eastAsia="仿宋_GB2312"/>
          <w:sz w:val="32"/>
          <w:szCs w:val="32"/>
        </w:rPr>
        <w:t>%。其中：</w:t>
      </w:r>
    </w:p>
    <w:p>
      <w:p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1．一般公共服务支出（类）其他一般公共服务支出（款）其他一般公共服务支出（项）。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color w:val="000000" w:themeColor="text1"/>
          <w:sz w:val="32"/>
          <w:szCs w:val="32"/>
        </w:rPr>
        <w:t>151.4</w:t>
      </w:r>
      <w:r>
        <w:rPr>
          <w:rFonts w:hint="eastAsia" w:ascii="仿宋_GB2312" w:hAnsi="仿宋_GB2312" w:eastAsia="仿宋_GB2312" w:cs="仿宋_GB2312"/>
          <w:sz w:val="32"/>
          <w:szCs w:val="32"/>
        </w:rPr>
        <w:t>万元，支出决算为199.22万元，完成年初预算的</w:t>
      </w:r>
      <w:r>
        <w:rPr>
          <w:rFonts w:hint="eastAsia" w:ascii="仿宋_GB2312" w:hAnsi="仿宋_GB2312" w:eastAsia="仿宋_GB2312" w:cs="仿宋_GB2312"/>
          <w:color w:val="000000" w:themeColor="text1"/>
          <w:sz w:val="32"/>
          <w:szCs w:val="32"/>
        </w:rPr>
        <w:t>131.58</w:t>
      </w:r>
      <w:r>
        <w:rPr>
          <w:rFonts w:hint="eastAsia" w:ascii="仿宋_GB2312" w:hAnsi="仿宋_GB2312" w:eastAsia="仿宋_GB2312" w:cs="仿宋_GB2312"/>
          <w:sz w:val="32"/>
          <w:szCs w:val="32"/>
        </w:rPr>
        <w:t>%。决算数与年初预算数存在差异的主要原因是人员工资增长和</w:t>
      </w:r>
      <w:r>
        <w:rPr>
          <w:rFonts w:hint="eastAsia" w:ascii="仿宋_GB2312" w:eastAsia="仿宋_GB2312"/>
          <w:sz w:val="32"/>
          <w:szCs w:val="32"/>
        </w:rPr>
        <w:t>购买部分固定资产</w:t>
      </w:r>
      <w:r>
        <w:rPr>
          <w:rFonts w:hint="eastAsia" w:ascii="仿宋_GB2312" w:hAnsi="仿宋_GB2312" w:eastAsia="仿宋_GB2312" w:cs="仿宋_GB2312"/>
          <w:sz w:val="32"/>
          <w:szCs w:val="32"/>
        </w:rPr>
        <w:t>。</w:t>
      </w:r>
    </w:p>
    <w:p>
      <w:p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2．社会保障和就业支出（类）行政事业单位离退休（款）机关事业单位基本养老保险缴费支出（项）。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color w:val="000000" w:themeColor="text1"/>
          <w:sz w:val="32"/>
          <w:szCs w:val="32"/>
        </w:rPr>
        <w:t>11.8</w:t>
      </w:r>
      <w:r>
        <w:rPr>
          <w:rFonts w:hint="eastAsia" w:ascii="仿宋_GB2312" w:hAnsi="仿宋_GB2312" w:eastAsia="仿宋_GB2312" w:cs="仿宋_GB2312"/>
          <w:sz w:val="32"/>
          <w:szCs w:val="32"/>
        </w:rPr>
        <w:t>万元，支出决算为11.32万元，完成年初预算的</w:t>
      </w:r>
      <w:r>
        <w:rPr>
          <w:rFonts w:hint="eastAsia" w:ascii="仿宋_GB2312" w:hAnsi="仿宋_GB2312" w:eastAsia="仿宋_GB2312" w:cs="仿宋_GB2312"/>
          <w:color w:val="000000" w:themeColor="text1"/>
          <w:sz w:val="32"/>
          <w:szCs w:val="32"/>
        </w:rPr>
        <w:t>95.93</w:t>
      </w:r>
      <w:r>
        <w:rPr>
          <w:rFonts w:hint="eastAsia" w:ascii="仿宋_GB2312" w:hAnsi="仿宋_GB2312" w:eastAsia="仿宋_GB2312" w:cs="仿宋_GB2312"/>
          <w:sz w:val="32"/>
          <w:szCs w:val="32"/>
        </w:rPr>
        <w:t>%。决算数与年初预算数存在差异的主要原因</w:t>
      </w:r>
      <w:r>
        <w:rPr>
          <w:rFonts w:hint="eastAsia" w:ascii="仿宋_GB2312" w:eastAsia="仿宋_GB2312"/>
          <w:sz w:val="32"/>
          <w:szCs w:val="32"/>
        </w:rPr>
        <w:t>上年补缴人员准备期养老金。</w:t>
      </w:r>
    </w:p>
    <w:p>
      <w:p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3．医疗和计划生育支出（类）行政事业单位医疗（款）事业单位医疗（项）。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color w:val="000000" w:themeColor="text1"/>
          <w:sz w:val="32"/>
          <w:szCs w:val="32"/>
        </w:rPr>
        <w:t>6</w:t>
      </w:r>
      <w:r>
        <w:rPr>
          <w:rFonts w:hint="eastAsia" w:ascii="仿宋_GB2312" w:hAnsi="仿宋_GB2312" w:eastAsia="仿宋_GB2312" w:cs="仿宋_GB2312"/>
          <w:sz w:val="32"/>
          <w:szCs w:val="32"/>
        </w:rPr>
        <w:t>万元，支出决算为5.58万元，完成年初预算的</w:t>
      </w:r>
      <w:r>
        <w:rPr>
          <w:rFonts w:hint="eastAsia" w:ascii="仿宋_GB2312" w:hAnsi="仿宋_GB2312" w:eastAsia="仿宋_GB2312" w:cs="仿宋_GB2312"/>
          <w:color w:val="000000" w:themeColor="text1"/>
          <w:sz w:val="32"/>
          <w:szCs w:val="32"/>
        </w:rPr>
        <w:t>93</w:t>
      </w:r>
      <w:r>
        <w:rPr>
          <w:rFonts w:hint="eastAsia" w:ascii="仿宋_GB2312" w:hAnsi="仿宋_GB2312" w:eastAsia="仿宋_GB2312" w:cs="仿宋_GB2312"/>
          <w:sz w:val="32"/>
          <w:szCs w:val="32"/>
        </w:rPr>
        <w:t>%。决算数与年初预算数存在差异的主要原因人员</w:t>
      </w:r>
      <w:r>
        <w:rPr>
          <w:rFonts w:hint="eastAsia" w:ascii="仿宋_GB2312" w:hAnsi="仿宋_GB2312" w:eastAsia="仿宋_GB2312" w:cs="仿宋_GB2312"/>
          <w:color w:val="000000" w:themeColor="text1"/>
          <w:sz w:val="32"/>
          <w:szCs w:val="32"/>
        </w:rPr>
        <w:t>减少。</w:t>
      </w:r>
    </w:p>
    <w:p>
      <w:p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4．住房保障支出（类）住房改革支出（款）住房公积金（项）。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color w:val="000000" w:themeColor="text1"/>
          <w:sz w:val="32"/>
          <w:szCs w:val="32"/>
        </w:rPr>
        <w:t>8.8</w:t>
      </w:r>
      <w:r>
        <w:rPr>
          <w:rFonts w:hint="eastAsia" w:ascii="仿宋_GB2312" w:hAnsi="仿宋_GB2312" w:eastAsia="仿宋_GB2312" w:cs="仿宋_GB2312"/>
          <w:sz w:val="32"/>
          <w:szCs w:val="32"/>
        </w:rPr>
        <w:t>万元，支出决算为8.34万元，完成年初预算的</w:t>
      </w:r>
      <w:r>
        <w:rPr>
          <w:rFonts w:hint="eastAsia" w:ascii="仿宋_GB2312" w:hAnsi="仿宋_GB2312" w:eastAsia="仿宋_GB2312" w:cs="仿宋_GB2312"/>
          <w:color w:val="000000" w:themeColor="text1"/>
          <w:sz w:val="32"/>
          <w:szCs w:val="32"/>
        </w:rPr>
        <w:t>94.72%</w:t>
      </w:r>
      <w:r>
        <w:rPr>
          <w:rFonts w:hint="eastAsia" w:ascii="仿宋_GB2312" w:hAnsi="仿宋_GB2312" w:eastAsia="仿宋_GB2312" w:cs="仿宋_GB2312"/>
          <w:sz w:val="32"/>
          <w:szCs w:val="32"/>
        </w:rPr>
        <w:t>。决算数与年初预算数存在差异的主要原因</w:t>
      </w:r>
      <w:r>
        <w:rPr>
          <w:rFonts w:hint="eastAsia" w:ascii="仿宋_GB2312" w:hAnsi="仿宋_GB2312" w:eastAsia="仿宋_GB2312" w:cs="仿宋_GB2312"/>
          <w:color w:val="000000" w:themeColor="text1"/>
          <w:sz w:val="32"/>
          <w:szCs w:val="32"/>
        </w:rPr>
        <w:t>人员减少。</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六、一般公共预算财政拨款基本支出决算情况说明</w:t>
      </w:r>
    </w:p>
    <w:p>
      <w:pPr>
        <w:pStyle w:val="8"/>
        <w:shd w:val="clear" w:color="auto" w:fill="FFFFFF"/>
        <w:spacing w:before="0" w:beforeAutospacing="0" w:after="0" w:afterAutospacing="0"/>
        <w:ind w:left="161" w:leftChars="67" w:firstLine="480" w:firstLineChars="150"/>
        <w:rPr>
          <w:rFonts w:ascii="仿宋_GB2312" w:eastAsia="仿宋_GB2312"/>
          <w:color w:val="000000" w:themeColor="text1"/>
          <w:sz w:val="32"/>
          <w:szCs w:val="32"/>
        </w:rPr>
      </w:pPr>
      <w:r>
        <w:rPr>
          <w:rFonts w:hint="eastAsia" w:ascii="仿宋_GB2312" w:eastAsia="仿宋_GB2312"/>
          <w:sz w:val="32"/>
          <w:szCs w:val="32"/>
        </w:rPr>
        <w:t>2020 年度一般公共预算财政拨款基本支出224.46万元。其中：</w:t>
      </w:r>
      <w:r>
        <w:rPr>
          <w:rFonts w:hint="eastAsia" w:ascii="仿宋_GB2312" w:eastAsia="仿宋_GB2312"/>
          <w:color w:val="000000" w:themeColor="text1"/>
          <w:sz w:val="32"/>
          <w:szCs w:val="32"/>
        </w:rPr>
        <w:t>人员经费 152.39万元，主要包括：基本工资、津贴补贴、伙食补助费、绩效工资、机关事业单位基本养老保险缴费、其他社会保障缴费、其他工资福利支出、生活补助、住房公积金、其 他对个人和家庭的补助支出；公用经费72.07万元，主要包括：办公费、印刷费、水费、电费、邮电费、物业管理费、差旅费、委 托业务费、工会经费、福利费、其他交通费用、其他商品和服务支出、固定资产购置。</w:t>
      </w:r>
    </w:p>
    <w:p>
      <w:pPr>
        <w:pStyle w:val="8"/>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pStyle w:val="8"/>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（一）“三公”经费财政拨款支出决算总体情况说明。</w:t>
      </w:r>
    </w:p>
    <w:p>
      <w:pPr>
        <w:spacing w:line="59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2020 年度“三公”经费财政拨款支出预算为</w:t>
      </w:r>
      <w:r>
        <w:rPr>
          <w:rFonts w:hint="eastAsia" w:ascii="仿宋_GB2312" w:eastAsia="仿宋_GB2312"/>
          <w:color w:val="000000" w:themeColor="text1"/>
          <w:sz w:val="32"/>
          <w:szCs w:val="32"/>
        </w:rPr>
        <w:t>0.4</w:t>
      </w:r>
      <w:r>
        <w:rPr>
          <w:rFonts w:hint="eastAsia" w:ascii="仿宋_GB2312" w:eastAsia="仿宋_GB2312"/>
          <w:sz w:val="32"/>
          <w:szCs w:val="32"/>
        </w:rPr>
        <w:t>万元，支出决算为0.4万元，完成预算的</w:t>
      </w:r>
      <w:r>
        <w:rPr>
          <w:rFonts w:hint="eastAsia" w:ascii="仿宋_GB2312" w:eastAsia="仿宋_GB2312"/>
          <w:color w:val="000000" w:themeColor="text1"/>
          <w:sz w:val="32"/>
          <w:szCs w:val="32"/>
        </w:rPr>
        <w:t>100</w:t>
      </w:r>
      <w:r>
        <w:rPr>
          <w:rFonts w:hint="eastAsia" w:ascii="仿宋_GB2312" w:eastAsia="仿宋_GB2312"/>
          <w:sz w:val="32"/>
          <w:szCs w:val="32"/>
        </w:rPr>
        <w:t>%。</w:t>
      </w:r>
      <w:r>
        <w:rPr>
          <w:rFonts w:hint="eastAsia" w:ascii="仿宋_GB2312" w:hAnsi="仿宋_GB2312" w:eastAsia="仿宋_GB2312" w:cs="仿宋_GB2312"/>
          <w:sz w:val="32"/>
          <w:szCs w:val="32"/>
        </w:rPr>
        <w:t>决算数与年初预算数不存在差异。</w:t>
      </w:r>
    </w:p>
    <w:p>
      <w:pPr>
        <w:rPr>
          <w:rFonts w:ascii="仿宋_GB2312" w:eastAsia="仿宋_GB2312"/>
          <w:sz w:val="32"/>
          <w:szCs w:val="32"/>
        </w:rPr>
      </w:pPr>
      <w:r>
        <w:rPr>
          <w:rFonts w:hint="eastAsia" w:ascii="仿宋_GB2312" w:eastAsia="仿宋_GB2312"/>
          <w:sz w:val="32"/>
          <w:szCs w:val="32"/>
        </w:rPr>
        <w:t>（二）“三公”经费财政拨款支出决算具体情况说明。</w:t>
      </w:r>
    </w:p>
    <w:p>
      <w:pPr>
        <w:pStyle w:val="8"/>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年度“三公”经费财政拨款支出决算中，因公出国（境）费支出决算0.00万元，完成预算的 0.00%，占0.00%；公务用车购置及运行费支出决算0.00万元，完成预 算的0.00%，占0.00%；公务接待费支出决算0.4万元，完成预算的</w:t>
      </w:r>
      <w:r>
        <w:rPr>
          <w:rFonts w:hint="eastAsia" w:ascii="仿宋_GB2312" w:eastAsia="仿宋_GB2312"/>
          <w:color w:val="000000" w:themeColor="text1"/>
          <w:sz w:val="32"/>
          <w:szCs w:val="32"/>
        </w:rPr>
        <w:t xml:space="preserve"> 100.00</w:t>
      </w:r>
      <w:r>
        <w:rPr>
          <w:rFonts w:hint="eastAsia" w:ascii="仿宋_GB2312" w:eastAsia="仿宋_GB2312"/>
          <w:sz w:val="32"/>
          <w:szCs w:val="32"/>
        </w:rPr>
        <w:t>%，占100.00%；具体情况如下：</w:t>
      </w:r>
    </w:p>
    <w:p>
      <w:pPr>
        <w:spacing w:line="590" w:lineRule="exact"/>
        <w:ind w:firstLine="640" w:firstLineChars="200"/>
        <w:rPr>
          <w:rFonts w:ascii="仿宋_GB2312" w:hAnsi="仿宋_GB2312" w:eastAsia="仿宋_GB2312" w:cs="仿宋_GB2312"/>
          <w:sz w:val="32"/>
          <w:szCs w:val="32"/>
          <w:u w:val="none"/>
        </w:rPr>
      </w:pPr>
      <w:r>
        <w:rPr>
          <w:rFonts w:hint="eastAsia" w:ascii="仿宋_GB2312" w:eastAsia="仿宋_GB2312"/>
          <w:sz w:val="32"/>
          <w:szCs w:val="32"/>
        </w:rPr>
        <w:t>1．因公出国（境）费年初预算为 0.00万元，支出决算为0.00 万元，完成年初预算的0.00%，</w:t>
      </w:r>
      <w:r>
        <w:rPr>
          <w:rFonts w:hint="eastAsia" w:ascii="仿宋_GB2312" w:hAnsi="仿宋_GB2312" w:eastAsia="仿宋_GB2312" w:cs="仿宋_GB2312"/>
          <w:sz w:val="32"/>
          <w:szCs w:val="32"/>
          <w:u w:val="none"/>
        </w:rPr>
        <w:t>全年因公出国（境）团组0个，累计0人次。</w:t>
      </w:r>
    </w:p>
    <w:p>
      <w:pPr>
        <w:pStyle w:val="8"/>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 公务用车购置及运行费年初预算为0.00万元，支出决算为 0.00万元，完成年初预算的0.00%，决算数与年初预算数不存在差异。</w:t>
      </w:r>
    </w:p>
    <w:p>
      <w:pPr>
        <w:pStyle w:val="8"/>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公务用车购置支出0.00万元，购置车辆0台。</w:t>
      </w:r>
    </w:p>
    <w:p>
      <w:pPr>
        <w:pStyle w:val="8"/>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公务用车运行支出0.00万元。单位开支财政拨款的公务用车保有量为0</w:t>
      </w:r>
      <w:r>
        <w:rPr>
          <w:rFonts w:hint="eastAsia" w:ascii="仿宋_GB2312" w:eastAsia="仿宋_GB2312"/>
          <w:sz w:val="32"/>
          <w:szCs w:val="32"/>
          <w:lang w:val="en-US" w:eastAsia="zh-CN"/>
        </w:rPr>
        <w:t>辆</w:t>
      </w:r>
      <w:r>
        <w:rPr>
          <w:rFonts w:hint="eastAsia" w:ascii="仿宋_GB2312" w:eastAsia="仿宋_GB2312"/>
          <w:sz w:val="32"/>
          <w:szCs w:val="32"/>
        </w:rPr>
        <w:t>。</w:t>
      </w:r>
      <w:bookmarkStart w:id="0" w:name="_GoBack"/>
      <w:bookmarkEnd w:id="0"/>
    </w:p>
    <w:p>
      <w:pPr>
        <w:pStyle w:val="8"/>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3. 公务接待费年初预算为0.4万元，支出决算为0.4万元，完成年初预算的100.00%。决算数与年初预算数不存在差异。其中：外宾接待支出0万元。2020年共接待国（境）外来访团组0个、来访外宾0人次（不包括陪同人员）。其他国内公务接待支出0.4万元。主要用于2020年共接待国内来访团组</w:t>
      </w:r>
      <w:r>
        <w:rPr>
          <w:rFonts w:hint="eastAsia" w:ascii="仿宋_GB2312" w:eastAsia="仿宋_GB2312"/>
          <w:color w:val="000000" w:themeColor="text1"/>
          <w:sz w:val="32"/>
          <w:szCs w:val="32"/>
        </w:rPr>
        <w:t>11</w:t>
      </w:r>
      <w:r>
        <w:rPr>
          <w:rFonts w:hint="eastAsia" w:ascii="仿宋_GB2312" w:eastAsia="仿宋_GB2312"/>
          <w:sz w:val="32"/>
          <w:szCs w:val="32"/>
        </w:rPr>
        <w:t>个、来宾</w:t>
      </w:r>
      <w:r>
        <w:rPr>
          <w:rFonts w:hint="eastAsia" w:ascii="仿宋_GB2312" w:eastAsia="仿宋_GB2312"/>
          <w:color w:val="000000" w:themeColor="text1"/>
          <w:sz w:val="32"/>
          <w:szCs w:val="32"/>
        </w:rPr>
        <w:t>80</w:t>
      </w:r>
      <w:r>
        <w:rPr>
          <w:rFonts w:hint="eastAsia" w:ascii="仿宋_GB2312" w:eastAsia="仿宋_GB2312"/>
          <w:sz w:val="32"/>
          <w:szCs w:val="32"/>
        </w:rPr>
        <w:t>人次（不包括陪同人员）。</w:t>
      </w:r>
    </w:p>
    <w:p>
      <w:pPr>
        <w:pStyle w:val="8"/>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八、预算绩效情况说明</w:t>
      </w:r>
    </w:p>
    <w:p>
      <w:pPr>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ind w:firstLine="640" w:firstLineChars="200"/>
        <w:rPr>
          <w:rFonts w:ascii="仿宋_GB2312" w:eastAsia="仿宋_GB2312"/>
          <w:sz w:val="32"/>
          <w:szCs w:val="32"/>
        </w:rPr>
      </w:pPr>
      <w:r>
        <w:rPr>
          <w:rFonts w:hint="eastAsia" w:ascii="仿宋_GB2312" w:eastAsia="仿宋_GB2312"/>
          <w:sz w:val="32"/>
          <w:szCs w:val="32"/>
        </w:rPr>
        <w:t>2020年罗山县产业集聚区未实行绩效管理制度，绩效管理制度在研究讨论阶段。</w:t>
      </w:r>
    </w:p>
    <w:p>
      <w:pPr>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（二）项目绩效自评结果。</w:t>
      </w:r>
    </w:p>
    <w:p>
      <w:pPr>
        <w:ind w:firstLine="160" w:firstLineChars="50"/>
      </w:pPr>
      <w:r>
        <w:rPr>
          <w:rFonts w:hint="eastAsia" w:ascii="仿宋_GB2312" w:eastAsia="仿宋_GB2312"/>
          <w:sz w:val="32"/>
          <w:szCs w:val="32"/>
        </w:rPr>
        <w:t>未开展此项工作</w:t>
      </w:r>
      <w:r>
        <w:rPr>
          <w:rFonts w:hint="eastAsia" w:ascii="仿宋_GB2312" w:hAnsi="仿宋_GB2312" w:eastAsia="仿宋_GB2312" w:cs="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（三）以单位为主体开展的重点绩效评价结果。</w:t>
      </w:r>
    </w:p>
    <w:p>
      <w:pPr>
        <w:ind w:left="322" w:leftChars="134" w:firstLine="480" w:firstLineChars="150"/>
        <w:rPr>
          <w:rFonts w:ascii="仿宋_GB2312" w:eastAsia="仿宋_GB2312"/>
          <w:sz w:val="32"/>
          <w:szCs w:val="32"/>
        </w:rPr>
      </w:pPr>
      <w:r>
        <w:rPr>
          <w:rFonts w:hint="eastAsia" w:ascii="仿宋_GB2312" w:eastAsia="仿宋_GB2312"/>
          <w:sz w:val="32"/>
          <w:szCs w:val="32"/>
        </w:rPr>
        <w:t>2020年决算执行结束后，罗山县产业集聚区对本年度财政支出的实际绩效进行了评价，共有工程项目9个，涉及资金479.94万元。通过项目绩效评价提高了财政资金的使用效率，为2021年预算提供了有效依据。</w:t>
      </w:r>
    </w:p>
    <w:p>
      <w:pPr>
        <w:pStyle w:val="8"/>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九、政府性基金预算财政拨款支出决算情况说明</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2020 年度政府性基金预算财政拨款支出年初预算为0.00万元，支出决算为 0万元，完成年初预算的 0.00%。</w:t>
      </w:r>
      <w:r>
        <w:rPr>
          <w:rFonts w:hint="eastAsia" w:ascii="仿宋_GB2312" w:hAnsi="仿宋_GB2312" w:eastAsia="仿宋_GB2312" w:cs="仿宋_GB2312"/>
          <w:sz w:val="32"/>
          <w:szCs w:val="32"/>
        </w:rPr>
        <w:t>主要原因：我单位2020年度没有政府性基金收入也没有使用政府性基金安排的支出。</w:t>
      </w:r>
    </w:p>
    <w:p>
      <w:pPr>
        <w:pStyle w:val="8"/>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十、机关运行经费支出情况说明</w:t>
      </w:r>
    </w:p>
    <w:p>
      <w:pPr>
        <w:spacing w:line="59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2020年度机关运行经费初预算为0万元，支出决算为0.00万元，完成年初预算的0%。决算数与年初预算数不存在差异。</w:t>
      </w:r>
      <w:r>
        <w:rPr>
          <w:rFonts w:hint="eastAsia" w:ascii="仿宋" w:hAnsi="仿宋" w:eastAsia="仿宋"/>
          <w:sz w:val="32"/>
          <w:szCs w:val="32"/>
        </w:rPr>
        <w:t>我单位不是行政机关，也不是参照公务员管理事业单位，没有机关运行经费支出</w:t>
      </w:r>
      <w:r>
        <w:rPr>
          <w:rFonts w:hint="eastAsia" w:ascii="仿宋_GB2312" w:hAnsi="仿宋_GB2312" w:eastAsia="仿宋_GB2312" w:cs="仿宋_GB2312"/>
          <w:sz w:val="32"/>
          <w:szCs w:val="32"/>
        </w:rPr>
        <w:t>。</w:t>
      </w:r>
    </w:p>
    <w:p>
      <w:pPr>
        <w:pStyle w:val="8"/>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十一、政府采购支出情况说明</w:t>
      </w:r>
    </w:p>
    <w:p>
      <w:pPr>
        <w:pStyle w:val="8"/>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年度政府采购支出总额7.67万元，其中：政府采购货物支出7.67万元、政府采购工程支出0万元、政府采购服务支出0万元。授予中 小企业合同金额0万元，占政府采购支出总额的0%，其中：授予小微企业合同金额0万元，占政府采购支出总额的0%。</w:t>
      </w:r>
    </w:p>
    <w:p>
      <w:pPr>
        <w:pStyle w:val="8"/>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十二、国有资产占用情况说明</w:t>
      </w:r>
    </w:p>
    <w:p>
      <w:pPr>
        <w:pStyle w:val="8"/>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年期末，我单位共有车辆0辆，其中：省级领导干部用车0辆、主要领导干部用车 0辆、机要通信用车0辆、应急保障车0辆、执法执勤用车 0辆、特种专业技术用车0辆、离退休干部用车0辆、其他用 车0辆；单位价值50万元以上通用设备0台（套），单位价值100万元以上专用设备 0台（套）。</w:t>
      </w:r>
    </w:p>
    <w:p>
      <w:pPr>
        <w:pStyle w:val="8"/>
        <w:shd w:val="clear" w:color="auto" w:fill="FFFFFF"/>
        <w:spacing w:before="0" w:beforeAutospacing="0" w:after="0" w:afterAutospacing="0"/>
        <w:ind w:left="161" w:leftChars="67" w:firstLine="480" w:firstLineChars="150"/>
        <w:rPr>
          <w:rFonts w:ascii="仿宋_GB2312" w:eastAsia="仿宋_GB2312"/>
          <w:sz w:val="32"/>
          <w:szCs w:val="32"/>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名词解释</w:t>
      </w:r>
    </w:p>
    <w:p>
      <w:pPr>
        <w:spacing w:line="590" w:lineRule="exact"/>
        <w:ind w:firstLine="640" w:firstLineChars="200"/>
        <w:rPr>
          <w:rFonts w:ascii="仿宋_GB2312" w:hAnsi="仿宋_GB2312" w:eastAsia="仿宋_GB2312" w:cs="仿宋_GB2312"/>
          <w:sz w:val="32"/>
          <w:szCs w:val="32"/>
        </w:rPr>
      </w:pP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pPr>
        <w:ind w:firstLine="640" w:firstLineChars="200"/>
        <w:rPr>
          <w:rFonts w:ascii="仿宋_GB2312" w:hAnsi="仿宋_GB2312" w:eastAsia="仿宋_GB2312" w:cs="仿宋_GB2312"/>
          <w:sz w:val="32"/>
          <w:szCs w:val="32"/>
        </w:rPr>
      </w:pPr>
    </w:p>
    <w:p>
      <w:pPr>
        <w:jc w:val="center"/>
        <w:outlineLvl w:val="0"/>
        <w:rPr>
          <w:rFonts w:ascii="黑体" w:hAnsi="黑体" w:eastAsia="黑体" w:cs="黑体"/>
          <w:sz w:val="44"/>
          <w:szCs w:val="44"/>
        </w:rPr>
      </w:pPr>
    </w:p>
    <w:p>
      <w:pPr>
        <w:jc w:val="center"/>
        <w:outlineLvl w:val="0"/>
        <w:rPr>
          <w:rFonts w:ascii="黑体" w:hAnsi="黑体" w:eastAsia="黑体" w:cs="黑体"/>
          <w:sz w:val="44"/>
          <w:szCs w:val="44"/>
        </w:rPr>
      </w:pPr>
    </w:p>
    <w:p>
      <w:pPr>
        <w:jc w:val="center"/>
        <w:outlineLvl w:val="0"/>
        <w:rPr>
          <w:rFonts w:ascii="黑体" w:hAnsi="黑体" w:eastAsia="黑体" w:cs="黑体"/>
          <w:sz w:val="44"/>
          <w:szCs w:val="44"/>
        </w:rPr>
      </w:pPr>
    </w:p>
    <w:p>
      <w:pPr>
        <w:jc w:val="center"/>
        <w:outlineLvl w:val="0"/>
        <w:rPr>
          <w:rFonts w:ascii="黑体" w:hAnsi="黑体" w:eastAsia="黑体" w:cs="黑体"/>
          <w:sz w:val="44"/>
          <w:szCs w:val="44"/>
        </w:rPr>
      </w:pPr>
    </w:p>
    <w:p>
      <w:pPr>
        <w:jc w:val="center"/>
        <w:outlineLvl w:val="0"/>
        <w:rPr>
          <w:rFonts w:ascii="黑体" w:hAnsi="黑体" w:eastAsia="黑体" w:cs="黑体"/>
          <w:sz w:val="44"/>
          <w:szCs w:val="44"/>
        </w:rPr>
      </w:pPr>
    </w:p>
    <w:p>
      <w:pPr>
        <w:jc w:val="center"/>
        <w:outlineLvl w:val="0"/>
        <w:rPr>
          <w:rFonts w:ascii="黑体" w:hAnsi="黑体" w:eastAsia="黑体" w:cs="黑体"/>
          <w:sz w:val="44"/>
          <w:szCs w:val="44"/>
        </w:rPr>
      </w:pPr>
    </w:p>
    <w:p>
      <w:pPr>
        <w:jc w:val="center"/>
        <w:outlineLvl w:val="0"/>
        <w:rPr>
          <w:rFonts w:ascii="黑体" w:hAnsi="黑体" w:eastAsia="黑体" w:cs="黑体"/>
          <w:sz w:val="44"/>
          <w:szCs w:val="44"/>
        </w:rPr>
      </w:pPr>
    </w:p>
    <w:p>
      <w:pPr>
        <w:rPr>
          <w:rFonts w:ascii="黑体" w:eastAsia="黑体"/>
          <w:color w:val="000000"/>
          <w:sz w:val="28"/>
          <w:szCs w:val="28"/>
        </w:rPr>
      </w:pPr>
    </w:p>
    <w:p>
      <w:pPr>
        <w:jc w:val="center"/>
        <w:outlineLvl w:val="0"/>
        <w:rPr>
          <w:rFonts w:ascii="黑体" w:hAnsi="黑体" w:eastAsia="黑体" w:cs="黑体"/>
          <w:sz w:val="44"/>
          <w:szCs w:val="44"/>
        </w:rPr>
      </w:pPr>
    </w:p>
    <w:p>
      <w:pPr>
        <w:jc w:val="center"/>
        <w:outlineLvl w:val="0"/>
        <w:rPr>
          <w:rFonts w:ascii="黑体" w:hAnsi="黑体" w:eastAsia="黑体" w:cs="黑体"/>
          <w:sz w:val="44"/>
          <w:szCs w:val="44"/>
        </w:rPr>
      </w:pPr>
    </w:p>
    <w:p>
      <w:pPr>
        <w:jc w:val="center"/>
        <w:outlineLvl w:val="0"/>
        <w:rPr>
          <w:rFonts w:ascii="黑体" w:hAnsi="黑体" w:eastAsia="黑体" w:cs="黑体"/>
          <w:sz w:val="44"/>
          <w:szCs w:val="44"/>
        </w:rPr>
      </w:pPr>
    </w:p>
    <w:p>
      <w:pPr>
        <w:jc w:val="center"/>
        <w:outlineLvl w:val="0"/>
        <w:rPr>
          <w:rFonts w:ascii="黑体" w:hAnsi="黑体" w:eastAsia="黑体" w:cs="黑体"/>
          <w:sz w:val="44"/>
          <w:szCs w:val="44"/>
        </w:rPr>
      </w:pPr>
    </w:p>
    <w:p>
      <w:pPr>
        <w:jc w:val="center"/>
        <w:outlineLvl w:val="0"/>
        <w:rPr>
          <w:rFonts w:ascii="黑体" w:hAnsi="黑体" w:eastAsia="黑体" w:cs="黑体"/>
          <w:sz w:val="44"/>
          <w:szCs w:val="44"/>
        </w:rPr>
      </w:pPr>
    </w:p>
    <w:p>
      <w:pPr>
        <w:jc w:val="center"/>
        <w:outlineLvl w:val="0"/>
        <w:rPr>
          <w:rFonts w:ascii="黑体" w:hAnsi="黑体" w:eastAsia="黑体" w:cs="黑体"/>
          <w:sz w:val="44"/>
          <w:szCs w:val="44"/>
        </w:rPr>
      </w:pPr>
    </w:p>
    <w:p>
      <w:pPr>
        <w:jc w:val="center"/>
        <w:outlineLvl w:val="0"/>
        <w:rPr>
          <w:rFonts w:ascii="黑体" w:hAnsi="黑体" w:eastAsia="黑体" w:cs="黑体"/>
          <w:sz w:val="44"/>
          <w:szCs w:val="44"/>
        </w:rPr>
      </w:pPr>
    </w:p>
    <w:p>
      <w:pPr>
        <w:jc w:val="center"/>
        <w:outlineLvl w:val="0"/>
        <w:rPr>
          <w:rFonts w:ascii="黑体" w:hAnsi="黑体" w:eastAsia="黑体" w:cs="黑体"/>
          <w:sz w:val="44"/>
          <w:szCs w:val="44"/>
        </w:rPr>
      </w:pPr>
    </w:p>
    <w:p>
      <w:pPr>
        <w:jc w:val="center"/>
        <w:rPr>
          <w:rFonts w:ascii="黑体" w:hAnsi="黑体" w:eastAsia="黑体" w:cs="黑体"/>
          <w:sz w:val="48"/>
          <w:szCs w:val="48"/>
        </w:rPr>
      </w:pPr>
      <w:r>
        <w:rPr>
          <w:rFonts w:hint="eastAsia" w:ascii="黑体" w:hAnsi="黑体" w:eastAsia="黑体" w:cs="黑体"/>
          <w:sz w:val="44"/>
          <w:szCs w:val="44"/>
        </w:rPr>
        <w:t>第四部分产业集聚区管理委员会2020年度部门决算公开表</w:t>
      </w:r>
    </w:p>
    <w:p>
      <w:pPr>
        <w:ind w:firstLine="2200" w:firstLineChars="500"/>
        <w:jc w:val="both"/>
        <w:outlineLvl w:val="0"/>
        <w:rPr>
          <w:rFonts w:ascii="黑体" w:hAnsi="黑体" w:eastAsia="黑体" w:cs="黑体"/>
          <w:sz w:val="44"/>
          <w:szCs w:val="44"/>
        </w:rPr>
      </w:pPr>
    </w:p>
    <w:p>
      <w:pPr>
        <w:rPr>
          <w:rFonts w:ascii="黑体" w:eastAsia="黑体"/>
          <w:color w:val="000000"/>
          <w:sz w:val="28"/>
          <w:szCs w:val="28"/>
        </w:rPr>
      </w:pPr>
    </w:p>
    <w:p>
      <w:pPr>
        <w:rPr>
          <w:rFonts w:ascii="黑体" w:eastAsia="黑体"/>
          <w:sz w:val="28"/>
          <w:szCs w:val="28"/>
        </w:rPr>
      </w:pPr>
      <w:r>
        <w:rPr>
          <w:rFonts w:hint="eastAsia" w:ascii="仿宋_GB2312" w:eastAsia="仿宋_GB2312"/>
          <w:color w:val="000000"/>
          <w:sz w:val="32"/>
          <w:szCs w:val="32"/>
        </w:rPr>
        <w:t>说明：表中单元格数据为空时，表示该单元格数据为零；整张表数据为空时，表示部门该表中所有数据均为零，当年无表中相关收支。</w:t>
      </w:r>
    </w:p>
    <w:p>
      <w:pPr>
        <w:rPr>
          <w:rFonts w:ascii="黑体" w:eastAsia="黑体"/>
          <w:sz w:val="28"/>
          <w:szCs w:val="28"/>
        </w:rPr>
      </w:pPr>
    </w:p>
    <w:p>
      <w:pPr>
        <w:jc w:val="center"/>
        <w:outlineLvl w:val="0"/>
        <w:rPr>
          <w:rFonts w:ascii="黑体" w:hAnsi="黑体" w:eastAsia="黑体" w:cs="黑体"/>
          <w:sz w:val="44"/>
          <w:szCs w:val="44"/>
        </w:rPr>
      </w:pPr>
    </w:p>
    <w:p>
      <w:pPr>
        <w:jc w:val="center"/>
        <w:outlineLvl w:val="0"/>
        <w:rPr>
          <w:rFonts w:ascii="黑体" w:hAnsi="黑体" w:eastAsia="黑体" w:cs="黑体"/>
          <w:sz w:val="48"/>
          <w:szCs w:val="48"/>
        </w:rPr>
      </w:pPr>
    </w:p>
    <w:sectPr>
      <w:pgSz w:w="11907"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51E9C"/>
    <w:multiLevelType w:val="multilevel"/>
    <w:tmpl w:val="00D51E9C"/>
    <w:lvl w:ilvl="0" w:tentative="0">
      <w:start w:val="2"/>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5980089"/>
    <w:multiLevelType w:val="multilevel"/>
    <w:tmpl w:val="25980089"/>
    <w:lvl w:ilvl="0" w:tentative="0">
      <w:start w:val="1"/>
      <w:numFmt w:val="chineseCounting"/>
      <w:suff w:val="nothing"/>
      <w:lvlText w:val="（%1）"/>
      <w:lvlJc w:val="left"/>
      <w:rPr>
        <w:rFonts w:hint="default" w:ascii="Times New Roman" w:hAnsi="Times New Roman" w:cs="Times New Roman"/>
        <w:lang w:val="en-US"/>
      </w:rPr>
    </w:lvl>
    <w:lvl w:ilvl="1" w:tentative="0">
      <w:start w:val="1"/>
      <w:numFmt w:val="decimal"/>
      <w:lvlText w:val="%2."/>
      <w:lvlJc w:val="left"/>
      <w:pPr>
        <w:tabs>
          <w:tab w:val="left" w:pos="2149"/>
        </w:tabs>
        <w:ind w:left="2149" w:hanging="360"/>
      </w:pPr>
      <w:rPr>
        <w:rFonts w:cs="Times New Roman"/>
      </w:rPr>
    </w:lvl>
    <w:lvl w:ilvl="2" w:tentative="0">
      <w:start w:val="1"/>
      <w:numFmt w:val="decimal"/>
      <w:lvlText w:val="%3."/>
      <w:lvlJc w:val="left"/>
      <w:pPr>
        <w:tabs>
          <w:tab w:val="left" w:pos="2869"/>
        </w:tabs>
        <w:ind w:left="2869" w:hanging="360"/>
      </w:pPr>
      <w:rPr>
        <w:rFonts w:cs="Times New Roman"/>
      </w:rPr>
    </w:lvl>
    <w:lvl w:ilvl="3" w:tentative="0">
      <w:start w:val="1"/>
      <w:numFmt w:val="decimal"/>
      <w:lvlText w:val="%4."/>
      <w:lvlJc w:val="left"/>
      <w:pPr>
        <w:tabs>
          <w:tab w:val="left" w:pos="3589"/>
        </w:tabs>
        <w:ind w:left="3589" w:hanging="360"/>
      </w:pPr>
      <w:rPr>
        <w:rFonts w:cs="Times New Roman"/>
      </w:rPr>
    </w:lvl>
    <w:lvl w:ilvl="4" w:tentative="0">
      <w:start w:val="1"/>
      <w:numFmt w:val="decimal"/>
      <w:lvlText w:val="%5."/>
      <w:lvlJc w:val="left"/>
      <w:pPr>
        <w:tabs>
          <w:tab w:val="left" w:pos="4309"/>
        </w:tabs>
        <w:ind w:left="4309" w:hanging="360"/>
      </w:pPr>
      <w:rPr>
        <w:rFonts w:cs="Times New Roman"/>
      </w:rPr>
    </w:lvl>
    <w:lvl w:ilvl="5" w:tentative="0">
      <w:start w:val="1"/>
      <w:numFmt w:val="decimal"/>
      <w:lvlText w:val="%6."/>
      <w:lvlJc w:val="left"/>
      <w:pPr>
        <w:tabs>
          <w:tab w:val="left" w:pos="5029"/>
        </w:tabs>
        <w:ind w:left="5029" w:hanging="360"/>
      </w:pPr>
      <w:rPr>
        <w:rFonts w:cs="Times New Roman"/>
      </w:rPr>
    </w:lvl>
    <w:lvl w:ilvl="6" w:tentative="0">
      <w:start w:val="1"/>
      <w:numFmt w:val="decimal"/>
      <w:lvlText w:val="%7."/>
      <w:lvlJc w:val="left"/>
      <w:pPr>
        <w:tabs>
          <w:tab w:val="left" w:pos="5749"/>
        </w:tabs>
        <w:ind w:left="5749" w:hanging="360"/>
      </w:pPr>
      <w:rPr>
        <w:rFonts w:cs="Times New Roman"/>
      </w:rPr>
    </w:lvl>
    <w:lvl w:ilvl="7" w:tentative="0">
      <w:start w:val="1"/>
      <w:numFmt w:val="decimal"/>
      <w:lvlText w:val="%8."/>
      <w:lvlJc w:val="left"/>
      <w:pPr>
        <w:tabs>
          <w:tab w:val="left" w:pos="6469"/>
        </w:tabs>
        <w:ind w:left="6469" w:hanging="360"/>
      </w:pPr>
      <w:rPr>
        <w:rFonts w:cs="Times New Roman"/>
      </w:rPr>
    </w:lvl>
    <w:lvl w:ilvl="8" w:tentative="0">
      <w:start w:val="1"/>
      <w:numFmt w:val="decimal"/>
      <w:lvlText w:val="%9."/>
      <w:lvlJc w:val="left"/>
      <w:pPr>
        <w:tabs>
          <w:tab w:val="left" w:pos="7189"/>
        </w:tabs>
        <w:ind w:left="7189" w:hanging="360"/>
      </w:pPr>
      <w:rPr>
        <w:rFonts w:cs="Times New Roman"/>
      </w:rPr>
    </w:lvl>
  </w:abstractNum>
  <w:abstractNum w:abstractNumId="2">
    <w:nsid w:val="5971BE17"/>
    <w:multiLevelType w:val="singleLevel"/>
    <w:tmpl w:val="5971BE17"/>
    <w:lvl w:ilvl="0" w:tentative="0">
      <w:start w:val="1"/>
      <w:numFmt w:val="chineseCounting"/>
      <w:suff w:val="nothing"/>
      <w:lvlText w:val="%1、"/>
      <w:lvlJc w:val="left"/>
    </w:lvl>
  </w:abstractNum>
  <w:num w:numId="1">
    <w:abstractNumId w:val="2"/>
  </w:num>
  <w:num w:numId="2">
    <w:abstractNumId w:val="0"/>
    <w:lvlOverride w:ilvl="0">
      <w:startOverride w:val="2"/>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kN2ZhMGUwOTliNjdlYzNhZjMxMTI3OTE4YmVhNTIifQ=="/>
  </w:docVars>
  <w:rsids>
    <w:rsidRoot w:val="00380C49"/>
    <w:rsid w:val="00050E83"/>
    <w:rsid w:val="0005518E"/>
    <w:rsid w:val="0007598F"/>
    <w:rsid w:val="00096B1B"/>
    <w:rsid w:val="000D3621"/>
    <w:rsid w:val="000E6CAE"/>
    <w:rsid w:val="000F4D8C"/>
    <w:rsid w:val="001A0DB6"/>
    <w:rsid w:val="001C7E92"/>
    <w:rsid w:val="002067E3"/>
    <w:rsid w:val="00220972"/>
    <w:rsid w:val="0022306B"/>
    <w:rsid w:val="00272BB2"/>
    <w:rsid w:val="002912FC"/>
    <w:rsid w:val="00380C49"/>
    <w:rsid w:val="00386E56"/>
    <w:rsid w:val="003A255E"/>
    <w:rsid w:val="00463B25"/>
    <w:rsid w:val="00481CED"/>
    <w:rsid w:val="0049433C"/>
    <w:rsid w:val="00497392"/>
    <w:rsid w:val="004C77BC"/>
    <w:rsid w:val="004F3513"/>
    <w:rsid w:val="00556367"/>
    <w:rsid w:val="00582974"/>
    <w:rsid w:val="005B3B3F"/>
    <w:rsid w:val="006C602E"/>
    <w:rsid w:val="006D4549"/>
    <w:rsid w:val="007169BE"/>
    <w:rsid w:val="00761D81"/>
    <w:rsid w:val="0077689A"/>
    <w:rsid w:val="00790303"/>
    <w:rsid w:val="007C177C"/>
    <w:rsid w:val="007C749A"/>
    <w:rsid w:val="00810CA0"/>
    <w:rsid w:val="0087510B"/>
    <w:rsid w:val="008A7DB1"/>
    <w:rsid w:val="008B058C"/>
    <w:rsid w:val="008F0429"/>
    <w:rsid w:val="009008AB"/>
    <w:rsid w:val="00902544"/>
    <w:rsid w:val="00971189"/>
    <w:rsid w:val="00994C4F"/>
    <w:rsid w:val="009A3410"/>
    <w:rsid w:val="00A53583"/>
    <w:rsid w:val="00A62ACF"/>
    <w:rsid w:val="00A66A9A"/>
    <w:rsid w:val="00AC6428"/>
    <w:rsid w:val="00B07176"/>
    <w:rsid w:val="00B30B3E"/>
    <w:rsid w:val="00BF5EC6"/>
    <w:rsid w:val="00C054A7"/>
    <w:rsid w:val="00C53051"/>
    <w:rsid w:val="00C67202"/>
    <w:rsid w:val="00C73F3D"/>
    <w:rsid w:val="00CA1E5C"/>
    <w:rsid w:val="00CA321F"/>
    <w:rsid w:val="00CB1114"/>
    <w:rsid w:val="00CE118F"/>
    <w:rsid w:val="00CE703C"/>
    <w:rsid w:val="00CF2D51"/>
    <w:rsid w:val="00D45C75"/>
    <w:rsid w:val="00D51C06"/>
    <w:rsid w:val="00D60397"/>
    <w:rsid w:val="00D70870"/>
    <w:rsid w:val="00D8395B"/>
    <w:rsid w:val="00D8447A"/>
    <w:rsid w:val="00D8575A"/>
    <w:rsid w:val="00DB06D7"/>
    <w:rsid w:val="00DB37EB"/>
    <w:rsid w:val="00DD2BE2"/>
    <w:rsid w:val="00DF5220"/>
    <w:rsid w:val="00E23DC1"/>
    <w:rsid w:val="00E91CCC"/>
    <w:rsid w:val="00EC4ADF"/>
    <w:rsid w:val="00F01AB8"/>
    <w:rsid w:val="00F345FD"/>
    <w:rsid w:val="00F8602B"/>
    <w:rsid w:val="00F928E9"/>
    <w:rsid w:val="00F92A5F"/>
    <w:rsid w:val="00FB0F60"/>
    <w:rsid w:val="00FD03C9"/>
    <w:rsid w:val="00FF349C"/>
    <w:rsid w:val="0A99637A"/>
    <w:rsid w:val="389A2054"/>
    <w:rsid w:val="3D2D69E0"/>
    <w:rsid w:val="5DCA44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8"/>
    <w:qFormat/>
    <w:uiPriority w:val="9"/>
    <w:pPr>
      <w:keepNext/>
      <w:keepLines/>
      <w:widowControl w:val="0"/>
      <w:spacing w:before="340" w:after="330" w:line="578" w:lineRule="auto"/>
      <w:jc w:val="both"/>
      <w:outlineLvl w:val="0"/>
    </w:pPr>
    <w:rPr>
      <w:rFonts w:ascii="Calibri" w:hAnsi="Calibri" w:cs="Times New Roman"/>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unhideWhenUsed/>
    <w:qFormat/>
    <w:uiPriority w:val="99"/>
    <w:pPr>
      <w:widowControl w:val="0"/>
    </w:pPr>
    <w:rPr>
      <w:rFonts w:ascii="Calibri" w:hAnsi="Calibri" w:cs="Times New Roman"/>
      <w:kern w:val="2"/>
      <w:sz w:val="21"/>
      <w:szCs w:val="22"/>
    </w:rPr>
  </w:style>
  <w:style w:type="paragraph" w:styleId="4">
    <w:name w:val="Balloon Text"/>
    <w:basedOn w:val="1"/>
    <w:link w:val="26"/>
    <w:unhideWhenUsed/>
    <w:qFormat/>
    <w:uiPriority w:val="99"/>
    <w:pPr>
      <w:widowControl w:val="0"/>
      <w:jc w:val="both"/>
    </w:pPr>
    <w:rPr>
      <w:rFonts w:asciiTheme="minorHAnsi" w:hAnsiTheme="minorHAnsi" w:eastAsiaTheme="minorEastAsia" w:cstheme="minorBidi"/>
      <w:kern w:val="2"/>
      <w:sz w:val="18"/>
      <w:szCs w:val="18"/>
    </w:rPr>
  </w:style>
  <w:style w:type="paragraph" w:styleId="5">
    <w:name w:val="footer"/>
    <w:basedOn w:val="1"/>
    <w:link w:val="16"/>
    <w:unhideWhenUsed/>
    <w:qFormat/>
    <w:uiPriority w:val="99"/>
    <w:pPr>
      <w:tabs>
        <w:tab w:val="center" w:pos="4153"/>
        <w:tab w:val="right" w:pos="8306"/>
      </w:tabs>
      <w:snapToGrid w:val="0"/>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7"/>
    <w:unhideWhenUsed/>
    <w:qFormat/>
    <w:uiPriority w:val="99"/>
    <w:pPr>
      <w:widowControl w:val="0"/>
      <w:snapToGrid w:val="0"/>
    </w:pPr>
    <w:rPr>
      <w:rFonts w:ascii="Calibri" w:hAnsi="Calibri" w:cs="Times New Roman"/>
      <w:kern w:val="2"/>
      <w:sz w:val="18"/>
      <w:szCs w:val="22"/>
    </w:rPr>
  </w:style>
  <w:style w:type="paragraph" w:styleId="8">
    <w:name w:val="Normal (Web)"/>
    <w:basedOn w:val="1"/>
    <w:unhideWhenUsed/>
    <w:qFormat/>
    <w:uiPriority w:val="99"/>
    <w:pPr>
      <w:spacing w:before="100" w:beforeAutospacing="1" w:after="100" w:afterAutospacing="1"/>
    </w:pPr>
  </w:style>
  <w:style w:type="table" w:styleId="10">
    <w:name w:val="Table Grid"/>
    <w:basedOn w:val="9"/>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unhideWhenUsed/>
    <w:qFormat/>
    <w:uiPriority w:val="99"/>
    <w:rPr>
      <w:color w:val="800080"/>
      <w:u w:val="single"/>
    </w:rPr>
  </w:style>
  <w:style w:type="character" w:styleId="13">
    <w:name w:val="Hyperlink"/>
    <w:unhideWhenUsed/>
    <w:qFormat/>
    <w:uiPriority w:val="99"/>
    <w:rPr>
      <w:color w:val="0000FF"/>
      <w:u w:val="single"/>
    </w:rPr>
  </w:style>
  <w:style w:type="character" w:styleId="14">
    <w:name w:val="footnote reference"/>
    <w:basedOn w:val="11"/>
    <w:unhideWhenUsed/>
    <w:qFormat/>
    <w:uiPriority w:val="99"/>
    <w:rPr>
      <w:vertAlign w:val="superscript"/>
    </w:rPr>
  </w:style>
  <w:style w:type="character" w:customStyle="1" w:styleId="15">
    <w:name w:val="页眉 Char"/>
    <w:basedOn w:val="11"/>
    <w:link w:val="6"/>
    <w:qFormat/>
    <w:uiPriority w:val="99"/>
    <w:rPr>
      <w:rFonts w:ascii="宋体" w:hAnsi="宋体" w:eastAsia="宋体" w:cs="宋体"/>
      <w:kern w:val="0"/>
      <w:sz w:val="18"/>
      <w:szCs w:val="18"/>
    </w:rPr>
  </w:style>
  <w:style w:type="character" w:customStyle="1" w:styleId="16">
    <w:name w:val="页脚 Char"/>
    <w:basedOn w:val="11"/>
    <w:link w:val="5"/>
    <w:qFormat/>
    <w:uiPriority w:val="99"/>
    <w:rPr>
      <w:rFonts w:ascii="宋体" w:hAnsi="宋体" w:eastAsia="宋体" w:cs="宋体"/>
      <w:kern w:val="0"/>
      <w:sz w:val="18"/>
      <w:szCs w:val="18"/>
    </w:rPr>
  </w:style>
  <w:style w:type="paragraph" w:styleId="17">
    <w:name w:val="List Paragraph"/>
    <w:basedOn w:val="1"/>
    <w:qFormat/>
    <w:uiPriority w:val="34"/>
    <w:pPr>
      <w:ind w:firstLine="420" w:firstLineChars="200"/>
    </w:pPr>
  </w:style>
  <w:style w:type="character" w:customStyle="1" w:styleId="18">
    <w:name w:val="标题 1 Char"/>
    <w:basedOn w:val="11"/>
    <w:link w:val="2"/>
    <w:qFormat/>
    <w:uiPriority w:val="9"/>
    <w:rPr>
      <w:rFonts w:ascii="Calibri" w:hAnsi="Calibri" w:eastAsia="宋体" w:cs="Times New Roman"/>
      <w:b/>
      <w:bCs/>
      <w:kern w:val="44"/>
      <w:sz w:val="44"/>
      <w:szCs w:val="44"/>
    </w:rPr>
  </w:style>
  <w:style w:type="character" w:customStyle="1" w:styleId="19">
    <w:name w:val="font5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0"/>
      <w:szCs w:val="20"/>
      <w:u w:val="none"/>
    </w:rPr>
  </w:style>
  <w:style w:type="character" w:customStyle="1" w:styleId="21">
    <w:name w:val="批注框文本 Char"/>
    <w:basedOn w:val="11"/>
    <w:link w:val="4"/>
    <w:qFormat/>
    <w:uiPriority w:val="99"/>
    <w:rPr>
      <w:sz w:val="18"/>
      <w:szCs w:val="18"/>
    </w:rPr>
  </w:style>
  <w:style w:type="character" w:customStyle="1" w:styleId="22">
    <w:name w:val="font21"/>
    <w:basedOn w:val="11"/>
    <w:qFormat/>
    <w:uiPriority w:val="0"/>
    <w:rPr>
      <w:rFonts w:hint="eastAsia" w:ascii="宋体" w:hAnsi="宋体" w:eastAsia="宋体" w:cs="宋体"/>
      <w:color w:val="000000"/>
      <w:sz w:val="22"/>
      <w:szCs w:val="22"/>
      <w:u w:val="none"/>
    </w:rPr>
  </w:style>
  <w:style w:type="character" w:customStyle="1" w:styleId="23">
    <w:name w:val="font01"/>
    <w:basedOn w:val="11"/>
    <w:qFormat/>
    <w:uiPriority w:val="0"/>
    <w:rPr>
      <w:rFonts w:hint="eastAsia" w:ascii="宋体" w:hAnsi="宋体" w:eastAsia="宋体" w:cs="宋体"/>
      <w:color w:val="000000"/>
      <w:sz w:val="22"/>
      <w:szCs w:val="22"/>
      <w:u w:val="none"/>
    </w:rPr>
  </w:style>
  <w:style w:type="character" w:customStyle="1" w:styleId="24">
    <w:name w:val="font41"/>
    <w:basedOn w:val="11"/>
    <w:qFormat/>
    <w:uiPriority w:val="0"/>
    <w:rPr>
      <w:rFonts w:hint="eastAsia" w:ascii="宋体" w:hAnsi="宋体" w:eastAsia="宋体" w:cs="宋体"/>
      <w:color w:val="000000"/>
      <w:sz w:val="24"/>
      <w:szCs w:val="24"/>
      <w:u w:val="none"/>
    </w:rPr>
  </w:style>
  <w:style w:type="character" w:customStyle="1" w:styleId="25">
    <w:name w:val="批注文字 Char"/>
    <w:basedOn w:val="11"/>
    <w:link w:val="3"/>
    <w:qFormat/>
    <w:uiPriority w:val="99"/>
    <w:rPr>
      <w:rFonts w:ascii="Calibri" w:hAnsi="Calibri" w:eastAsia="宋体" w:cs="Times New Roman"/>
    </w:rPr>
  </w:style>
  <w:style w:type="character" w:customStyle="1" w:styleId="26">
    <w:name w:val="批注框文本 Char1"/>
    <w:basedOn w:val="11"/>
    <w:link w:val="4"/>
    <w:semiHidden/>
    <w:qFormat/>
    <w:uiPriority w:val="99"/>
    <w:rPr>
      <w:rFonts w:ascii="宋体" w:hAnsi="宋体" w:eastAsia="宋体" w:cs="宋体"/>
      <w:kern w:val="0"/>
      <w:sz w:val="18"/>
      <w:szCs w:val="18"/>
    </w:rPr>
  </w:style>
  <w:style w:type="character" w:customStyle="1" w:styleId="27">
    <w:name w:val="脚注文本 Char"/>
    <w:basedOn w:val="11"/>
    <w:link w:val="7"/>
    <w:qFormat/>
    <w:uiPriority w:val="99"/>
    <w:rPr>
      <w:rFonts w:ascii="Calibri" w:hAnsi="Calibri" w:eastAsia="宋体" w:cs="Times New Roman"/>
      <w:sz w:val="18"/>
    </w:rPr>
  </w:style>
  <w:style w:type="paragraph" w:customStyle="1" w:styleId="28">
    <w:name w:val="标题1"/>
    <w:basedOn w:val="2"/>
    <w:qFormat/>
    <w:uiPriority w:val="0"/>
    <w:pPr>
      <w:spacing w:before="0" w:after="0" w:line="240" w:lineRule="auto"/>
      <w:jc w:val="center"/>
    </w:pPr>
    <w:rPr>
      <w:rFonts w:ascii="华文中宋" w:hAnsi="华文中宋" w:eastAsia="华文中宋"/>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9538F-9641-47E2-9668-842E089EBC4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4251</Words>
  <Characters>4621</Characters>
  <Lines>34</Lines>
  <Paragraphs>9</Paragraphs>
  <TotalTime>18</TotalTime>
  <ScaleCrop>false</ScaleCrop>
  <LinksUpToDate>false</LinksUpToDate>
  <CharactersWithSpaces>4665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2021-08-31T09:19:00Z</dcterms:created>
  <dc:creator>Administrator</dc:creator>
  <cp:lastModifiedBy>SS</cp:lastModifiedBy>
  <cp:lastPrinted>2021-11-02T09:14:00Z</cp:lastPrinted>
  <dcterms:modified xsi:type="dcterms:W3CDTF">2022-09-02T04:01:29Z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E7D6D4C3A3FC46BB92866263292E9267</vt:lpwstr>
  </property>
</Properties>
</file>