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年度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罗山县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粮食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和物资储备中心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部门预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算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目 录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第一部分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罗山县粮食和物资储备中心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概况 </w:t>
      </w:r>
    </w:p>
    <w:p>
      <w:pPr>
        <w:widowControl/>
        <w:shd w:val="clear" w:color="auto" w:fill="FFFFFF"/>
        <w:ind w:left="45" w:right="45" w:firstLine="645"/>
        <w:jc w:val="left"/>
        <w:rPr>
          <w:rFonts w:hint="eastAsia" w:ascii="仿宋" w:hAnsi="仿宋" w:eastAsia="仿宋" w:cs="仿宋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13131"/>
          <w:kern w:val="0"/>
          <w:sz w:val="32"/>
          <w:szCs w:val="32"/>
        </w:rPr>
        <w:t>一、主要职能</w:t>
      </w:r>
    </w:p>
    <w:p>
      <w:pPr>
        <w:widowControl/>
        <w:shd w:val="clear" w:color="auto" w:fill="FFFFFF"/>
        <w:ind w:left="45" w:right="45" w:firstLine="645"/>
        <w:jc w:val="left"/>
        <w:rPr>
          <w:rFonts w:hint="eastAsia" w:ascii="仿宋" w:hAnsi="仿宋" w:eastAsia="仿宋" w:cs="仿宋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13131"/>
          <w:kern w:val="0"/>
          <w:sz w:val="32"/>
          <w:szCs w:val="32"/>
        </w:rPr>
        <w:t>二、机构设置</w:t>
      </w:r>
    </w:p>
    <w:p>
      <w:pPr>
        <w:widowControl/>
        <w:shd w:val="clear" w:color="auto" w:fill="FFFFFF"/>
        <w:ind w:left="45" w:right="45" w:firstLine="645"/>
        <w:jc w:val="left"/>
        <w:rPr>
          <w:rFonts w:hint="eastAsia" w:ascii="仿宋" w:hAnsi="仿宋" w:eastAsia="仿宋" w:cs="仿宋"/>
          <w:color w:val="31313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13131"/>
          <w:kern w:val="0"/>
          <w:sz w:val="32"/>
          <w:szCs w:val="32"/>
        </w:rPr>
        <w:t>二、部门预算单位构成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第二部分  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罗山县粮食和物资储备中心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20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年度部门预算情况说明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第三部分  名词解释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附件：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罗山县粮食和物资储备中心</w:t>
      </w:r>
      <w:r>
        <w:rPr>
          <w:rFonts w:hint="eastAsia" w:ascii="仿宋" w:hAnsi="仿宋" w:eastAsia="仿宋" w:cs="仿宋"/>
          <w:sz w:val="32"/>
          <w:szCs w:val="32"/>
        </w:rPr>
        <w:t xml:space="preserve">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年度部门预算表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一、部门收支总体情况表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二、部门收入总体情况表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三、部门支出总体情况表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四、财政拨款收支总体情况表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五、一般公共预算支出情况表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一般公共预算基本支出情况表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七、一般公共预算“三公”经费支出情况表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八、政府性基金预算支出情况表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、其他重要事项的情况说明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罗山县粮食和物资储备中心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概况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一、主要职能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(一)贯彻执行国家粮食流通和粮油储备法律、法规和方针政策,拟订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 xml:space="preserve">粮食流通体制、粮油储备管理体制改革方案并组织实施,推动国有粮食企业改革,研究提出现代粮食流通产业发展战略建议。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(二)拟订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粮食流通相关地方性法规、规章草案和政策并监督执行,会同有关部门研究提出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粮食流通和地方粮油储备中长期规划建议。负责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级垂直的地方粮食储备系统建设。承担粮油监测预警、应急责任,指导协调最低收购价粮食等政策性粮食购销、全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军粮供应和粮食产销合作。负责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级应急体系建设,完善粮食应急保障制度。负责全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粮食系统国家安全工作。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粮食流通监督检查工作。监督检查国家和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粮食流通、粮油储备有关法律、法规和政策的贯彻落实情况,拟订全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流通、粮食库存监督检查制度并组织实施。对粮食收购、储存环节的粮食质量安全和原粮卫生进行监督管理,组织粮食质量调查、品质测报、安全监测、质量会检和粮食质量信息发布,组织指导对政策性粮食购销活动和社会粮食流通进行监督检查,组织指导对国家粮食流通统计制度执行情况监督检查。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粮油市场信息网络体系建设工作。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(四)承担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级储备粮油行政管理责任。会同有关部门拟订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级储备粮油规模、总体布局和收购、销售计划,提出动用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级储备粮油建议。按照有关规定审批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级储备粮油轮换计划并组织实施。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(五)负责粮食流通行业管理,指导粮食流通科技进步、技术改造和新技术推广。拟订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粮食质量标准,提出粮食收购市场准入标准建议,负责全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粮油收购资格审核和核查以及全社会粮食流通统计工作。拟订粮食储存、运输技术规范并监督执行,开展粮食流通对外合作与交流。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(六)拟订全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主食产业化及粮油深加工发展规划并组织实施,负责全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粮油加工行业指导和质量、计量、标准管理工作,指导全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粮食产业化经营、多种经营、连锁经营和行业安全生产工作,配合有关部门打击粮油商品生产经营中的假冒伪劣行为。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(七)拟订全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粮食收储供应安全保障、粮食市场体系建设与发展规划并组织实施,编制全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粮食流通、仓储、加工设施建设规划并组织实施,参与管理有关粮食流通设施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级投资项目。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(八)指导全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粮食系统财务、内部审计工作,负责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粮食局直属事业单位的财务和内部审计工作,监管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粮食局直属事业单位的国有资产。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(九)承办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政府交办的其他事项。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机构设置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罗山县粮食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本级机关</w:t>
      </w:r>
      <w:r>
        <w:rPr>
          <w:rFonts w:hint="eastAsia" w:ascii="仿宋" w:hAnsi="仿宋" w:eastAsia="仿宋" w:cs="仿宋"/>
          <w:sz w:val="32"/>
          <w:szCs w:val="32"/>
        </w:rPr>
        <w:t>内设机构8个，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综合股</w:t>
      </w:r>
      <w:r>
        <w:rPr>
          <w:rFonts w:hint="eastAsia" w:ascii="仿宋" w:hAnsi="仿宋" w:eastAsia="仿宋" w:cs="仿宋"/>
          <w:sz w:val="32"/>
          <w:szCs w:val="32"/>
        </w:rPr>
        <w:t>、财务股、人事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股、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信访室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产业发展</w:t>
      </w:r>
      <w:r>
        <w:rPr>
          <w:rFonts w:hint="eastAsia" w:ascii="仿宋" w:hAnsi="仿宋" w:eastAsia="仿宋" w:cs="仿宋"/>
          <w:sz w:val="32"/>
          <w:szCs w:val="32"/>
        </w:rPr>
        <w:t>股、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储备管理</w:t>
      </w:r>
      <w:r>
        <w:rPr>
          <w:rFonts w:hint="eastAsia" w:ascii="仿宋" w:hAnsi="仿宋" w:eastAsia="仿宋" w:cs="仿宋"/>
          <w:sz w:val="32"/>
          <w:szCs w:val="32"/>
        </w:rPr>
        <w:t>股、行业发展股、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政策法规和执法</w:t>
      </w:r>
      <w:r>
        <w:rPr>
          <w:rFonts w:hint="eastAsia" w:ascii="仿宋" w:hAnsi="仿宋" w:eastAsia="仿宋" w:cs="仿宋"/>
          <w:sz w:val="32"/>
          <w:szCs w:val="32"/>
        </w:rPr>
        <w:t>监督股。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三、部门预算单位构成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13131"/>
          <w:kern w:val="0"/>
          <w:sz w:val="32"/>
          <w:szCs w:val="32"/>
        </w:rPr>
        <w:t>根据部门预算管理有关规定，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本预算为汇总预算，包括局机关本级预算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个局属单位预算，具体是：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罗山县粮食和物资储备中心本级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2、罗山县粮食执法大队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第二部分  20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年度部门预算情况说明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一、收入支出预算总体情况说明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年收入总计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408.81</w:t>
      </w:r>
      <w:r>
        <w:rPr>
          <w:rFonts w:hint="eastAsia" w:ascii="仿宋" w:hAnsi="仿宋" w:eastAsia="仿宋" w:cs="仿宋"/>
          <w:sz w:val="32"/>
          <w:szCs w:val="32"/>
        </w:rPr>
        <w:t>万元，支出总计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408.81</w:t>
      </w:r>
      <w:r>
        <w:rPr>
          <w:rFonts w:hint="eastAsia" w:ascii="仿宋" w:hAnsi="仿宋" w:eastAsia="仿宋" w:cs="仿宋"/>
          <w:sz w:val="32"/>
          <w:szCs w:val="32"/>
        </w:rPr>
        <w:t>万元，与20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年相比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收、支总计各增加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15.87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3.9</w:t>
      </w:r>
      <w:r>
        <w:rPr>
          <w:rFonts w:hint="eastAsia" w:ascii="仿宋" w:hAnsi="仿宋" w:eastAsia="仿宋" w:cs="仿宋"/>
          <w:sz w:val="32"/>
          <w:szCs w:val="32"/>
        </w:rPr>
        <w:t>%，主要原因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是人员工资、社保金增加。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二、收入预算总体情况说明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年收入合计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408.81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，其中：一般公共预算收入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408.81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万元；政府性基金预算收入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万元；国有资本经营预算收入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万元，专户管理的教育收费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万元，专户管理的教育收费结余（结转）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万元，部门结转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三、支出预算总体情况说明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年支出合计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408.81</w:t>
      </w:r>
      <w:r>
        <w:rPr>
          <w:rFonts w:hint="eastAsia" w:ascii="仿宋" w:hAnsi="仿宋" w:eastAsia="仿宋" w:cs="仿宋"/>
          <w:sz w:val="32"/>
          <w:szCs w:val="32"/>
        </w:rPr>
        <w:t>万元，其中：基本支出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158.03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38.66</w:t>
      </w:r>
      <w:r>
        <w:rPr>
          <w:rFonts w:hint="eastAsia" w:ascii="仿宋" w:hAnsi="仿宋" w:eastAsia="仿宋" w:cs="仿宋"/>
          <w:kern w:val="0"/>
          <w:sz w:val="32"/>
          <w:szCs w:val="32"/>
        </w:rPr>
        <w:t>%；项目支出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250.78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61.34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四、财政拨款收入支出预算总体情况说明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年一般公共预算收支预算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408.81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万元，政府性基金收支预算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万元，国有资本经营预算收支预算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万元。与20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年相比，一般公共预算收支预算增加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15.87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3.9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%，主要原因是：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人员工资、社保金增加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；政府性基金收支预算增加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%，；国有资本经营预算收支预算增加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五、一般公共预算支出预算情况说明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年一般公共预算支出年初预算为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408.81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万元。主要用于以下方面：一般公共服务（类）支出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%；国防（类）支出（兵役征集）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%；教育（类）支出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%；科学技术（类）支出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%；文化体育与传媒（类）支出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%；社会保障和就业（类）支出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27.11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6.63</w:t>
      </w:r>
      <w:r>
        <w:rPr>
          <w:rFonts w:hint="eastAsia" w:ascii="仿宋" w:hAnsi="仿宋" w:eastAsia="仿宋" w:cs="仿宋"/>
          <w:kern w:val="0"/>
          <w:sz w:val="32"/>
          <w:szCs w:val="32"/>
        </w:rPr>
        <w:t>%；医疗卫生与计划生育（类）支出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7.55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1.84</w:t>
      </w:r>
      <w:r>
        <w:rPr>
          <w:rFonts w:hint="eastAsia" w:ascii="仿宋" w:hAnsi="仿宋" w:eastAsia="仿宋" w:cs="仿宋"/>
          <w:kern w:val="0"/>
          <w:sz w:val="32"/>
          <w:szCs w:val="32"/>
        </w:rPr>
        <w:t>%；农林水（类）支出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%；住房保障（类）支出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11.31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2.77</w:t>
      </w:r>
      <w:r>
        <w:rPr>
          <w:rFonts w:hint="eastAsia" w:ascii="仿宋" w:hAnsi="仿宋" w:eastAsia="仿宋" w:cs="仿宋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;粮油物资储备支出362.84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88.76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FF"/>
          <w:kern w:val="0"/>
          <w:sz w:val="32"/>
          <w:szCs w:val="32"/>
          <w:highlight w:val="magent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六、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支出预算经济分类情况说明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按照《财政部关于印发&lt;支出经济分类科目改革方案&gt;的通知》（财预〔2017〕98号）要求，从2018年起全面实施支出经济分类科目改革，根据政府预算管理和部门预算管理的不同特点，分设部门预算支出经济分类科目和政府预算支出经济分类科目，两套科目之间保持对应关系。为适应改革要求，我单位《支出经济分类汇总表》按两套经济分类科目分别反映不同资金来源的全部预算支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、一般公共预算基本支出情况说明。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年一般公共预算基本支出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158.03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万元，其中：人员经费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154.01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主要包括：基本工资、津贴补贴、奖金、社会保障缴费、伙食补助费、绩效工资、其他工资福利支出、离休费、退休费、退职（役）费、抚恤金、生活补助、医疗费、助学金、奖励金、住房公积金、提租补贴、购房补贴、其他对个人和家庭的补助支出；公用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、政府性基金预算支出情况说明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年没有使用政府性基金预算拨款安排的支出。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、“三公”经费支出预算情况说明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罗山县粮食和物资储备中心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年“三公”经费预算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。202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年“三公”经费支出预算数比20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具体支出情况如下：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（一）因公出国（境）费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万元。预算数比20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%。主要原因是：</w:t>
      </w:r>
      <w:r>
        <w:rPr>
          <w:rFonts w:hint="eastAsia" w:ascii="仿宋" w:hAnsi="仿宋" w:eastAsia="仿宋" w:cs="仿宋"/>
          <w:b w:val="0"/>
          <w:bCs/>
          <w:spacing w:val="-1"/>
          <w:kern w:val="0"/>
          <w:sz w:val="32"/>
          <w:szCs w:val="32"/>
          <w:lang w:eastAsia="zh-CN"/>
        </w:rPr>
        <w:t>无出国业务故不产生费用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（二）公务接待费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万元，比20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%。主要原因是：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因政府规定单位同城不招待，单位没有外宾接待业务及出国业务，故不产生公务接待费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（三）公务用车购置及运行费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其中，公务用车运行维护费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比20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%，主要原因是：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单位实行公车改革，单位公车政府集中拍卖，不保留公车，故不产生公务用车购置及运行费用。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公务用车购置费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，比20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%，主要原因是：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公务用车购置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、其他重要事项的情况说明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（一）机关运行经费支出情况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年机关运行经费支出预算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4.02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万元，主要保障机构正常运转及正常履职需要，比20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年减少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5.59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58.16</w:t>
      </w:r>
      <w:r>
        <w:rPr>
          <w:rFonts w:hint="eastAsia" w:ascii="仿宋" w:hAnsi="仿宋" w:eastAsia="仿宋" w:cs="仿宋"/>
          <w:kern w:val="0"/>
          <w:sz w:val="32"/>
          <w:szCs w:val="32"/>
        </w:rPr>
        <w:t>%，主要原因：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加强财务管理，减少办公费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0.9万元，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水电费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1.2万元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、差旅费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1.5万元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等费用开支，增收节支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（二）政府采购支出情况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年政府采购预算安排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万元，其中：政府采购货物预算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万元、政府采购工程预算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万元、政府采购服务预算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（三）绩效目标设置情况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left="319" w:leftChars="152" w:firstLine="0" w:firstLineChars="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我单位202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666666"/>
          <w:kern w:val="0"/>
          <w:sz w:val="32"/>
          <w:szCs w:val="32"/>
          <w:shd w:val="clear" w:color="auto" w:fill="FFFFFF"/>
          <w:lang w:eastAsia="zh-CN"/>
        </w:rPr>
        <w:t>没有重点项目预算，故没有绩效目标说明。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（四）国有资产占用情况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年期末，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共有车辆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辆，其中：一般公务用车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辆、一般执法执勤用车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辆、其他用车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辆，单价50万元以上通用设备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套，单位价值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100.00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万元以上专用设备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套。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（五）专项转移支付项目情况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罗山县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负责管理的专项转移支付项目共有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项。</w:t>
      </w:r>
    </w:p>
    <w:p>
      <w:pPr>
        <w:adjustRightInd w:val="0"/>
        <w:snapToGrid w:val="0"/>
        <w:spacing w:line="560" w:lineRule="exact"/>
        <w:ind w:firstLine="643" w:firstLineChars="200"/>
        <w:jc w:val="center"/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第三部分</w:t>
      </w:r>
    </w:p>
    <w:p>
      <w:pPr>
        <w:adjustRightInd w:val="0"/>
        <w:snapToGrid w:val="0"/>
        <w:spacing w:line="560" w:lineRule="exact"/>
        <w:ind w:firstLine="643" w:firstLineChars="200"/>
        <w:jc w:val="center"/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名词解释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一、财政拨款收入：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是指市级财政当年拨付的资金。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二、事业收入：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是指事业单位开展专业活动及辅助活动所取得的收入。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三、其他收入：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是指部门取得的除“财政拨款”、“事业收入”、“事业单位经营收入”等以外的收入。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四、用事业基金弥补收支差额：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五、基本支出：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是指为保障机构正常运转、完成日常工作任务所必需的开支，其内容包括人员经费和日常公用经费两部分。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六、项目支出：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是指在基本支出之外，为完成特定的行政工作任务或事业发展目标所发生的支出。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七、“三公”经费：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纳入市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八、机关运行经费：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粮食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和物资储备中心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年度部门预算表.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AB31B"/>
    <w:multiLevelType w:val="singleLevel"/>
    <w:tmpl w:val="896AB31B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5NTkwZTJhOWRkM2ZjNmExYjc0MWRlYjYyOWEzMjcifQ=="/>
  </w:docVars>
  <w:rsids>
    <w:rsidRoot w:val="002D69AE"/>
    <w:rsid w:val="002D69AE"/>
    <w:rsid w:val="009531DB"/>
    <w:rsid w:val="014B4EA1"/>
    <w:rsid w:val="02BE2ED7"/>
    <w:rsid w:val="05792816"/>
    <w:rsid w:val="05B11573"/>
    <w:rsid w:val="05B12DF0"/>
    <w:rsid w:val="05ED6429"/>
    <w:rsid w:val="06BE088C"/>
    <w:rsid w:val="071F1628"/>
    <w:rsid w:val="07CE2A0D"/>
    <w:rsid w:val="08261671"/>
    <w:rsid w:val="08C274F9"/>
    <w:rsid w:val="09D141EB"/>
    <w:rsid w:val="0BE178E3"/>
    <w:rsid w:val="11F10624"/>
    <w:rsid w:val="12001C91"/>
    <w:rsid w:val="12311DC9"/>
    <w:rsid w:val="147E5131"/>
    <w:rsid w:val="1544763D"/>
    <w:rsid w:val="17662F04"/>
    <w:rsid w:val="186E06F3"/>
    <w:rsid w:val="18BF4B6D"/>
    <w:rsid w:val="198F4E50"/>
    <w:rsid w:val="1C7F7ED4"/>
    <w:rsid w:val="1C956B84"/>
    <w:rsid w:val="1CBC0BD7"/>
    <w:rsid w:val="1D023CCB"/>
    <w:rsid w:val="1EFE6129"/>
    <w:rsid w:val="1F4A7E40"/>
    <w:rsid w:val="20685D99"/>
    <w:rsid w:val="21A725AE"/>
    <w:rsid w:val="229F0A41"/>
    <w:rsid w:val="22E11C3B"/>
    <w:rsid w:val="24537449"/>
    <w:rsid w:val="27353155"/>
    <w:rsid w:val="2A0E278B"/>
    <w:rsid w:val="2A4D3402"/>
    <w:rsid w:val="2AFC20C4"/>
    <w:rsid w:val="2B885F42"/>
    <w:rsid w:val="324D69CA"/>
    <w:rsid w:val="32DA3DFA"/>
    <w:rsid w:val="3468781E"/>
    <w:rsid w:val="35800B2F"/>
    <w:rsid w:val="380734F3"/>
    <w:rsid w:val="384C5643"/>
    <w:rsid w:val="38595782"/>
    <w:rsid w:val="3A595F68"/>
    <w:rsid w:val="3B4D174A"/>
    <w:rsid w:val="3BE66AAF"/>
    <w:rsid w:val="3E52452B"/>
    <w:rsid w:val="3F0C7DF4"/>
    <w:rsid w:val="3F62780F"/>
    <w:rsid w:val="40C70314"/>
    <w:rsid w:val="43F83DA7"/>
    <w:rsid w:val="4446418D"/>
    <w:rsid w:val="459A6FA3"/>
    <w:rsid w:val="471F1BDF"/>
    <w:rsid w:val="4847426C"/>
    <w:rsid w:val="489E177B"/>
    <w:rsid w:val="49962B84"/>
    <w:rsid w:val="4A1C3838"/>
    <w:rsid w:val="4A6816E9"/>
    <w:rsid w:val="4BAB7A85"/>
    <w:rsid w:val="4BE11DF6"/>
    <w:rsid w:val="4CB36C56"/>
    <w:rsid w:val="513F34B3"/>
    <w:rsid w:val="53E13970"/>
    <w:rsid w:val="54665003"/>
    <w:rsid w:val="55BE06C7"/>
    <w:rsid w:val="56580538"/>
    <w:rsid w:val="587F088C"/>
    <w:rsid w:val="5A7C5F04"/>
    <w:rsid w:val="5BB744B2"/>
    <w:rsid w:val="5FE730FF"/>
    <w:rsid w:val="5FEE53D3"/>
    <w:rsid w:val="60454D19"/>
    <w:rsid w:val="61462E12"/>
    <w:rsid w:val="6232236E"/>
    <w:rsid w:val="633337B3"/>
    <w:rsid w:val="652C5826"/>
    <w:rsid w:val="65C240C8"/>
    <w:rsid w:val="67AC41FE"/>
    <w:rsid w:val="69E26F03"/>
    <w:rsid w:val="6AAA3DFE"/>
    <w:rsid w:val="6B865336"/>
    <w:rsid w:val="6C2D6C9C"/>
    <w:rsid w:val="6D96012E"/>
    <w:rsid w:val="6E7745CE"/>
    <w:rsid w:val="6EEC0FBC"/>
    <w:rsid w:val="6FB645DF"/>
    <w:rsid w:val="70394977"/>
    <w:rsid w:val="71C92026"/>
    <w:rsid w:val="731460F6"/>
    <w:rsid w:val="733913C9"/>
    <w:rsid w:val="73502FD9"/>
    <w:rsid w:val="73D73B1A"/>
    <w:rsid w:val="75397705"/>
    <w:rsid w:val="7840031F"/>
    <w:rsid w:val="78542BE7"/>
    <w:rsid w:val="7CBE4164"/>
    <w:rsid w:val="7D2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33A1-3933-48B1-83F8-EC5F11BA90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3996</Words>
  <Characters>4321</Characters>
  <Lines>27</Lines>
  <Paragraphs>7</Paragraphs>
  <TotalTime>0</TotalTime>
  <ScaleCrop>false</ScaleCrop>
  <LinksUpToDate>false</LinksUpToDate>
  <CharactersWithSpaces>4374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2019-01-16T23:38:00Z</dcterms:created>
  <dc:creator>370993131@qq.com</dc:creator>
  <cp:lastModifiedBy>忠实</cp:lastModifiedBy>
  <cp:lastPrinted>2021-07-01T01:08:00Z</cp:lastPrinted>
  <dcterms:modified xsi:type="dcterms:W3CDTF">2022-09-08T01:28:45Z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CC91C2C091884039AFBBDCFF314D7194</vt:lpwstr>
  </property>
</Properties>
</file>