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b/>
          <w:bCs/>
          <w:sz w:val="30"/>
          <w:szCs w:val="30"/>
        </w:rPr>
      </w:pPr>
      <w:r>
        <w:rPr>
          <w:rFonts w:hint="eastAsia" w:ascii="文星标宋" w:hAnsi="文星标宋" w:eastAsia="文星标宋" w:cs="文星标宋"/>
          <w:b/>
          <w:bCs/>
          <w:sz w:val="44"/>
          <w:szCs w:val="44"/>
        </w:rPr>
        <w:t>罗山县202</w:t>
      </w:r>
      <w:r>
        <w:rPr>
          <w:rFonts w:hint="eastAsia" w:ascii="文星标宋" w:hAnsi="文星标宋" w:eastAsia="文星标宋" w:cs="文星标宋"/>
          <w:b/>
          <w:bCs/>
          <w:sz w:val="44"/>
          <w:szCs w:val="44"/>
          <w:lang w:val="en-US" w:eastAsia="zh-CN"/>
        </w:rPr>
        <w:t>1</w:t>
      </w:r>
      <w:r>
        <w:rPr>
          <w:rFonts w:hint="eastAsia" w:ascii="文星标宋" w:hAnsi="文星标宋" w:eastAsia="文星标宋" w:cs="文星标宋"/>
          <w:b/>
          <w:bCs/>
          <w:sz w:val="44"/>
          <w:szCs w:val="44"/>
        </w:rPr>
        <w:t>年</w:t>
      </w:r>
      <w:r>
        <w:rPr>
          <w:rFonts w:hint="eastAsia" w:ascii="文星标宋" w:hAnsi="文星标宋" w:eastAsia="文星标宋" w:cs="文星标宋"/>
          <w:b/>
          <w:bCs/>
          <w:sz w:val="44"/>
          <w:szCs w:val="44"/>
          <w:lang w:eastAsia="zh-CN"/>
        </w:rPr>
        <w:t>重大政策和重点项目</w:t>
      </w:r>
      <w:r>
        <w:rPr>
          <w:rFonts w:hint="eastAsia" w:ascii="文星标宋" w:hAnsi="文星标宋" w:eastAsia="文星标宋" w:cs="文星标宋"/>
          <w:b/>
          <w:bCs/>
          <w:sz w:val="44"/>
          <w:szCs w:val="44"/>
        </w:rPr>
        <w:t>预算绩效管理工作开展情况的说明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left="0" w:leftChars="0" w:firstLine="600" w:firstLineChars="200"/>
        <w:textAlignment w:val="auto"/>
        <w:rPr>
          <w:rFonts w:hint="eastAsia" w:ascii="仿宋_GB2312" w:hAnsi="宋体" w:eastAsia="仿宋_GB2312" w:cs="仿宋_GB2312"/>
          <w:spacing w:val="6"/>
          <w:sz w:val="32"/>
          <w:szCs w:val="32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 xml:space="preserve"> </w:t>
      </w:r>
      <w:r>
        <w:rPr>
          <w:rFonts w:hint="eastAsia" w:ascii="仿宋_GB2312" w:hAnsi="宋体" w:eastAsia="仿宋_GB2312" w:cs="仿宋_GB2312"/>
          <w:spacing w:val="6"/>
          <w:sz w:val="32"/>
          <w:szCs w:val="32"/>
        </w:rPr>
        <w:t>2021年</w:t>
      </w:r>
      <w:r>
        <w:rPr>
          <w:rFonts w:hint="eastAsia" w:ascii="仿宋_GB2312" w:hAnsi="宋体" w:eastAsia="仿宋_GB2312" w:cs="仿宋_GB2312"/>
          <w:spacing w:val="6"/>
          <w:sz w:val="32"/>
          <w:szCs w:val="32"/>
          <w:lang w:eastAsia="zh-CN"/>
        </w:rPr>
        <w:t>财政工作压力之大、挑战之多前所未有。在新一届县委的坚强领导和县人大、县政协的监督指导下，我们坚持</w:t>
      </w:r>
      <w:r>
        <w:rPr>
          <w:rFonts w:hint="eastAsia" w:ascii="仿宋_GB2312" w:hAnsi="宋体" w:eastAsia="仿宋_GB2312" w:cs="仿宋_GB2312"/>
          <w:spacing w:val="6"/>
          <w:sz w:val="32"/>
          <w:szCs w:val="32"/>
        </w:rPr>
        <w:t>以习近平新时代中国特色社会主义思想为指导，坚持稳中求进工作总基调，统筹疫情常态化防控和经济社会发展，协调巩固拓展脱贫攻坚成果和乡村振兴有效衔接，积极推动财源建设，大力组织收入，优化支出结构，兜牢“三保”底线，防范化解债务风险，有力有序推进各项财政工作，</w:t>
      </w:r>
      <w:r>
        <w:rPr>
          <w:rFonts w:hint="eastAsia" w:ascii="仿宋_GB2312" w:hAnsi="宋体" w:eastAsia="仿宋_GB2312" w:cs="仿宋_GB2312"/>
          <w:spacing w:val="6"/>
          <w:sz w:val="32"/>
          <w:szCs w:val="32"/>
          <w:lang w:eastAsia="zh-CN"/>
        </w:rPr>
        <w:t>全县</w:t>
      </w:r>
      <w:r>
        <w:rPr>
          <w:rFonts w:hint="eastAsia" w:ascii="仿宋_GB2312" w:hAnsi="宋体" w:eastAsia="仿宋_GB2312" w:cs="仿宋_GB2312"/>
          <w:spacing w:val="6"/>
          <w:sz w:val="32"/>
          <w:szCs w:val="32"/>
        </w:rPr>
        <w:t>财政运行总体平稳</w:t>
      </w:r>
      <w:r>
        <w:rPr>
          <w:rFonts w:hint="eastAsia" w:ascii="仿宋_GB2312" w:hAnsi="宋体" w:eastAsia="仿宋_GB2312" w:cs="仿宋_GB2312"/>
          <w:spacing w:val="6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保障能力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持续增强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积极组织收入。面对经济下行和新冠肺炎疫情的严峻考验，进一步明确收入任务，强化征管措施，大力挖潜堵漏，一般公共预算收入实现了逆势增长。2021年，我县地方一般公共预算收入完成86126万元，同比增长13.9%，增幅位居全市第五，高于全市平均增幅2.3个百分点。其中，税收完成53704万元，占一般公共预算收入的62.4%。二是积极争取上级支持。围绕国家投资导向，加强项目谋划和汇报衔接。全年共计争取转移支付资金36.77亿元，债券资金10.62亿元，大大增强了财政保障能力。三是有效盘活土地资源。加快城镇规划区内建设用地出让，实现土地出让及指标交易收入88073万元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556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二、服务发展积极有为。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全力支持重点项目建设。牢固树立“项目为王”理念，加大对中央预算内投资、本级预算、债券资金统筹力度，全力为华水江淮校区、引九济石、龟山湖生态公园、内河治理等重点工程建设保驾护航。二是大力支持实体经济发展。不折不扣贯彻落实减税降费政策，全年落实新增减税降费政策4910万元。积极开展“万人助万企”活动，充分发挥担保、助保贷、应急周转金作用，进一步降低反担保要求和担保费率，主动为企业排忧解难。全年为58家企业担保融资11257万元。三是持续优化营商环境。聚焦政府采购突出问题和关键环节，完善管理制度，优化工作流程，着力降成本、疏堵点、优服务，全力打造公开、公平、公正的政府采购环境。四是深化国资国企改革。成立了投融资促进中心，建立了“1+3+N”国资监管运营架构，加强资源整合，组建了宝元产投、宝城建投、宝鑫发投3家企业，聚焦江淮新区发展、产业集聚区园区运营、乡村振兴、文化旅游等五大板块，保障重大项目实施。四是全力落实资金直达机制。直达资金下达后，精准对接，快速拨付。全年落实直达资金150155.16万元，较好地发挥了财政政策效能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line="556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三、民生福祉优先保障。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持尽力而为，量力而行，持续解决群众的“急难愁盼”问题，不断增强人民群众幸福感、获得感。2021年，全县民生支出34.3亿元，占一般公共预算支出的75%。一是“三保”支出保障有力。加大转移支付资金以及自有财力统筹力度，坚持“三保”支出在预算安排和库款调度方面的优先顺序，兜牢兜实“三保”底线。二是多措并举促进就业。拨付就业资金1174万元，落实公益性岗位补贴、搭建就业服务网上平台、职业技能培训等就业创业扶持政策，重点支持大学生、退役军人、就业困难人员等重点群体就业创业。三是提升社会保障水平。投入资金11129万元，确保困难群众和特殊困难群体基本生活得到有效保障。机关事业单位退休人员基本养老金标准、城乡低保补助标准进一步提高。投入资金3612万元，支持退役军人安置和优抚优待政策落实。四是守好人民健康。抓实常态化疫情防控，投入资金4384万元，保障新冠肺炎疫苗有序接种及日常疫情防控经费需求。拨付基本公共卫生补助资金3942万元，基本药物制度资金1118万元，提升基本公共卫生服务能力。五是促进教育公平。拨付资金</w:t>
      </w:r>
      <w:r>
        <w:rPr>
          <w:rFonts w:hint="eastAsia" w:ascii="仿宋_GB2312" w:hAnsi="仿宋_GB2312" w:eastAsia="仿宋_GB2312" w:cs="仿宋_GB2312"/>
          <w:sz w:val="32"/>
          <w:szCs w:val="32"/>
          <w:lang w:val="en-GB" w:eastAsia="zh-CN"/>
        </w:rPr>
        <w:t>8176万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元，保障义务教育阶段学校正常运转；拨付资金3623万元，落实教育资助政策；拨付资金</w:t>
      </w:r>
      <w:r>
        <w:rPr>
          <w:rFonts w:hint="eastAsia" w:ascii="仿宋_GB2312" w:hAnsi="仿宋_GB2312" w:eastAsia="仿宋_GB2312" w:cs="仿宋_GB2312"/>
          <w:sz w:val="32"/>
          <w:szCs w:val="32"/>
          <w:lang w:val="en-GB" w:eastAsia="zh-CN"/>
        </w:rPr>
        <w:t>2085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万元，改善办学条件。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56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四、“三农”基础不断夯实。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持续巩固脱贫攻坚成果。严格落实过渡期内“四个不摘”要求，继续加大统筹整合财政涉农资金力度，全年统筹整合财政资金31245万元，支持改善基础设施，推动产业发展，全面落实医疗等救助政策，牢牢守住了不发生规模性返贫的底线。二是切实扛稳粮食安全责任。投入资金15322万元，支持建设12万亩高标准农田建设，巩固提升粮食综合生产能力。全面落实惠农补贴政策，发放耕地地力保护补贴资金11423万元、农机购置补贴资金1806万元，稻谷补贴资金3547万元。筹措保险保费6163万元，推动农业保险“扩面、提标、增品”，促进现代农业发展和农民增收。三是扎实推进美丽乡村建设。投入资金15322万元，支持县乡公路建设。投入资金4983万元，实施农村生活垃圾治理和户厕改造；投入资金14711万元，支持村级集体经济发展试点项目、村级公益事业项目和美丽乡村建设项目，农村生产生活条件持续改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56" w:lineRule="exact"/>
        <w:ind w:left="0" w:leftChars="0"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五、财政改革稳步推进。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是深入推进预算一体化改革。按照省财政厅一体化建设方案要求，细化工作任务，夯实工作责任，强化业务培训，有序推进各项工作，确保了2022年1月1日起预算管理一体化系统上线运行。二是推进财政电子票据改革。全县167家用票单位实现电子票据管理全覆盖，较好发挥了财政票据“以票控收”“源头管理”作用。三是推进惠民惠农补贴发放方式改革。聚焦群众申领补贴资金过程中遇到的难题，在全县推行以社会保障卡为载体集中发放补贴资金。截至12月底，初步实现了补贴资金通过“一卡通”系统发放。四是扎实开展预决算公开。对2018-2020年全县预决算公开开展了多轮在线审核，发现问题及时督促整改到位，力求做到公开及时、内容完整、形式规范。一级预算单位预决算信息公开比例100%。五是启动预算绩效管理。充分学习借鉴外地经验，制定了《关于全面实施预算绩效管理的意见》和绩效目标管理、绩效监控、绩效评价、结果应用等管理办法，绩效管理制度框架初步搭建。选取了5个重大项目开展重点绩效评价，涉及金额16650万元，为全面实施绩效管理进行了有益探索。</w:t>
      </w:r>
    </w:p>
    <w:p>
      <w:pPr>
        <w:pStyle w:val="3"/>
        <w:widowControl/>
        <w:spacing w:line="600" w:lineRule="exact"/>
        <w:ind w:firstLine="640" w:firstLineChars="200"/>
        <w:jc w:val="both"/>
        <w:rPr>
          <w:rFonts w:hint="default" w:ascii="仿宋_GB2312" w:hAnsi="仿宋_GB2312" w:eastAsia="仿宋_GB2312" w:cs="仿宋_GB2312"/>
          <w:color w:val="000000"/>
          <w:kern w:val="2"/>
          <w:szCs w:val="32"/>
        </w:rPr>
      </w:pPr>
      <w:r>
        <w:rPr>
          <w:rFonts w:ascii="仿宋_GB2312" w:hAnsi="仿宋_GB2312" w:eastAsia="仿宋_GB2312" w:cs="仿宋_GB2312"/>
          <w:color w:val="000000"/>
          <w:kern w:val="2"/>
          <w:szCs w:val="32"/>
        </w:rPr>
        <w:t>同时，我们也清醒地认识到财政运行中还存在一些困难和问题：收入方面，财政收入增长乏力，传统税源萎缩、新增税源尚未显现，财源培植及收入质量改善任重道远。特别是减税降费及突如其来的新冠疫情，给财政收入造成重大冲击；支出方面，做好“六稳”工作，落实“六保”任务等刚性支出不断攀升，可用财力短缺，收支矛盾异常尖锐；政府债务方面，政府债务陆续进入偿还高峰期，偿债压力较大。财政管理方面，受项目进展制约，有些项目资金支出进度缓慢，大量资金闲置，资金使用效益没有充分发挥。</w:t>
      </w:r>
    </w:p>
    <w:p>
      <w:pPr>
        <w:rPr>
          <w:rFonts w:ascii="仿宋_GB2312" w:eastAsia="仿宋_GB2312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星标宋">
    <w:panose1 w:val="0201060900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</w:pPr>
                <w:r>
                  <w:t xml:space="preserve">—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NhOGUxODg4NzA2ZmQ1N2M5Y2FkMTRmYWFlM2ZmYWMifQ=="/>
  </w:docVars>
  <w:rsids>
    <w:rsidRoot w:val="00823C6D"/>
    <w:rsid w:val="00296505"/>
    <w:rsid w:val="003127F1"/>
    <w:rsid w:val="004E48D5"/>
    <w:rsid w:val="005E2023"/>
    <w:rsid w:val="00810C06"/>
    <w:rsid w:val="00823C6D"/>
    <w:rsid w:val="00BE293D"/>
    <w:rsid w:val="00CF00BF"/>
    <w:rsid w:val="00D66F71"/>
    <w:rsid w:val="00ED5863"/>
    <w:rsid w:val="4A5C5080"/>
    <w:rsid w:val="594C6E2E"/>
    <w:rsid w:val="5F897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tabs>
        <w:tab w:val="left" w:pos="612"/>
      </w:tabs>
      <w:topLinePunct/>
      <w:autoSpaceDE w:val="0"/>
      <w:autoSpaceDN w:val="0"/>
      <w:adjustRightInd w:val="0"/>
      <w:snapToGrid w:val="0"/>
      <w:spacing w:before="75" w:beforeLines="0" w:line="400" w:lineRule="atLeast"/>
      <w:ind w:left="612" w:hanging="432"/>
      <w:jc w:val="left"/>
      <w:textAlignment w:val="baseline"/>
      <w:outlineLvl w:val="0"/>
    </w:pPr>
    <w:rPr>
      <w:rFonts w:ascii="Arial" w:hAnsi="Arial" w:eastAsia="黑体"/>
      <w:b/>
      <w:kern w:val="44"/>
      <w:sz w:val="30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jc w:val="left"/>
      <w:outlineLvl w:val="1"/>
    </w:pPr>
    <w:rPr>
      <w:rFonts w:hint="eastAsia" w:ascii="宋体" w:hAnsi="宋体" w:eastAsia="楷体" w:cs="Times New Roman"/>
      <w:kern w:val="0"/>
      <w:sz w:val="32"/>
      <w:szCs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标题 2 Char"/>
    <w:basedOn w:val="8"/>
    <w:link w:val="3"/>
    <w:semiHidden/>
    <w:qFormat/>
    <w:uiPriority w:val="0"/>
    <w:rPr>
      <w:rFonts w:ascii="宋体" w:hAnsi="宋体" w:eastAsia="楷体" w:cs="Times New Roman"/>
      <w:kern w:val="0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2470</Words>
  <Characters>2619</Characters>
  <Lines>22</Lines>
  <Paragraphs>6</Paragraphs>
  <TotalTime>3</TotalTime>
  <ScaleCrop>false</ScaleCrop>
  <LinksUpToDate>false</LinksUpToDate>
  <CharactersWithSpaces>2620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2021-06-10T08:39:00Z</dcterms:created>
  <dc:creator>Windows User</dc:creator>
  <cp:lastModifiedBy>Administrator</cp:lastModifiedBy>
  <cp:lastPrinted>2022-10-14T01:42:10Z</cp:lastPrinted>
  <dcterms:modified xsi:type="dcterms:W3CDTF">2022-10-14T01:42:13Z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B989DC56D2A14244B6578A729C6BBC8A</vt:lpwstr>
  </property>
</Properties>
</file>