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罗山县残疾人联合会部门决算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start="1"/>
          <w:cols w:space="720" w:num="1"/>
          <w:docGrid w:type="lines" w:linePitch="317" w:charSpace="0"/>
        </w:sectPr>
      </w:pPr>
      <w:r>
        <w:rPr>
          <w:rFonts w:hint="eastAsia" w:ascii="黑体" w:hAnsi="黑体" w:eastAsia="黑体" w:cs="黑体"/>
          <w:sz w:val="32"/>
          <w:szCs w:val="32"/>
        </w:rPr>
        <w:t>二〇二</w:t>
      </w:r>
      <w:r>
        <w:rPr>
          <w:rFonts w:hint="eastAsia" w:ascii="黑体" w:hAnsi="黑体" w:eastAsia="黑体" w:cs="黑体"/>
          <w:sz w:val="32"/>
          <w:szCs w:val="32"/>
          <w:lang w:eastAsia="zh-CN"/>
        </w:rPr>
        <w:t>二</w:t>
      </w:r>
      <w:r>
        <w:rPr>
          <w:rFonts w:hint="eastAsia" w:ascii="黑体" w:hAnsi="黑体" w:eastAsia="黑体" w:cs="黑体"/>
          <w:sz w:val="32"/>
          <w:szCs w:val="32"/>
        </w:rPr>
        <w:t>年十月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罗山县残疾人联合会概况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部门机构设置</w:t>
      </w:r>
    </w:p>
    <w:p>
      <w:pPr>
        <w:jc w:val="left"/>
        <w:rPr>
          <w:rFonts w:ascii="黑体" w:hAnsi="黑体" w:eastAsia="黑体" w:cs="黑体"/>
          <w:sz w:val="32"/>
          <w:szCs w:val="32"/>
        </w:rPr>
      </w:pPr>
    </w:p>
    <w:p>
      <w:pPr>
        <w:widowControl/>
        <w:tabs>
          <w:tab w:val="left" w:pos="1322"/>
        </w:tabs>
        <w:spacing w:line="480" w:lineRule="auto"/>
        <w:rPr>
          <w:rFonts w:ascii="黑体" w:hAnsi="黑体" w:eastAsia="黑体" w:cs="方正小标宋简体"/>
          <w:color w:val="333333"/>
          <w:kern w:val="0"/>
          <w:sz w:val="32"/>
          <w:szCs w:val="32"/>
        </w:rPr>
      </w:pPr>
      <w:r>
        <w:rPr>
          <w:rFonts w:hint="eastAsia" w:ascii="黑体" w:hAnsi="黑体" w:eastAsia="黑体" w:cs="方正小标宋简体"/>
          <w:color w:val="333333"/>
          <w:kern w:val="0"/>
          <w:sz w:val="32"/>
          <w:szCs w:val="32"/>
        </w:rPr>
        <w:t>第</w:t>
      </w:r>
      <w:r>
        <w:rPr>
          <w:rFonts w:hint="eastAsia" w:ascii="黑体" w:hAnsi="黑体" w:eastAsia="黑体" w:cs="方正小标宋简体"/>
          <w:color w:val="333333"/>
          <w:kern w:val="0"/>
          <w:sz w:val="32"/>
          <w:szCs w:val="32"/>
          <w:lang w:eastAsia="zh-CN"/>
        </w:rPr>
        <w:t>二</w:t>
      </w:r>
      <w:r>
        <w:rPr>
          <w:rFonts w:hint="eastAsia" w:ascii="黑体" w:hAnsi="黑体" w:eastAsia="黑体" w:cs="方正小标宋简体"/>
          <w:color w:val="333333"/>
          <w:kern w:val="0"/>
          <w:sz w:val="32"/>
          <w:szCs w:val="32"/>
        </w:rPr>
        <w:t>部分    罗山</w:t>
      </w:r>
      <w:r>
        <w:rPr>
          <w:rFonts w:hint="eastAsia" w:ascii="黑体" w:hAnsi="黑体" w:eastAsia="黑体" w:cs="方正小标宋简体"/>
          <w:color w:val="333333"/>
          <w:kern w:val="0"/>
          <w:sz w:val="32"/>
          <w:szCs w:val="32"/>
          <w:lang w:eastAsia="zh-CN"/>
        </w:rPr>
        <w:t>县</w:t>
      </w:r>
      <w:r>
        <w:rPr>
          <w:rFonts w:hint="eastAsia" w:ascii="黑体" w:hAnsi="黑体" w:eastAsia="黑体" w:cs="方正小标宋简体"/>
          <w:color w:val="333333"/>
          <w:kern w:val="0"/>
          <w:sz w:val="32"/>
          <w:szCs w:val="32"/>
        </w:rPr>
        <w:t>残联202</w:t>
      </w:r>
      <w:r>
        <w:rPr>
          <w:rFonts w:hint="eastAsia" w:ascii="黑体" w:hAnsi="黑体" w:eastAsia="黑体" w:cs="方正小标宋简体"/>
          <w:color w:val="333333"/>
          <w:kern w:val="0"/>
          <w:sz w:val="32"/>
          <w:szCs w:val="32"/>
          <w:lang w:val="en-US" w:eastAsia="zh-CN"/>
        </w:rPr>
        <w:t>1</w:t>
      </w:r>
      <w:r>
        <w:rPr>
          <w:rFonts w:hint="eastAsia" w:ascii="黑体" w:hAnsi="黑体" w:eastAsia="黑体" w:cs="方正小标宋简体"/>
          <w:color w:val="333333"/>
          <w:kern w:val="0"/>
          <w:sz w:val="32"/>
          <w:szCs w:val="32"/>
        </w:rPr>
        <w:t>年度部门决算表</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一、收入支出决算总表</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二、收入决算总表</w:t>
      </w:r>
    </w:p>
    <w:p>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三、支出决算总表</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四、财政拨款收入支出决算总表</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五、一般公共预算财政拨款支出决算表</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六、一般公共预算财政拨款基本支出决算表</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七、一般公共预算财政拨款“三公”经费支出决算表</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八、政府性基金预算财政拨款收入支出决算表</w:t>
      </w:r>
    </w:p>
    <w:p>
      <w:pPr>
        <w:widowControl/>
        <w:adjustRightInd w:val="0"/>
        <w:snapToGrid w:val="0"/>
        <w:spacing w:line="640" w:lineRule="exact"/>
        <w:ind w:right="100" w:firstLine="640" w:firstLineChars="200"/>
        <w:jc w:val="left"/>
        <w:rPr>
          <w:rFonts w:ascii="仿宋" w:hAnsi="仿宋" w:eastAsia="仿宋" w:cs="仿宋"/>
          <w:sz w:val="32"/>
          <w:szCs w:val="32"/>
        </w:rPr>
      </w:pP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p>
    <w:p>
      <w:pPr>
        <w:jc w:val="left"/>
        <w:rPr>
          <w:rFonts w:hint="eastAsia" w:ascii="黑体" w:hAnsi="黑体" w:eastAsia="黑体" w:cs="黑体"/>
          <w:sz w:val="32"/>
          <w:szCs w:val="32"/>
        </w:rPr>
      </w:pPr>
    </w:p>
    <w:p>
      <w:pPr>
        <w:jc w:val="left"/>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部分　　罗山县残联202</w:t>
      </w:r>
      <w:r>
        <w:rPr>
          <w:rFonts w:hint="eastAsia" w:ascii="黑体" w:hAnsi="黑体" w:eastAsia="黑体" w:cs="黑体"/>
          <w:sz w:val="32"/>
          <w:szCs w:val="32"/>
          <w:lang w:val="en-US" w:eastAsia="zh-CN"/>
        </w:rPr>
        <w:t>1</w:t>
      </w:r>
      <w:r>
        <w:rPr>
          <w:rFonts w:hint="eastAsia" w:ascii="黑体" w:hAnsi="黑体" w:eastAsia="黑体" w:cs="黑体"/>
          <w:sz w:val="32"/>
          <w:szCs w:val="32"/>
        </w:rPr>
        <w:t>年度部门决算情况说明</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一、收入支出决算总体情况说明</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二、收入决算情况说明</w:t>
      </w:r>
    </w:p>
    <w:p>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三、支出决算情况说明</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四、财政拨款收入支出决算总体情况说明</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五、一般公共预算财政拨款支出决算情况说明</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七、一般公共预算财政拨款“三公”经费支出决算情况说明</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八、政府性基金预算财政拨款支出决算情况说明</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、机关运行经费支出情况说明</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rPr>
        <w:t>十、政府采购支出情况说明</w:t>
      </w:r>
    </w:p>
    <w:p>
      <w:pPr>
        <w:widowControl/>
        <w:adjustRightInd w:val="0"/>
        <w:snapToGrid w:val="0"/>
        <w:spacing w:line="640" w:lineRule="exact"/>
        <w:ind w:right="100" w:firstLine="640" w:firstLineChars="200"/>
        <w:jc w:val="left"/>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一</w:t>
      </w:r>
      <w:r>
        <w:rPr>
          <w:rFonts w:hint="eastAsia" w:ascii="仿宋" w:hAnsi="仿宋" w:eastAsia="仿宋" w:cs="仿宋"/>
          <w:sz w:val="32"/>
          <w:szCs w:val="32"/>
        </w:rPr>
        <w:t>、国有资产占用情况说明</w:t>
      </w:r>
    </w:p>
    <w:p>
      <w:pPr>
        <w:widowControl/>
        <w:adjustRightInd w:val="0"/>
        <w:snapToGrid w:val="0"/>
        <w:spacing w:line="640" w:lineRule="exact"/>
        <w:ind w:right="100" w:firstLine="640" w:firstLineChars="200"/>
        <w:jc w:val="left"/>
        <w:rPr>
          <w:rFonts w:ascii="仿宋" w:hAnsi="仿宋" w:eastAsia="仿宋" w:cs="仿宋"/>
          <w:sz w:val="32"/>
          <w:szCs w:val="32"/>
        </w:rPr>
      </w:pPr>
      <w:r>
        <w:rPr>
          <w:rFonts w:hint="eastAsia" w:ascii="仿宋" w:hAnsi="仿宋" w:eastAsia="仿宋" w:cs="仿宋"/>
          <w:sz w:val="32"/>
          <w:szCs w:val="32"/>
          <w:lang w:eastAsia="zh-CN"/>
        </w:rPr>
        <w:t>十二</w:t>
      </w:r>
      <w:r>
        <w:rPr>
          <w:rFonts w:hint="eastAsia" w:ascii="仿宋" w:hAnsi="仿宋" w:eastAsia="仿宋" w:cs="仿宋"/>
          <w:sz w:val="32"/>
          <w:szCs w:val="32"/>
        </w:rPr>
        <w:t>、预算绩效情况说明</w:t>
      </w:r>
    </w:p>
    <w:p>
      <w:pPr>
        <w:widowControl/>
        <w:adjustRightInd w:val="0"/>
        <w:snapToGrid w:val="0"/>
        <w:spacing w:line="640" w:lineRule="exact"/>
        <w:ind w:right="100" w:firstLine="640" w:firstLineChars="200"/>
        <w:jc w:val="left"/>
        <w:rPr>
          <w:rFonts w:hint="eastAsia" w:ascii="仿宋" w:hAnsi="仿宋" w:eastAsia="仿宋" w:cs="仿宋"/>
          <w:sz w:val="32"/>
          <w:szCs w:val="32"/>
        </w:rPr>
      </w:pPr>
    </w:p>
    <w:p>
      <w:pPr>
        <w:widowControl/>
        <w:tabs>
          <w:tab w:val="left" w:pos="1322"/>
        </w:tabs>
        <w:spacing w:line="480" w:lineRule="auto"/>
        <w:rPr>
          <w:rFonts w:ascii="黑体" w:hAnsi="黑体" w:eastAsia="黑体" w:cs="黑体"/>
          <w:sz w:val="32"/>
          <w:szCs w:val="32"/>
        </w:rPr>
      </w:pPr>
    </w:p>
    <w:p>
      <w:pPr>
        <w:widowControl/>
        <w:tabs>
          <w:tab w:val="left" w:pos="1322"/>
        </w:tabs>
        <w:spacing w:line="480" w:lineRule="auto"/>
        <w:rPr>
          <w:rFonts w:ascii="黑体" w:hAnsi="黑体" w:eastAsia="黑体" w:cs="方正小标宋简体"/>
          <w:color w:val="333333"/>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部分　　罗山县残联部门决算名词解释</w:t>
      </w:r>
    </w:p>
    <w:p>
      <w:pPr>
        <w:widowControl/>
        <w:tabs>
          <w:tab w:val="left" w:pos="1322"/>
        </w:tabs>
        <w:spacing w:line="480" w:lineRule="auto"/>
        <w:rPr>
          <w:rFonts w:ascii="黑体" w:hAnsi="黑体" w:eastAsia="黑体" w:cs="方正小标宋简体"/>
          <w:color w:val="333333"/>
          <w:kern w:val="0"/>
          <w:sz w:val="32"/>
          <w:szCs w:val="32"/>
        </w:rPr>
      </w:pPr>
    </w:p>
    <w:p>
      <w:pPr>
        <w:jc w:val="center"/>
        <w:rPr>
          <w:rFonts w:ascii="宋体" w:hAnsi="宋体" w:cs="隶书"/>
          <w:b/>
          <w:sz w:val="44"/>
          <w:szCs w:val="44"/>
        </w:rPr>
      </w:pPr>
    </w:p>
    <w:p>
      <w:pPr>
        <w:jc w:val="center"/>
        <w:rPr>
          <w:rFonts w:ascii="宋体" w:hAnsi="宋体" w:cs="隶书"/>
          <w:b/>
          <w:sz w:val="44"/>
          <w:szCs w:val="44"/>
        </w:rPr>
      </w:pPr>
    </w:p>
    <w:p>
      <w:pPr>
        <w:jc w:val="center"/>
        <w:rPr>
          <w:rFonts w:ascii="宋体" w:hAnsi="宋体" w:cs="隶书"/>
          <w:b/>
          <w:sz w:val="44"/>
          <w:szCs w:val="44"/>
        </w:rPr>
      </w:pPr>
    </w:p>
    <w:p>
      <w:pPr>
        <w:jc w:val="center"/>
        <w:rPr>
          <w:rFonts w:ascii="宋体" w:hAnsi="宋体" w:cs="隶书"/>
          <w:b/>
          <w:sz w:val="44"/>
          <w:szCs w:val="44"/>
        </w:rPr>
      </w:pPr>
    </w:p>
    <w:p>
      <w:pPr>
        <w:jc w:val="center"/>
        <w:rPr>
          <w:rFonts w:ascii="宋体" w:hAnsi="宋体" w:cs="隶书"/>
          <w:b/>
          <w:sz w:val="44"/>
          <w:szCs w:val="44"/>
        </w:rPr>
      </w:pPr>
    </w:p>
    <w:p>
      <w:pPr>
        <w:jc w:val="center"/>
        <w:rPr>
          <w:rFonts w:ascii="宋体" w:hAnsi="宋体" w:cs="隶书"/>
          <w:b/>
          <w:sz w:val="44"/>
          <w:szCs w:val="44"/>
        </w:rPr>
      </w:pPr>
    </w:p>
    <w:p>
      <w:pPr>
        <w:jc w:val="center"/>
        <w:rPr>
          <w:rFonts w:ascii="宋体" w:hAnsi="宋体" w:cs="隶书"/>
          <w:b/>
          <w:sz w:val="44"/>
          <w:szCs w:val="44"/>
        </w:rPr>
      </w:pPr>
    </w:p>
    <w:p>
      <w:pPr>
        <w:jc w:val="center"/>
        <w:rPr>
          <w:rFonts w:ascii="宋体" w:hAnsi="宋体" w:cs="隶书"/>
          <w:b/>
          <w:sz w:val="44"/>
          <w:szCs w:val="44"/>
        </w:rPr>
      </w:pPr>
    </w:p>
    <w:p>
      <w:pPr>
        <w:jc w:val="center"/>
        <w:rPr>
          <w:rFonts w:ascii="宋体" w:hAnsi="宋体" w:cs="仿宋_GB2312"/>
          <w:b/>
          <w:sz w:val="44"/>
          <w:szCs w:val="44"/>
        </w:rPr>
      </w:pPr>
      <w:r>
        <w:rPr>
          <w:rFonts w:hint="eastAsia" w:ascii="宋体" w:hAnsi="宋体" w:cs="隶书"/>
          <w:b/>
          <w:sz w:val="44"/>
          <w:szCs w:val="44"/>
        </w:rPr>
        <w:t>罗山残联</w:t>
      </w:r>
    </w:p>
    <w:p>
      <w:pPr>
        <w:jc w:val="center"/>
        <w:rPr>
          <w:rFonts w:ascii="宋体" w:hAnsi="宋体" w:cs="黑体"/>
          <w:b/>
          <w:sz w:val="44"/>
          <w:szCs w:val="44"/>
        </w:rPr>
      </w:pPr>
    </w:p>
    <w:p>
      <w:pPr>
        <w:jc w:val="center"/>
        <w:rPr>
          <w:rFonts w:ascii="宋体" w:hAnsi="宋体" w:cs="隶书"/>
          <w:b/>
          <w:sz w:val="44"/>
          <w:szCs w:val="44"/>
        </w:rPr>
      </w:pPr>
      <w:r>
        <w:rPr>
          <w:rFonts w:hint="eastAsia" w:ascii="宋体" w:hAnsi="宋体" w:cs="隶书"/>
          <w:b/>
          <w:sz w:val="44"/>
          <w:szCs w:val="44"/>
        </w:rPr>
        <w:t>202</w:t>
      </w:r>
      <w:r>
        <w:rPr>
          <w:rFonts w:hint="eastAsia" w:ascii="宋体" w:hAnsi="宋体" w:cs="隶书"/>
          <w:b/>
          <w:sz w:val="44"/>
          <w:szCs w:val="44"/>
          <w:lang w:val="en-US" w:eastAsia="zh-CN"/>
        </w:rPr>
        <w:t>1</w:t>
      </w:r>
      <w:r>
        <w:rPr>
          <w:rFonts w:hint="eastAsia" w:ascii="宋体" w:hAnsi="宋体" w:cs="隶书"/>
          <w:b/>
          <w:sz w:val="44"/>
          <w:szCs w:val="44"/>
        </w:rPr>
        <w:t>年度部门决算</w:t>
      </w: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pPr>
    </w:p>
    <w:p>
      <w:pPr>
        <w:widowControl/>
        <w:jc w:val="left"/>
        <w:rPr>
          <w:rFonts w:ascii="宋体" w:hAnsi="宋体" w:cs="隶书"/>
          <w:b/>
          <w:kern w:val="0"/>
          <w:sz w:val="44"/>
          <w:szCs w:val="44"/>
        </w:rPr>
        <w:sectPr>
          <w:footerReference r:id="rId4" w:type="default"/>
          <w:pgSz w:w="11906" w:h="16838"/>
          <w:pgMar w:top="1440" w:right="1800" w:bottom="1440" w:left="1800" w:header="851" w:footer="992" w:gutter="0"/>
          <w:pgNumType w:fmt="numberInDash" w:start="1"/>
          <w:cols w:space="720" w:num="1"/>
          <w:docGrid w:type="lines" w:linePitch="312" w:charSpace="0"/>
        </w:sectPr>
      </w:pPr>
    </w:p>
    <w:p>
      <w:pPr>
        <w:widowControl/>
        <w:jc w:val="left"/>
        <w:rPr>
          <w:rFonts w:ascii="宋体" w:hAnsi="宋体" w:cs="隶书"/>
          <w:b/>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r>
        <w:rPr>
          <w:rFonts w:hint="eastAsia" w:ascii="宋体" w:hAnsi="宋体" w:cs="方正小标宋简体"/>
          <w:b/>
          <w:color w:val="333333"/>
          <w:kern w:val="0"/>
          <w:sz w:val="44"/>
          <w:szCs w:val="44"/>
        </w:rPr>
        <w:t>第一部分</w:t>
      </w:r>
    </w:p>
    <w:p>
      <w:pPr>
        <w:widowControl/>
        <w:tabs>
          <w:tab w:val="left" w:pos="1322"/>
        </w:tabs>
        <w:spacing w:line="480" w:lineRule="auto"/>
        <w:ind w:left="1322" w:hanging="720"/>
        <w:jc w:val="center"/>
        <w:rPr>
          <w:rFonts w:ascii="宋体" w:hAnsi="宋体" w:cs="方正小标宋简体"/>
          <w:b/>
          <w:color w:val="333333"/>
          <w:kern w:val="0"/>
          <w:sz w:val="44"/>
          <w:szCs w:val="44"/>
        </w:rPr>
      </w:pPr>
      <w:r>
        <w:rPr>
          <w:rFonts w:hint="eastAsia" w:ascii="宋体" w:hAnsi="宋体" w:cs="方正小标宋简体"/>
          <w:b/>
          <w:color w:val="333333"/>
          <w:kern w:val="0"/>
          <w:sz w:val="44"/>
          <w:szCs w:val="44"/>
        </w:rPr>
        <w:t>罗山残联部门概况说明</w:t>
      </w:r>
    </w:p>
    <w:p>
      <w:pPr>
        <w:widowControl/>
        <w:tabs>
          <w:tab w:val="left" w:pos="1322"/>
        </w:tabs>
        <w:wordWrap w:val="0"/>
        <w:spacing w:line="480" w:lineRule="auto"/>
        <w:ind w:left="1322" w:hanging="720"/>
        <w:jc w:val="left"/>
        <w:rPr>
          <w:rFonts w:ascii="宋体" w:hAnsi="宋体" w:cs="方正小标宋简体"/>
          <w:b/>
          <w:color w:val="333333"/>
          <w:kern w:val="0"/>
          <w:sz w:val="44"/>
          <w:szCs w:val="44"/>
        </w:rPr>
      </w:pPr>
    </w:p>
    <w:p>
      <w:pPr>
        <w:widowControl/>
        <w:tabs>
          <w:tab w:val="left" w:pos="1322"/>
        </w:tabs>
        <w:wordWrap w:val="0"/>
        <w:spacing w:line="480" w:lineRule="auto"/>
        <w:ind w:left="1322" w:hanging="720"/>
        <w:jc w:val="left"/>
        <w:rPr>
          <w:rFonts w:ascii="仿宋" w:hAnsi="仿宋" w:eastAsia="仿宋"/>
          <w:b/>
          <w:bCs/>
          <w:sz w:val="30"/>
          <w:szCs w:val="30"/>
        </w:rPr>
      </w:pPr>
      <w:r>
        <w:rPr>
          <w:rFonts w:hint="eastAsia" w:ascii="仿宋" w:hAnsi="仿宋" w:eastAsia="仿宋" w:cs="宋体"/>
          <w:b/>
          <w:color w:val="333333"/>
          <w:kern w:val="0"/>
          <w:sz w:val="30"/>
          <w:szCs w:val="30"/>
        </w:rPr>
        <w:t>一、</w:t>
      </w:r>
      <w:r>
        <w:rPr>
          <w:rFonts w:hint="eastAsia" w:ascii="仿宋" w:hAnsi="仿宋" w:eastAsia="仿宋"/>
          <w:b/>
          <w:color w:val="333333"/>
          <w:kern w:val="0"/>
          <w:sz w:val="30"/>
          <w:szCs w:val="30"/>
        </w:rPr>
        <w:t xml:space="preserve"> </w:t>
      </w:r>
      <w:r>
        <w:rPr>
          <w:rFonts w:hint="eastAsia" w:ascii="仿宋" w:hAnsi="仿宋" w:eastAsia="仿宋" w:cs="宋体"/>
          <w:b/>
          <w:color w:val="333333"/>
          <w:kern w:val="0"/>
          <w:sz w:val="30"/>
          <w:szCs w:val="30"/>
        </w:rPr>
        <w:t>部门职责</w:t>
      </w:r>
    </w:p>
    <w:p>
      <w:pPr>
        <w:widowControl/>
        <w:wordWrap w:val="0"/>
        <w:spacing w:line="480" w:lineRule="auto"/>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罗山县残疾人联合会是将残疾人自身代表组织、社会福利团体和事业管理机构融为一体的残疾人事业群众团体。内设3个部室：办公室、康复部和群工部。下设两个二级机构：残疾人就业服务中心和残疾人康复教育中心。主要职能为:开展残疾人康复工作，开展特殊教育事业，开展残疾人扶贫解困工作，开展残疾人劳动就业工作、开展残疾人文化体育活动，加强残疾人法制建设，推行城市道路和建筑无障碍设施建设，管理和指导各类残疾人社团组织和开展残疾人事业交流合作工作等。</w:t>
      </w:r>
    </w:p>
    <w:p>
      <w:pPr>
        <w:widowControl/>
        <w:wordWrap w:val="0"/>
        <w:spacing w:line="480" w:lineRule="auto"/>
        <w:ind w:firstLine="602" w:firstLineChars="200"/>
        <w:jc w:val="left"/>
        <w:rPr>
          <w:rFonts w:ascii="仿宋" w:hAnsi="仿宋" w:eastAsia="仿宋" w:cs="??"/>
          <w:b/>
          <w:color w:val="333333"/>
          <w:sz w:val="30"/>
          <w:szCs w:val="30"/>
        </w:rPr>
      </w:pPr>
      <w:r>
        <w:rPr>
          <w:rFonts w:hint="eastAsia" w:ascii="仿宋" w:hAnsi="仿宋" w:eastAsia="仿宋" w:cs="宋体"/>
          <w:b/>
          <w:color w:val="333333"/>
          <w:kern w:val="0"/>
          <w:sz w:val="30"/>
          <w:szCs w:val="30"/>
        </w:rPr>
        <w:t>二、部门机构设置</w:t>
      </w:r>
    </w:p>
    <w:p>
      <w:pPr>
        <w:widowControl/>
        <w:wordWrap w:val="0"/>
        <w:spacing w:line="480" w:lineRule="auto"/>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我单位部门决算单位为罗山县残疾人联合会机关。</w:t>
      </w:r>
    </w:p>
    <w:p>
      <w:pPr>
        <w:widowControl/>
        <w:wordWrap w:val="0"/>
        <w:spacing w:line="480" w:lineRule="auto"/>
        <w:ind w:firstLine="600" w:firstLineChars="200"/>
        <w:jc w:val="left"/>
        <w:rPr>
          <w:rFonts w:ascii="仿宋" w:hAnsi="仿宋" w:eastAsia="仿宋" w:cs="宋体"/>
          <w:color w:val="333333"/>
          <w:kern w:val="0"/>
          <w:sz w:val="30"/>
          <w:szCs w:val="30"/>
        </w:rPr>
      </w:pPr>
      <w:r>
        <w:rPr>
          <w:rFonts w:hint="eastAsia" w:ascii="仿宋" w:hAnsi="仿宋" w:eastAsia="仿宋" w:cs="宋体"/>
          <w:kern w:val="0"/>
          <w:sz w:val="30"/>
          <w:szCs w:val="30"/>
        </w:rPr>
        <w:t>罗山县残疾人联合会为财政全供预算管理单位，两个二级机构预算决算管理均由机关单位统一核算</w:t>
      </w:r>
      <w:r>
        <w:rPr>
          <w:rFonts w:hint="eastAsia" w:ascii="仿宋" w:hAnsi="仿宋" w:eastAsia="仿宋" w:cs="??"/>
          <w:color w:val="333333"/>
          <w:sz w:val="30"/>
          <w:szCs w:val="30"/>
        </w:rPr>
        <w:t>。</w:t>
      </w:r>
      <w:r>
        <w:rPr>
          <w:rFonts w:hint="eastAsia" w:ascii="仿宋" w:hAnsi="仿宋" w:eastAsia="仿宋" w:cs="宋体"/>
          <w:color w:val="333333"/>
          <w:kern w:val="0"/>
          <w:sz w:val="30"/>
          <w:szCs w:val="30"/>
        </w:rPr>
        <w:t>202</w:t>
      </w:r>
      <w:r>
        <w:rPr>
          <w:rFonts w:hint="eastAsia" w:ascii="仿宋" w:hAnsi="仿宋" w:eastAsia="仿宋" w:cs="宋体"/>
          <w:color w:val="333333"/>
          <w:kern w:val="0"/>
          <w:sz w:val="30"/>
          <w:szCs w:val="30"/>
          <w:lang w:val="en-US" w:eastAsia="zh-CN"/>
        </w:rPr>
        <w:t>1</w:t>
      </w:r>
      <w:r>
        <w:rPr>
          <w:rFonts w:hint="eastAsia" w:ascii="仿宋" w:hAnsi="仿宋" w:eastAsia="仿宋" w:cs="宋体"/>
          <w:color w:val="333333"/>
          <w:kern w:val="0"/>
          <w:sz w:val="30"/>
          <w:szCs w:val="30"/>
        </w:rPr>
        <w:t>年共有编制</w:t>
      </w:r>
      <w:r>
        <w:rPr>
          <w:rFonts w:hint="eastAsia" w:ascii="仿宋" w:hAnsi="仿宋" w:eastAsia="仿宋" w:cs="??"/>
          <w:color w:val="333333"/>
          <w:kern w:val="0"/>
          <w:sz w:val="30"/>
          <w:szCs w:val="30"/>
        </w:rPr>
        <w:t>10</w:t>
      </w:r>
      <w:r>
        <w:rPr>
          <w:rFonts w:hint="eastAsia" w:ascii="仿宋" w:hAnsi="仿宋" w:eastAsia="仿宋" w:cs="宋体"/>
          <w:color w:val="333333"/>
          <w:kern w:val="0"/>
          <w:sz w:val="30"/>
          <w:szCs w:val="30"/>
        </w:rPr>
        <w:t>人，其中：行政编制</w:t>
      </w:r>
      <w:r>
        <w:rPr>
          <w:rFonts w:hint="eastAsia" w:ascii="仿宋" w:hAnsi="仿宋" w:eastAsia="仿宋" w:cs="??"/>
          <w:color w:val="333333"/>
          <w:kern w:val="0"/>
          <w:sz w:val="30"/>
          <w:szCs w:val="30"/>
        </w:rPr>
        <w:t>5</w:t>
      </w:r>
      <w:r>
        <w:rPr>
          <w:rFonts w:hint="eastAsia" w:ascii="仿宋" w:hAnsi="仿宋" w:eastAsia="仿宋" w:cs="宋体"/>
          <w:color w:val="333333"/>
          <w:kern w:val="0"/>
          <w:sz w:val="30"/>
          <w:szCs w:val="30"/>
        </w:rPr>
        <w:t>人，事业编制</w:t>
      </w:r>
      <w:r>
        <w:rPr>
          <w:rFonts w:hint="eastAsia" w:ascii="仿宋" w:hAnsi="仿宋" w:eastAsia="仿宋" w:cs="??"/>
          <w:color w:val="333333"/>
          <w:kern w:val="0"/>
          <w:sz w:val="30"/>
          <w:szCs w:val="30"/>
        </w:rPr>
        <w:t>5</w:t>
      </w:r>
      <w:r>
        <w:rPr>
          <w:rFonts w:hint="eastAsia" w:ascii="仿宋" w:hAnsi="仿宋" w:eastAsia="仿宋" w:cs="宋体"/>
          <w:color w:val="333333"/>
          <w:kern w:val="0"/>
          <w:sz w:val="30"/>
          <w:szCs w:val="30"/>
        </w:rPr>
        <w:t>人；在职人员13人，退休人员</w:t>
      </w:r>
      <w:r>
        <w:rPr>
          <w:rFonts w:hint="eastAsia" w:ascii="仿宋" w:hAnsi="仿宋" w:eastAsia="仿宋" w:cs="??"/>
          <w:color w:val="333333"/>
          <w:kern w:val="0"/>
          <w:sz w:val="30"/>
          <w:szCs w:val="30"/>
        </w:rPr>
        <w:t>6</w:t>
      </w:r>
      <w:r>
        <w:rPr>
          <w:rFonts w:hint="eastAsia" w:ascii="仿宋" w:hAnsi="仿宋" w:eastAsia="仿宋" w:cs="宋体"/>
          <w:color w:val="333333"/>
          <w:kern w:val="0"/>
          <w:sz w:val="30"/>
          <w:szCs w:val="30"/>
        </w:rPr>
        <w:t>人。</w:t>
      </w:r>
    </w:p>
    <w:p>
      <w:pPr>
        <w:widowControl/>
        <w:ind w:firstLine="600" w:firstLineChars="200"/>
        <w:jc w:val="left"/>
        <w:rPr>
          <w:rFonts w:ascii="宋体" w:hAnsi="宋体" w:cs="隶书"/>
          <w:b/>
          <w:kern w:val="0"/>
          <w:sz w:val="44"/>
          <w:szCs w:val="44"/>
        </w:rPr>
      </w:pPr>
      <w:r>
        <w:rPr>
          <w:rFonts w:hint="eastAsia" w:ascii="仿宋" w:hAnsi="仿宋" w:eastAsia="仿宋" w:cs="宋体"/>
          <w:color w:val="333333"/>
          <w:kern w:val="0"/>
          <w:sz w:val="30"/>
          <w:szCs w:val="30"/>
        </w:rPr>
        <w:t>罗山县残疾人联合会属于一级预算单位，无二级预算单位，因此部门决算只包括本级决算。</w:t>
      </w:r>
    </w:p>
    <w:p>
      <w:pPr>
        <w:widowControl/>
        <w:jc w:val="left"/>
        <w:rPr>
          <w:rFonts w:ascii="宋体" w:hAnsi="宋体" w:cs="隶书"/>
          <w:b/>
          <w:kern w:val="0"/>
          <w:sz w:val="44"/>
          <w:szCs w:val="44"/>
        </w:rPr>
      </w:pPr>
    </w:p>
    <w:p>
      <w:pPr>
        <w:widowControl/>
        <w:tabs>
          <w:tab w:val="left" w:pos="1322"/>
        </w:tabs>
        <w:spacing w:line="480" w:lineRule="auto"/>
        <w:rPr>
          <w:rFonts w:ascii="宋体" w:hAnsi="宋体" w:cs="方正小标宋简体"/>
          <w:b/>
          <w:color w:val="333333"/>
          <w:kern w:val="0"/>
          <w:sz w:val="44"/>
          <w:szCs w:val="44"/>
        </w:rPr>
      </w:pPr>
    </w:p>
    <w:p>
      <w:pPr>
        <w:widowControl/>
        <w:tabs>
          <w:tab w:val="left" w:pos="1322"/>
        </w:tabs>
        <w:spacing w:line="480" w:lineRule="auto"/>
        <w:rPr>
          <w:rFonts w:ascii="宋体" w:hAnsi="宋体" w:cs="方正小标宋简体"/>
          <w:b/>
          <w:color w:val="333333"/>
          <w:kern w:val="0"/>
          <w:sz w:val="44"/>
          <w:szCs w:val="44"/>
        </w:rPr>
      </w:pPr>
    </w:p>
    <w:p>
      <w:pPr>
        <w:widowControl/>
        <w:tabs>
          <w:tab w:val="left" w:pos="1322"/>
        </w:tabs>
        <w:spacing w:line="480" w:lineRule="auto"/>
        <w:jc w:val="both"/>
        <w:rPr>
          <w:rFonts w:ascii="宋体" w:hAnsi="宋体" w:cs="方正小标宋简体"/>
          <w:b/>
          <w:color w:val="333333"/>
          <w:kern w:val="0"/>
          <w:sz w:val="44"/>
          <w:szCs w:val="44"/>
        </w:rPr>
        <w:sectPr>
          <w:pgSz w:w="11906" w:h="16838"/>
          <w:pgMar w:top="476" w:right="1797" w:bottom="567" w:left="1287" w:header="851" w:footer="992" w:gutter="0"/>
          <w:pgNumType w:fmt="numberInDash"/>
          <w:cols w:space="720" w:num="1"/>
          <w:docGrid w:type="lines" w:linePitch="312" w:charSpace="0"/>
        </w:sectPr>
      </w:pPr>
    </w:p>
    <w:p>
      <w:pPr>
        <w:widowControl/>
        <w:tabs>
          <w:tab w:val="left" w:pos="1322"/>
        </w:tabs>
        <w:spacing w:line="480" w:lineRule="auto"/>
        <w:jc w:val="both"/>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r>
        <w:rPr>
          <w:rFonts w:hint="eastAsia" w:ascii="宋体" w:hAnsi="宋体" w:cs="方正小标宋简体"/>
          <w:b/>
          <w:color w:val="333333"/>
          <w:kern w:val="0"/>
          <w:sz w:val="44"/>
          <w:szCs w:val="44"/>
        </w:rPr>
        <w:t>第</w:t>
      </w:r>
      <w:r>
        <w:rPr>
          <w:rFonts w:hint="eastAsia" w:ascii="宋体" w:hAnsi="宋体" w:cs="方正小标宋简体"/>
          <w:b/>
          <w:color w:val="333333"/>
          <w:kern w:val="0"/>
          <w:sz w:val="44"/>
          <w:szCs w:val="44"/>
          <w:lang w:eastAsia="zh-CN"/>
        </w:rPr>
        <w:t>二</w:t>
      </w:r>
      <w:r>
        <w:rPr>
          <w:rFonts w:hint="eastAsia" w:ascii="宋体" w:hAnsi="宋体" w:cs="方正小标宋简体"/>
          <w:b/>
          <w:color w:val="333333"/>
          <w:kern w:val="0"/>
          <w:sz w:val="44"/>
          <w:szCs w:val="44"/>
        </w:rPr>
        <w:t>部分</w:t>
      </w:r>
    </w:p>
    <w:p>
      <w:pPr>
        <w:widowControl/>
        <w:tabs>
          <w:tab w:val="left" w:pos="1322"/>
        </w:tabs>
        <w:spacing w:line="480" w:lineRule="auto"/>
        <w:ind w:left="1322" w:hanging="720"/>
        <w:jc w:val="center"/>
        <w:rPr>
          <w:rFonts w:ascii="宋体" w:hAnsi="宋体" w:cs="方正小标宋简体"/>
          <w:b/>
          <w:color w:val="333333"/>
          <w:kern w:val="0"/>
          <w:sz w:val="44"/>
          <w:szCs w:val="44"/>
        </w:rPr>
      </w:pPr>
      <w:r>
        <w:rPr>
          <w:rFonts w:hint="eastAsia" w:ascii="宋体" w:hAnsi="宋体" w:cs="方正小标宋简体"/>
          <w:b/>
          <w:color w:val="333333"/>
          <w:kern w:val="0"/>
          <w:sz w:val="44"/>
          <w:szCs w:val="44"/>
        </w:rPr>
        <w:t>罗山残联202</w:t>
      </w:r>
      <w:r>
        <w:rPr>
          <w:rFonts w:hint="eastAsia" w:ascii="宋体" w:hAnsi="宋体" w:cs="方正小标宋简体"/>
          <w:b/>
          <w:color w:val="333333"/>
          <w:kern w:val="0"/>
          <w:sz w:val="44"/>
          <w:szCs w:val="44"/>
          <w:lang w:val="en-US" w:eastAsia="zh-CN"/>
        </w:rPr>
        <w:t>1</w:t>
      </w:r>
      <w:r>
        <w:rPr>
          <w:rFonts w:hint="eastAsia" w:ascii="宋体" w:hAnsi="宋体" w:cs="方正小标宋简体"/>
          <w:b/>
          <w:color w:val="333333"/>
          <w:kern w:val="0"/>
          <w:sz w:val="44"/>
          <w:szCs w:val="44"/>
        </w:rPr>
        <w:t>年度部门决算表</w:t>
      </w: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sectPr>
          <w:pgSz w:w="16838" w:h="11906" w:orient="landscape"/>
          <w:pgMar w:top="1287" w:right="476" w:bottom="1797" w:left="567" w:header="851" w:footer="992" w:gutter="0"/>
          <w:pgNumType w:fmt="numberInDash"/>
          <w:cols w:space="720" w:num="1"/>
          <w:docGrid w:type="lines" w:linePitch="312" w:charSpace="0"/>
        </w:sectPr>
      </w:pPr>
    </w:p>
    <w:p>
      <w:pPr>
        <w:pStyle w:val="6"/>
        <w:jc w:val="center"/>
        <w:rPr>
          <w:rFonts w:asciiTheme="majorEastAsia" w:hAnsiTheme="majorEastAsia" w:eastAsiaTheme="majorEastAsia"/>
          <w:sz w:val="44"/>
          <w:szCs w:val="44"/>
        </w:rPr>
      </w:pPr>
      <w:r>
        <w:rPr>
          <w:rFonts w:asciiTheme="majorEastAsia" w:hAnsiTheme="majorEastAsia" w:eastAsiaTheme="majorEastAsia"/>
          <w:sz w:val="44"/>
          <w:szCs w:val="44"/>
        </w:rPr>
        <w:object>
          <v:shape id="_x0000_i1025" o:spt="75" type="#_x0000_t75" style="height:465.55pt;width:638.5pt;" o:ole="t" filled="f" o:preferrelative="t" stroked="f" coordsize="21600,21600">
            <v:path/>
            <v:fill on="f" focussize="0,0"/>
            <v:stroke on="f"/>
            <v:imagedata r:id="rId7" o:title=""/>
            <o:lock v:ext="edit" aspectratio="f"/>
            <w10:wrap type="none"/>
            <w10:anchorlock/>
          </v:shape>
          <o:OLEObject Type="Embed" ProgID="Excel.Sheet.8" ShapeID="_x0000_i1025" DrawAspect="Content" ObjectID="_1468075725" r:id="rId6">
            <o:LockedField>false</o:LockedField>
          </o:OLEObject>
        </w:object>
      </w:r>
    </w:p>
    <w:p/>
    <w:p>
      <w:pPr>
        <w:jc w:val="center"/>
      </w:pPr>
      <w:r>
        <w:object>
          <v:shape id="_x0000_i1026" o:spt="75" type="#_x0000_t75" style="height:425.65pt;width:697.05pt;" o:ole="t" filled="f" o:preferrelative="t" stroked="f" coordsize="21600,21600">
            <v:path/>
            <v:fill on="f" focussize="0,0"/>
            <v:stroke on="f"/>
            <v:imagedata r:id="rId9" o:title=""/>
            <o:lock v:ext="edit" aspectratio="f"/>
            <w10:wrap type="none"/>
            <w10:anchorlock/>
          </v:shape>
          <o:OLEObject Type="Embed" ProgID="Excel.Sheet.8" ShapeID="_x0000_i1026" DrawAspect="Content" ObjectID="_1468075726" r:id="rId8">
            <o:LockedField>false</o:LockedField>
          </o:OLEObject>
        </w:object>
      </w:r>
    </w:p>
    <w:p>
      <w:pPr>
        <w:jc w:val="center"/>
      </w:pPr>
    </w:p>
    <w:p>
      <w:pPr>
        <w:jc w:val="center"/>
      </w:pPr>
      <w:r>
        <w:object>
          <v:shape id="_x0000_i1027" o:spt="75" type="#_x0000_t75" style="height:434.05pt;width:697.75pt;" o:ole="t" filled="f" o:preferrelative="t" stroked="f" coordsize="21600,21600">
            <v:path/>
            <v:fill on="f" focussize="0,0"/>
            <v:stroke on="f"/>
            <v:imagedata r:id="rId11" o:title=""/>
            <o:lock v:ext="edit" aspectratio="f"/>
            <w10:wrap type="none"/>
            <w10:anchorlock/>
          </v:shape>
          <o:OLEObject Type="Embed" ProgID="Excel.Sheet.8" ShapeID="_x0000_i1027" DrawAspect="Content" ObjectID="_1468075727" r:id="rId10">
            <o:LockedField>false</o:LockedField>
          </o:OLEObject>
        </w:object>
      </w:r>
    </w:p>
    <w:p>
      <w:pPr>
        <w:jc w:val="both"/>
      </w:pPr>
      <w:r>
        <w:object>
          <v:shape id="_x0000_i1028" o:spt="75" type="#_x0000_t75" style="height:503.3pt;width:697.2pt;" o:ole="t" filled="f" o:preferrelative="t" stroked="f" coordsize="21600,21600">
            <v:path/>
            <v:fill on="f" focussize="0,0"/>
            <v:stroke on="f"/>
            <v:imagedata r:id="rId13" o:title=""/>
            <o:lock v:ext="edit" aspectratio="f"/>
            <w10:wrap type="none"/>
            <w10:anchorlock/>
          </v:shape>
          <o:OLEObject Type="Embed" ProgID="Excel.Sheet.8" ShapeID="_x0000_i1028" DrawAspect="Content" ObjectID="_1468075728" r:id="rId12">
            <o:LockedField>false</o:LockedField>
          </o:OLEObject>
        </w:object>
      </w:r>
    </w:p>
    <w:p>
      <w:pPr>
        <w:jc w:val="center"/>
      </w:pPr>
      <w:r>
        <w:object>
          <v:shape id="_x0000_i1029" o:spt="75" type="#_x0000_t75" style="height:440.4pt;width:601.2pt;" o:ole="t" filled="f" o:preferrelative="t" stroked="f" coordsize="21600,21600">
            <v:path/>
            <v:fill on="f" focussize="0,0"/>
            <v:stroke on="f"/>
            <v:imagedata r:id="rId15" o:title=""/>
            <o:lock v:ext="edit" aspectratio="f"/>
            <w10:wrap type="none"/>
            <w10:anchorlock/>
          </v:shape>
          <o:OLEObject Type="Embed" ProgID="Excel.Sheet.8" ShapeID="_x0000_i1029" DrawAspect="Content" ObjectID="_1468075729" r:id="rId14">
            <o:LockedField>false</o:LockedField>
          </o:OLEObject>
        </w:object>
      </w:r>
    </w:p>
    <w:p>
      <w:pPr>
        <w:jc w:val="center"/>
      </w:pPr>
    </w:p>
    <w:p>
      <w:pPr>
        <w:jc w:val="center"/>
      </w:pPr>
      <w:r>
        <w:object>
          <v:shape id="_x0000_i1030" o:spt="75" type="#_x0000_t75" style="height:432.55pt;width:697.75pt;" o:ole="t" filled="f" o:preferrelative="t" stroked="f" coordsize="21600,21600">
            <v:path/>
            <v:fill on="f" focussize="0,0"/>
            <v:stroke on="f"/>
            <v:imagedata r:id="rId17" o:title=""/>
            <o:lock v:ext="edit" aspectratio="f"/>
            <w10:wrap type="none"/>
            <w10:anchorlock/>
          </v:shape>
          <o:OLEObject Type="Embed" ProgID="Excel.Sheet.8" ShapeID="_x0000_i1030" DrawAspect="Content" ObjectID="_1468075730" r:id="rId16">
            <o:LockedField>false</o:LockedField>
          </o:OLEObject>
        </w:object>
      </w:r>
    </w:p>
    <w:p>
      <w:pPr>
        <w:jc w:val="center"/>
      </w:pPr>
    </w:p>
    <w:p>
      <w:pPr>
        <w:jc w:val="center"/>
      </w:pPr>
      <w:r>
        <w:object>
          <v:shape id="_x0000_i1031" o:spt="75" type="#_x0000_t75" style="height:231.9pt;width:697.05pt;" o:ole="t" filled="f" o:preferrelative="t" stroked="f" coordsize="21600,21600">
            <v:path/>
            <v:fill on="f" focussize="0,0"/>
            <v:stroke on="f"/>
            <v:imagedata r:id="rId19" o:title=""/>
            <o:lock v:ext="edit" aspectratio="f"/>
            <w10:wrap type="none"/>
            <w10:anchorlock/>
          </v:shape>
          <o:OLEObject Type="Embed" ProgID="Excel.Sheet.8" ShapeID="_x0000_i1031" DrawAspect="Content" ObjectID="_1468075731" r:id="rId18">
            <o:LockedField>false</o:LockedField>
          </o:OLEObject>
        </w:objec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sectPr>
          <w:pgSz w:w="16838" w:h="11906" w:orient="landscape"/>
          <w:pgMar w:top="782" w:right="1440" w:bottom="1803" w:left="1440" w:header="851" w:footer="992" w:gutter="0"/>
          <w:pgNumType w:fmt="numberInDash"/>
          <w:cols w:space="720" w:num="1"/>
          <w:docGrid w:type="lines" w:linePitch="312" w:charSpace="0"/>
        </w:sectPr>
      </w:pPr>
      <w:r>
        <w:object>
          <v:shape id="_x0000_i1032" o:spt="75" type="#_x0000_t75" style="height:253.35pt;width:697.55pt;" o:ole="t" filled="f" o:preferrelative="t" stroked="f" coordsize="21600,21600">
            <v:path/>
            <v:fill on="f" focussize="0,0"/>
            <v:stroke on="f"/>
            <v:imagedata r:id="rId21" o:title=""/>
            <o:lock v:ext="edit" aspectratio="f"/>
            <w10:wrap type="none"/>
            <w10:anchorlock/>
          </v:shape>
          <o:OLEObject Type="Embed" ProgID="Excel.Sheet.8" ShapeID="_x0000_i1032" DrawAspect="Content" ObjectID="_1468075732" r:id="rId20">
            <o:LockedField>false</o:LockedField>
          </o:OLEObject>
        </w:object>
      </w:r>
    </w:p>
    <w:p/>
    <w:p>
      <w:pPr>
        <w:rPr>
          <w:rFonts w:asciiTheme="majorEastAsia" w:hAnsiTheme="majorEastAsia" w:eastAsiaTheme="majorEastAsia"/>
          <w:sz w:val="44"/>
          <w:szCs w:val="44"/>
        </w:rPr>
      </w:pPr>
    </w:p>
    <w:p>
      <w:pPr>
        <w:rPr>
          <w:rFonts w:asciiTheme="majorEastAsia" w:hAnsiTheme="majorEastAsia" w:eastAsiaTheme="majorEastAsia"/>
          <w:sz w:val="44"/>
          <w:szCs w:val="44"/>
        </w:rPr>
      </w:pPr>
    </w:p>
    <w:p>
      <w:pPr>
        <w:rPr>
          <w:rFonts w:asciiTheme="majorEastAsia" w:hAnsiTheme="majorEastAsia" w:eastAsiaTheme="majorEastAsia"/>
          <w:sz w:val="44"/>
          <w:szCs w:val="44"/>
        </w:rPr>
      </w:pPr>
    </w:p>
    <w:p>
      <w:pPr>
        <w:rPr>
          <w:rFonts w:asciiTheme="majorEastAsia" w:hAnsiTheme="majorEastAsia" w:eastAsiaTheme="majorEastAsia"/>
          <w:sz w:val="44"/>
          <w:szCs w:val="44"/>
        </w:rPr>
      </w:pPr>
    </w:p>
    <w:p>
      <w:pPr>
        <w:rPr>
          <w:rFonts w:asciiTheme="majorEastAsia" w:hAnsiTheme="majorEastAsia" w:eastAsiaTheme="majorEastAsia"/>
          <w:sz w:val="44"/>
          <w:szCs w:val="44"/>
        </w:rPr>
      </w:pPr>
    </w:p>
    <w:p>
      <w:pPr>
        <w:pStyle w:val="6"/>
        <w:ind w:firstLine="883" w:firstLineChars="200"/>
        <w:rPr>
          <w:rFonts w:asciiTheme="majorEastAsia" w:hAnsiTheme="majorEastAsia" w:eastAsiaTheme="majorEastAsia"/>
          <w:sz w:val="44"/>
          <w:szCs w:val="44"/>
        </w:rPr>
      </w:pPr>
      <w:r>
        <w:rPr>
          <w:rFonts w:hint="eastAsia" w:asciiTheme="majorEastAsia" w:hAnsiTheme="majorEastAsia" w:eastAsiaTheme="majorEastAsia"/>
          <w:sz w:val="44"/>
          <w:szCs w:val="44"/>
        </w:rPr>
        <w:t>第</w:t>
      </w:r>
      <w:r>
        <w:rPr>
          <w:rFonts w:hint="eastAsia" w:asciiTheme="majorEastAsia" w:hAnsiTheme="majorEastAsia" w:eastAsiaTheme="majorEastAsia"/>
          <w:sz w:val="44"/>
          <w:szCs w:val="44"/>
          <w:lang w:eastAsia="zh-CN"/>
        </w:rPr>
        <w:t>三</w:t>
      </w:r>
      <w:r>
        <w:rPr>
          <w:rFonts w:hint="eastAsia" w:asciiTheme="majorEastAsia" w:hAnsiTheme="majorEastAsia" w:eastAsiaTheme="majorEastAsia"/>
          <w:sz w:val="44"/>
          <w:szCs w:val="44"/>
        </w:rPr>
        <w:t>部分</w:t>
      </w:r>
    </w:p>
    <w:p>
      <w:pPr>
        <w:pStyle w:val="6"/>
        <w:ind w:firstLine="883" w:firstLineChars="200"/>
        <w:rPr>
          <w:rFonts w:hint="eastAsia" w:asciiTheme="majorEastAsia" w:hAnsiTheme="majorEastAsia" w:eastAsiaTheme="majorEastAsia"/>
          <w:sz w:val="44"/>
          <w:szCs w:val="44"/>
        </w:rPr>
      </w:pPr>
      <w:r>
        <w:rPr>
          <w:rFonts w:hint="eastAsia" w:asciiTheme="majorEastAsia" w:hAnsiTheme="majorEastAsia" w:eastAsiaTheme="majorEastAsia"/>
          <w:sz w:val="44"/>
          <w:szCs w:val="44"/>
        </w:rPr>
        <w:t>罗山残联202</w:t>
      </w:r>
      <w:r>
        <w:rPr>
          <w:rFonts w:hint="eastAsia" w:asciiTheme="majorEastAsia" w:hAnsiTheme="majorEastAsia" w:eastAsiaTheme="majorEastAsia"/>
          <w:sz w:val="44"/>
          <w:szCs w:val="44"/>
          <w:lang w:val="en-US" w:eastAsia="zh-CN"/>
        </w:rPr>
        <w:t>1</w:t>
      </w:r>
      <w:r>
        <w:rPr>
          <w:rFonts w:hint="eastAsia" w:asciiTheme="majorEastAsia" w:hAnsiTheme="majorEastAsia" w:eastAsiaTheme="majorEastAsia"/>
          <w:sz w:val="44"/>
          <w:szCs w:val="44"/>
        </w:rPr>
        <w:t>年度部门决算情况说明</w:t>
      </w: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rPr>
          <w:rFonts w:hint="eastAsia" w:asciiTheme="majorEastAsia" w:hAnsiTheme="majorEastAsia" w:eastAsiaTheme="majorEastAsia"/>
          <w:sz w:val="44"/>
          <w:szCs w:val="44"/>
        </w:rPr>
      </w:pPr>
    </w:p>
    <w:p>
      <w:pPr>
        <w:widowControl/>
        <w:numPr>
          <w:ilvl w:val="0"/>
          <w:numId w:val="0"/>
        </w:numPr>
        <w:spacing w:line="590" w:lineRule="exact"/>
        <w:ind w:firstLine="602" w:firstLineChars="200"/>
        <w:rPr>
          <w:rFonts w:hint="eastAsia" w:ascii="仿宋" w:hAnsi="仿宋" w:eastAsia="仿宋" w:cs="仿宋"/>
          <w:kern w:val="0"/>
          <w:sz w:val="30"/>
          <w:szCs w:val="30"/>
          <w:shd w:val="clear" w:fill="FFFFFF"/>
          <w:lang w:val="en-US" w:eastAsia="zh-CN" w:bidi="ar"/>
        </w:rPr>
      </w:pPr>
      <w:r>
        <w:rPr>
          <w:rFonts w:hint="eastAsia" w:ascii="仿宋" w:hAnsi="仿宋" w:eastAsia="仿宋" w:cs="仿宋"/>
          <w:b/>
          <w:bCs/>
          <w:kern w:val="0"/>
          <w:sz w:val="30"/>
          <w:szCs w:val="30"/>
          <w:shd w:val="clear" w:fill="FFFFFF"/>
          <w:lang w:val="en-US" w:eastAsia="zh-CN" w:bidi="ar"/>
        </w:rPr>
        <w:t>一、收入支出决算总体情况说明</w:t>
      </w:r>
    </w:p>
    <w:p>
      <w:pPr>
        <w:widowControl/>
        <w:numPr>
          <w:ilvl w:val="0"/>
          <w:numId w:val="0"/>
        </w:numPr>
        <w:spacing w:line="590" w:lineRule="exact"/>
        <w:ind w:leftChars="228" w:firstLine="600" w:firstLineChars="200"/>
        <w:rPr>
          <w:rFonts w:hint="eastAsia" w:ascii="仿宋" w:hAnsi="仿宋" w:eastAsia="仿宋" w:cs="仿宋"/>
          <w:kern w:val="0"/>
          <w:sz w:val="30"/>
          <w:szCs w:val="30"/>
          <w:shd w:val="clear" w:fill="FFFFFF"/>
          <w:lang w:val="en-US" w:eastAsia="zh-CN" w:bidi="ar"/>
        </w:rPr>
      </w:pPr>
      <w:r>
        <w:rPr>
          <w:rFonts w:hint="eastAsia" w:ascii="仿宋" w:hAnsi="仿宋" w:eastAsia="仿宋" w:cs="仿宋"/>
          <w:kern w:val="0"/>
          <w:sz w:val="30"/>
          <w:szCs w:val="30"/>
          <w:shd w:val="clear" w:fill="FFFFFF"/>
          <w:lang w:val="en-US" w:eastAsia="zh-CN" w:bidi="ar"/>
        </w:rPr>
        <w:t>2021年度收、支总计均为635.16万元。与上年度 相比，收、支总计各减少103.99万元，下 降14.07%。主要原因是</w:t>
      </w:r>
      <w:r>
        <w:rPr>
          <w:rFonts w:hint="eastAsia" w:ascii="仿宋" w:hAnsi="仿宋" w:eastAsia="仿宋" w:cs="仿宋"/>
          <w:sz w:val="30"/>
          <w:szCs w:val="30"/>
        </w:rPr>
        <w:t>收入减少的原因为：人员减少，工资预算减少，残疾人事业收入减少；支出减少的原因为：残疾人事业部分项目持续开展，资金尚未拨付完全持续拨付中。</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w:t>
      </w:r>
      <w:r>
        <w:rPr>
          <w:rFonts w:hint="eastAsia" w:ascii="仿宋" w:hAnsi="仿宋" w:eastAsia="仿宋" w:cs="仿宋"/>
          <w:b/>
          <w:bCs/>
          <w:kern w:val="0"/>
          <w:sz w:val="30"/>
          <w:szCs w:val="30"/>
          <w:shd w:val="clear" w:fill="FFFFFF"/>
          <w:lang w:val="en-US" w:eastAsia="zh-CN" w:bidi="ar"/>
        </w:rPr>
        <w:t>二、收入决算情况说明</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2021 年度收入合计439.43万元，其中：财政拨款收入 439.43万元，占 100.00%；上级补助 收入0.00万元，占0.00%；事业收入0.00万元，占 0.00%；经营收入0.00万元，占0.00%；附属单位上缴收入 0.00万元，占0.00%；其他收入0.00万元，占 0.00%。</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w:t>
      </w:r>
      <w:r>
        <w:rPr>
          <w:rFonts w:hint="eastAsia" w:ascii="仿宋" w:hAnsi="仿宋" w:eastAsia="仿宋" w:cs="仿宋"/>
          <w:b/>
          <w:bCs/>
          <w:kern w:val="0"/>
          <w:sz w:val="30"/>
          <w:szCs w:val="30"/>
          <w:shd w:val="clear" w:fill="FFFFFF"/>
          <w:lang w:val="en-US" w:eastAsia="zh-CN" w:bidi="ar"/>
        </w:rPr>
        <w:t>三、支出决算情况说明</w:t>
      </w:r>
      <w:r>
        <w:rPr>
          <w:rFonts w:hint="eastAsia" w:ascii="仿宋" w:hAnsi="仿宋" w:eastAsia="仿宋" w:cs="仿宋"/>
          <w:b/>
          <w:bCs/>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2021年度支出合计 635.16万元，其中：基本支出635.16 万元，占100.00%；项目支出 0.00万元，占0.00%；上缴上级支出0.00万元，占 0.00%；经营支出0.00万元，占0.00%；对附属单位补助支出 0.00万元，占0.00%。</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w:t>
      </w:r>
      <w:r>
        <w:rPr>
          <w:rFonts w:hint="eastAsia" w:ascii="仿宋" w:hAnsi="仿宋" w:eastAsia="仿宋" w:cs="仿宋"/>
          <w:b/>
          <w:bCs/>
          <w:kern w:val="0"/>
          <w:sz w:val="30"/>
          <w:szCs w:val="30"/>
          <w:shd w:val="clear" w:fill="FFFFFF"/>
          <w:lang w:val="en-US" w:eastAsia="zh-CN" w:bidi="ar"/>
        </w:rPr>
        <w:t>四、财政拨款收入支出决算总体情况说明</w:t>
      </w:r>
      <w:r>
        <w:rPr>
          <w:rFonts w:hint="eastAsia" w:ascii="仿宋" w:hAnsi="仿宋" w:eastAsia="仿宋" w:cs="仿宋"/>
          <w:b/>
          <w:bCs/>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2021年度财政拨款收、支总计均为 635.16万元。与上年度相比，财政拨款收、支总计各减 少103.99万元，下 降14.07%。主要原因 是</w:t>
      </w:r>
      <w:r>
        <w:rPr>
          <w:rFonts w:hint="eastAsia" w:ascii="仿宋" w:hAnsi="仿宋" w:eastAsia="仿宋" w:cs="仿宋"/>
          <w:sz w:val="30"/>
          <w:szCs w:val="30"/>
        </w:rPr>
        <w:t>（1）人员减少，工资预算减少，残疾人事业收入减少；（2）支出</w:t>
      </w:r>
      <w:r>
        <w:rPr>
          <w:rFonts w:hint="eastAsia" w:ascii="仿宋" w:hAnsi="仿宋" w:eastAsia="仿宋" w:cs="仿宋"/>
          <w:sz w:val="30"/>
          <w:szCs w:val="30"/>
          <w:lang w:eastAsia="zh-CN"/>
        </w:rPr>
        <w:t>减少</w:t>
      </w:r>
      <w:r>
        <w:rPr>
          <w:rFonts w:hint="eastAsia" w:ascii="仿宋" w:hAnsi="仿宋" w:eastAsia="仿宋" w:cs="仿宋"/>
          <w:sz w:val="30"/>
          <w:szCs w:val="30"/>
        </w:rPr>
        <w:t>原因为残疾人事业部分项目持续开展，资金尚未拨付完全</w:t>
      </w:r>
      <w:r>
        <w:rPr>
          <w:rFonts w:hint="eastAsia" w:ascii="仿宋" w:hAnsi="仿宋" w:eastAsia="仿宋" w:cs="仿宋"/>
          <w:sz w:val="30"/>
          <w:szCs w:val="30"/>
          <w:lang w:eastAsia="zh-CN"/>
        </w:rPr>
        <w:t>，与往年度结余资金均在有效持续拨付中</w:t>
      </w:r>
      <w:r>
        <w:rPr>
          <w:rFonts w:hint="eastAsia" w:ascii="仿宋" w:hAnsi="仿宋" w:eastAsia="仿宋" w:cs="仿宋"/>
          <w:sz w:val="30"/>
          <w:szCs w:val="30"/>
        </w:rPr>
        <w:t>。</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w:t>
      </w:r>
      <w:r>
        <w:rPr>
          <w:rFonts w:hint="eastAsia" w:ascii="仿宋" w:hAnsi="仿宋" w:eastAsia="仿宋" w:cs="仿宋"/>
          <w:b/>
          <w:bCs/>
          <w:kern w:val="0"/>
          <w:sz w:val="30"/>
          <w:szCs w:val="30"/>
          <w:shd w:val="clear" w:fill="FFFFFF"/>
          <w:lang w:val="en-US" w:eastAsia="zh-CN" w:bidi="ar"/>
        </w:rPr>
        <w:t>五、一般公共预算财政拨款支出决算情况说明</w:t>
      </w:r>
      <w:r>
        <w:rPr>
          <w:rFonts w:hint="eastAsia" w:ascii="仿宋" w:hAnsi="仿宋" w:eastAsia="仿宋" w:cs="仿宋"/>
          <w:b/>
          <w:bCs/>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（一）总体情况。</w:t>
      </w:r>
    </w:p>
    <w:p>
      <w:pPr>
        <w:widowControl/>
        <w:numPr>
          <w:ilvl w:val="0"/>
          <w:numId w:val="0"/>
        </w:numPr>
        <w:spacing w:line="590" w:lineRule="exact"/>
        <w:ind w:firstLine="600" w:firstLineChars="200"/>
        <w:rPr>
          <w:rFonts w:hint="eastAsia" w:ascii="仿宋" w:hAnsi="仿宋" w:eastAsia="仿宋" w:cs="仿宋"/>
          <w:sz w:val="30"/>
          <w:szCs w:val="30"/>
        </w:rPr>
      </w:pPr>
      <w:r>
        <w:rPr>
          <w:rFonts w:hint="eastAsia" w:ascii="仿宋" w:hAnsi="仿宋" w:eastAsia="仿宋" w:cs="仿宋"/>
          <w:kern w:val="0"/>
          <w:sz w:val="30"/>
          <w:szCs w:val="30"/>
          <w:shd w:val="clear" w:fill="FFFFFF"/>
          <w:lang w:val="en-US" w:eastAsia="zh-CN" w:bidi="ar"/>
        </w:rPr>
        <w:t>2021年度一般公共预算财政拨款支出475.50万元，占支出合计的 74.86%。与上年度相比，一般公共预算财政拨款支出减少58.74万元，下降14.09%。主要原因是</w:t>
      </w:r>
      <w:r>
        <w:rPr>
          <w:rFonts w:hint="eastAsia" w:ascii="仿宋" w:hAnsi="仿宋" w:eastAsia="仿宋" w:cs="仿宋"/>
          <w:sz w:val="30"/>
          <w:szCs w:val="30"/>
        </w:rPr>
        <w:t>残疾人事业部分项目持续开展，资金尚未拨付完全</w:t>
      </w:r>
      <w:r>
        <w:rPr>
          <w:rFonts w:hint="eastAsia" w:ascii="仿宋" w:hAnsi="仿宋" w:eastAsia="仿宋" w:cs="仿宋"/>
          <w:sz w:val="30"/>
          <w:szCs w:val="30"/>
          <w:lang w:eastAsia="zh-CN"/>
        </w:rPr>
        <w:t>，与往年度结余资金均在本年度有效拨付</w:t>
      </w:r>
      <w:r>
        <w:rPr>
          <w:rFonts w:hint="eastAsia" w:ascii="仿宋" w:hAnsi="仿宋" w:eastAsia="仿宋" w:cs="仿宋"/>
          <w:sz w:val="30"/>
          <w:szCs w:val="30"/>
        </w:rPr>
        <w:t>。</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（二）结构情况。</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2021年度一般公共预算财政拨款支出475.50万元，主要用于以下方面：</w:t>
      </w:r>
      <w:r>
        <w:rPr>
          <w:rFonts w:hint="eastAsia" w:ascii="仿宋" w:hAnsi="仿宋" w:eastAsia="仿宋" w:cs="仿宋"/>
          <w:sz w:val="30"/>
          <w:szCs w:val="30"/>
        </w:rPr>
        <w:t>社会保障和就业（类）支出4</w:t>
      </w:r>
      <w:r>
        <w:rPr>
          <w:rFonts w:hint="eastAsia" w:ascii="仿宋" w:hAnsi="仿宋" w:eastAsia="仿宋" w:cs="仿宋"/>
          <w:sz w:val="30"/>
          <w:szCs w:val="30"/>
          <w:lang w:val="en-US" w:eastAsia="zh-CN"/>
        </w:rPr>
        <w:t>62.48</w:t>
      </w:r>
      <w:r>
        <w:rPr>
          <w:rFonts w:hint="eastAsia" w:ascii="仿宋" w:hAnsi="仿宋" w:eastAsia="仿宋" w:cs="仿宋"/>
          <w:sz w:val="30"/>
          <w:szCs w:val="30"/>
        </w:rPr>
        <w:t>万元，占9</w:t>
      </w:r>
      <w:r>
        <w:rPr>
          <w:rFonts w:hint="eastAsia" w:ascii="仿宋" w:hAnsi="仿宋" w:eastAsia="仿宋" w:cs="仿宋"/>
          <w:sz w:val="30"/>
          <w:szCs w:val="30"/>
          <w:lang w:val="en-US" w:eastAsia="zh-CN"/>
        </w:rPr>
        <w:t>7.26</w:t>
      </w:r>
      <w:r>
        <w:rPr>
          <w:rFonts w:hint="eastAsia" w:ascii="仿宋" w:hAnsi="仿宋" w:eastAsia="仿宋" w:cs="仿宋"/>
          <w:sz w:val="30"/>
          <w:szCs w:val="30"/>
        </w:rPr>
        <w:t>%；卫生健康（类）支出5.</w:t>
      </w:r>
      <w:r>
        <w:rPr>
          <w:rFonts w:hint="eastAsia" w:ascii="仿宋" w:hAnsi="仿宋" w:eastAsia="仿宋" w:cs="仿宋"/>
          <w:sz w:val="30"/>
          <w:szCs w:val="30"/>
          <w:lang w:val="en-US" w:eastAsia="zh-CN"/>
        </w:rPr>
        <w:t>22</w:t>
      </w:r>
      <w:r>
        <w:rPr>
          <w:rFonts w:hint="eastAsia" w:ascii="仿宋" w:hAnsi="仿宋" w:eastAsia="仿宋" w:cs="仿宋"/>
          <w:sz w:val="30"/>
          <w:szCs w:val="30"/>
        </w:rPr>
        <w:t>万元，占1.</w:t>
      </w:r>
      <w:r>
        <w:rPr>
          <w:rFonts w:hint="eastAsia" w:ascii="仿宋" w:hAnsi="仿宋" w:eastAsia="仿宋" w:cs="仿宋"/>
          <w:sz w:val="30"/>
          <w:szCs w:val="30"/>
          <w:lang w:val="en-US" w:eastAsia="zh-CN"/>
        </w:rPr>
        <w:t>10</w:t>
      </w:r>
      <w:r>
        <w:rPr>
          <w:rFonts w:hint="eastAsia" w:ascii="仿宋" w:hAnsi="仿宋" w:eastAsia="仿宋" w:cs="仿宋"/>
          <w:sz w:val="30"/>
          <w:szCs w:val="30"/>
        </w:rPr>
        <w:t>%；住房保障（类）支出</w:t>
      </w:r>
      <w:r>
        <w:rPr>
          <w:rFonts w:hint="eastAsia" w:ascii="仿宋" w:hAnsi="仿宋" w:eastAsia="仿宋" w:cs="仿宋"/>
          <w:sz w:val="30"/>
          <w:szCs w:val="30"/>
          <w:lang w:val="en-US" w:eastAsia="zh-CN"/>
        </w:rPr>
        <w:t>7.80</w:t>
      </w:r>
      <w:r>
        <w:rPr>
          <w:rFonts w:hint="eastAsia" w:ascii="仿宋" w:hAnsi="仿宋" w:eastAsia="仿宋" w:cs="仿宋"/>
          <w:sz w:val="30"/>
          <w:szCs w:val="30"/>
        </w:rPr>
        <w:t>万元，占</w:t>
      </w:r>
      <w:r>
        <w:rPr>
          <w:rFonts w:hint="eastAsia" w:ascii="仿宋" w:hAnsi="仿宋" w:eastAsia="仿宋" w:cs="仿宋"/>
          <w:sz w:val="30"/>
          <w:szCs w:val="30"/>
          <w:lang w:val="en-US" w:eastAsia="zh-CN"/>
        </w:rPr>
        <w:t>1.64</w:t>
      </w:r>
      <w:r>
        <w:rPr>
          <w:rFonts w:hint="eastAsia" w:ascii="仿宋" w:hAnsi="仿宋" w:eastAsia="仿宋" w:cs="仿宋"/>
          <w:sz w:val="30"/>
          <w:szCs w:val="30"/>
        </w:rPr>
        <w:t>%。</w:t>
      </w:r>
    </w:p>
    <w:p>
      <w:pPr>
        <w:numPr>
          <w:ilvl w:val="0"/>
          <w:numId w:val="2"/>
        </w:numPr>
        <w:adjustRightInd w:val="0"/>
        <w:snapToGrid w:val="0"/>
        <w:spacing w:line="360" w:lineRule="auto"/>
        <w:ind w:left="596" w:leftChars="284" w:firstLine="0" w:firstLineChars="0"/>
        <w:rPr>
          <w:rFonts w:hint="eastAsia" w:ascii="仿宋" w:hAnsi="仿宋" w:eastAsia="仿宋" w:cs="仿宋"/>
          <w:kern w:val="0"/>
          <w:sz w:val="30"/>
          <w:szCs w:val="30"/>
          <w:shd w:val="clear" w:fill="FFFFFF"/>
          <w:lang w:val="en-US" w:eastAsia="zh-CN" w:bidi="ar"/>
        </w:rPr>
      </w:pPr>
      <w:r>
        <w:rPr>
          <w:rFonts w:hint="eastAsia" w:ascii="仿宋" w:hAnsi="仿宋" w:eastAsia="仿宋" w:cs="仿宋"/>
          <w:kern w:val="0"/>
          <w:sz w:val="30"/>
          <w:szCs w:val="30"/>
          <w:shd w:val="clear" w:fill="FFFFFF"/>
          <w:lang w:val="en-US" w:eastAsia="zh-CN" w:bidi="ar"/>
        </w:rPr>
        <w:t>具体情况。</w:t>
      </w:r>
    </w:p>
    <w:p>
      <w:pPr>
        <w:numPr>
          <w:ilvl w:val="0"/>
          <w:numId w:val="0"/>
        </w:numPr>
        <w:adjustRightInd w:val="0"/>
        <w:snapToGrid w:val="0"/>
        <w:spacing w:line="360" w:lineRule="auto"/>
        <w:ind w:firstLine="600" w:firstLineChars="200"/>
        <w:rPr>
          <w:rFonts w:hint="eastAsia" w:ascii="仿宋" w:hAnsi="仿宋" w:eastAsia="仿宋" w:cs="仿宋"/>
          <w:kern w:val="0"/>
          <w:sz w:val="30"/>
          <w:szCs w:val="30"/>
          <w:shd w:val="clear" w:fill="FFFFFF"/>
          <w:lang w:val="en-US" w:eastAsia="zh-CN" w:bidi="ar"/>
        </w:rPr>
      </w:pPr>
      <w:r>
        <w:rPr>
          <w:rFonts w:hint="eastAsia" w:ascii="仿宋" w:hAnsi="仿宋" w:eastAsia="仿宋" w:cs="仿宋"/>
          <w:kern w:val="0"/>
          <w:sz w:val="30"/>
          <w:szCs w:val="30"/>
          <w:shd w:val="clear" w:fill="FFFFFF"/>
          <w:lang w:val="en-US" w:eastAsia="zh-CN" w:bidi="ar"/>
        </w:rPr>
        <w:t>2021 年度一般公共预算财政拨款支出年初预算为475.50万元，支出决算为 475.50万元，完成年初预算的100.00%。其中：</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1、社会保障和就业支出（类）行政事业单位离退休（款）机关事业单位基本养老保险缴费支出（项）。年初预算为</w:t>
      </w:r>
      <w:r>
        <w:rPr>
          <w:rFonts w:hint="eastAsia" w:ascii="仿宋" w:hAnsi="仿宋" w:eastAsia="仿宋" w:cs="仿宋"/>
          <w:sz w:val="30"/>
          <w:szCs w:val="30"/>
          <w:lang w:val="en-US" w:eastAsia="zh-CN"/>
        </w:rPr>
        <w:t>10.39</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10.39</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2、卫生健康支出（类）行政事业单位医疗（款）行政单位医疗（项）。年初预算为</w:t>
      </w:r>
      <w:r>
        <w:rPr>
          <w:rFonts w:hint="eastAsia" w:ascii="仿宋" w:hAnsi="仿宋" w:eastAsia="仿宋" w:cs="仿宋"/>
          <w:sz w:val="30"/>
          <w:szCs w:val="30"/>
          <w:lang w:val="en-US" w:eastAsia="zh-CN"/>
        </w:rPr>
        <w:t>5.22</w:t>
      </w:r>
      <w:r>
        <w:rPr>
          <w:rFonts w:hint="eastAsia" w:ascii="仿宋" w:hAnsi="仿宋" w:eastAsia="仿宋" w:cs="仿宋"/>
          <w:sz w:val="30"/>
          <w:szCs w:val="30"/>
        </w:rPr>
        <w:t>万元，支出决算为5.</w:t>
      </w:r>
      <w:r>
        <w:rPr>
          <w:rFonts w:hint="eastAsia" w:ascii="仿宋" w:hAnsi="仿宋" w:eastAsia="仿宋" w:cs="仿宋"/>
          <w:sz w:val="30"/>
          <w:szCs w:val="30"/>
          <w:lang w:val="en-US" w:eastAsia="zh-CN"/>
        </w:rPr>
        <w:t>22</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3、住房保障支出（类）住房保障支出（款）住房公积金（项）。年初预算为9.94万元，支出决算为</w:t>
      </w:r>
      <w:r>
        <w:rPr>
          <w:rFonts w:hint="eastAsia" w:ascii="仿宋" w:hAnsi="仿宋" w:eastAsia="仿宋" w:cs="仿宋"/>
          <w:sz w:val="30"/>
          <w:szCs w:val="30"/>
          <w:lang w:val="en-US" w:eastAsia="zh-CN"/>
        </w:rPr>
        <w:t>7.80</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4、社会保障和就业支出（类）抚恤（款）死亡抚恤（项）。年初预算为1.5</w:t>
      </w:r>
      <w:r>
        <w:rPr>
          <w:rFonts w:hint="eastAsia" w:ascii="仿宋" w:hAnsi="仿宋" w:eastAsia="仿宋" w:cs="仿宋"/>
          <w:sz w:val="30"/>
          <w:szCs w:val="30"/>
          <w:lang w:val="en-US" w:eastAsia="zh-CN"/>
        </w:rPr>
        <w:t>0</w:t>
      </w:r>
      <w:r>
        <w:rPr>
          <w:rFonts w:hint="eastAsia" w:ascii="仿宋" w:hAnsi="仿宋" w:eastAsia="仿宋" w:cs="仿宋"/>
          <w:sz w:val="30"/>
          <w:szCs w:val="30"/>
        </w:rPr>
        <w:t>万元，支出决算为1.5万元，完成年初预算的100%。</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5、社会保障和就业支出（类）残疾人事业（款）行政运行（项）。支出决算为</w:t>
      </w:r>
      <w:r>
        <w:rPr>
          <w:rFonts w:hint="eastAsia" w:ascii="仿宋" w:hAnsi="仿宋" w:eastAsia="仿宋" w:cs="仿宋"/>
          <w:sz w:val="30"/>
          <w:szCs w:val="30"/>
          <w:lang w:val="en-US" w:eastAsia="zh-CN"/>
        </w:rPr>
        <w:t>249.84</w:t>
      </w:r>
      <w:r>
        <w:rPr>
          <w:rFonts w:hint="eastAsia" w:ascii="仿宋" w:hAnsi="仿宋" w:eastAsia="仿宋" w:cs="仿宋"/>
          <w:sz w:val="30"/>
          <w:szCs w:val="30"/>
        </w:rPr>
        <w:t>万元，完成年初预算的1</w:t>
      </w:r>
      <w:r>
        <w:rPr>
          <w:rFonts w:hint="eastAsia" w:ascii="仿宋" w:hAnsi="仿宋" w:eastAsia="仿宋" w:cs="仿宋"/>
          <w:sz w:val="30"/>
          <w:szCs w:val="30"/>
          <w:lang w:val="en-US" w:eastAsia="zh-CN"/>
        </w:rPr>
        <w:t>00</w:t>
      </w:r>
      <w:r>
        <w:rPr>
          <w:rFonts w:hint="eastAsia" w:ascii="仿宋" w:hAnsi="仿宋" w:eastAsia="仿宋" w:cs="仿宋"/>
          <w:sz w:val="30"/>
          <w:szCs w:val="30"/>
        </w:rPr>
        <w:t>%。残疾人就业保障金因政策改革无法进行预算，残疾人事业各项工作均有效开展，残疾人事业支出增加，结转和结余经费均在持续拨付</w:t>
      </w:r>
      <w:r>
        <w:rPr>
          <w:rFonts w:hint="eastAsia" w:ascii="仿宋" w:hAnsi="仿宋" w:eastAsia="仿宋" w:cs="仿宋"/>
          <w:sz w:val="30"/>
          <w:szCs w:val="30"/>
          <w:lang w:eastAsia="zh-CN"/>
        </w:rPr>
        <w:t>，各类资金均使用完毕</w:t>
      </w:r>
      <w:r>
        <w:rPr>
          <w:rFonts w:hint="eastAsia" w:ascii="仿宋" w:hAnsi="仿宋" w:eastAsia="仿宋" w:cs="仿宋"/>
          <w:sz w:val="30"/>
          <w:szCs w:val="30"/>
        </w:rPr>
        <w:t>。</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6、社会保障和就业支出（类）残疾人事业（款）就业和扶贫（项）。残疾人事业发展补助资金由上级拨付无法预算</w:t>
      </w:r>
      <w:r>
        <w:rPr>
          <w:rFonts w:hint="eastAsia" w:ascii="仿宋" w:hAnsi="仿宋" w:eastAsia="仿宋" w:cs="仿宋"/>
          <w:sz w:val="30"/>
          <w:szCs w:val="30"/>
          <w:lang w:eastAsia="zh-CN"/>
        </w:rPr>
        <w:t>，</w:t>
      </w:r>
      <w:r>
        <w:rPr>
          <w:rFonts w:hint="eastAsia" w:ascii="仿宋" w:hAnsi="仿宋" w:eastAsia="仿宋" w:cs="仿宋"/>
          <w:sz w:val="30"/>
          <w:szCs w:val="30"/>
        </w:rPr>
        <w:t>支出决算为9</w:t>
      </w:r>
      <w:r>
        <w:rPr>
          <w:rFonts w:hint="eastAsia" w:ascii="仿宋" w:hAnsi="仿宋" w:eastAsia="仿宋" w:cs="仿宋"/>
          <w:sz w:val="30"/>
          <w:szCs w:val="30"/>
          <w:lang w:val="en-US" w:eastAsia="zh-CN"/>
        </w:rPr>
        <w:t>.00</w:t>
      </w:r>
      <w:r>
        <w:rPr>
          <w:rFonts w:hint="eastAsia" w:ascii="仿宋" w:hAnsi="仿宋" w:eastAsia="仿宋" w:cs="仿宋"/>
          <w:sz w:val="30"/>
          <w:szCs w:val="30"/>
        </w:rPr>
        <w:t>万元，决算数与年初预算数存在差异的主要原因：残疾人事业支出增加。</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7、社会保障和就业支出（类）残疾人事业（款）残疾人康复（项）。残疾人事业发展补助资金由上级拨付无法预算</w:t>
      </w:r>
      <w:r>
        <w:rPr>
          <w:rFonts w:hint="eastAsia" w:ascii="仿宋" w:hAnsi="仿宋" w:eastAsia="仿宋" w:cs="仿宋"/>
          <w:sz w:val="30"/>
          <w:szCs w:val="30"/>
          <w:lang w:eastAsia="zh-CN"/>
        </w:rPr>
        <w:t>，</w:t>
      </w:r>
      <w:r>
        <w:rPr>
          <w:rFonts w:hint="eastAsia" w:ascii="仿宋" w:hAnsi="仿宋" w:eastAsia="仿宋" w:cs="仿宋"/>
          <w:sz w:val="30"/>
          <w:szCs w:val="30"/>
        </w:rPr>
        <w:t>支出决算为</w:t>
      </w:r>
      <w:r>
        <w:rPr>
          <w:rFonts w:hint="eastAsia" w:ascii="仿宋" w:hAnsi="仿宋" w:eastAsia="仿宋" w:cs="仿宋"/>
          <w:sz w:val="30"/>
          <w:szCs w:val="30"/>
          <w:lang w:val="en-US" w:eastAsia="zh-CN"/>
        </w:rPr>
        <w:t>58.00</w:t>
      </w:r>
      <w:r>
        <w:rPr>
          <w:rFonts w:hint="eastAsia" w:ascii="仿宋" w:hAnsi="仿宋" w:eastAsia="仿宋" w:cs="仿宋"/>
          <w:sz w:val="30"/>
          <w:szCs w:val="30"/>
        </w:rPr>
        <w:t>万元，决算数与年初预算数存在差异的主要原因：残疾人事业支出增加。</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8、社会保障和就业支出（类）残疾人事业（款）其他残疾人事业支出（项）。残疾人事业发展补助资金由上级拨付无法预算</w:t>
      </w:r>
      <w:r>
        <w:rPr>
          <w:rFonts w:hint="eastAsia" w:ascii="仿宋" w:hAnsi="仿宋" w:eastAsia="仿宋" w:cs="仿宋"/>
          <w:sz w:val="30"/>
          <w:szCs w:val="30"/>
          <w:lang w:eastAsia="zh-CN"/>
        </w:rPr>
        <w:t>，</w:t>
      </w:r>
      <w:r>
        <w:rPr>
          <w:rFonts w:hint="eastAsia" w:ascii="仿宋" w:hAnsi="仿宋" w:eastAsia="仿宋" w:cs="仿宋"/>
          <w:sz w:val="30"/>
          <w:szCs w:val="30"/>
        </w:rPr>
        <w:t>支出决算为</w:t>
      </w:r>
      <w:r>
        <w:rPr>
          <w:rFonts w:hint="eastAsia" w:ascii="仿宋" w:hAnsi="仿宋" w:eastAsia="仿宋" w:cs="仿宋"/>
          <w:sz w:val="30"/>
          <w:szCs w:val="30"/>
          <w:lang w:val="en-US" w:eastAsia="zh-CN"/>
        </w:rPr>
        <w:t>133.75</w:t>
      </w:r>
      <w:r>
        <w:rPr>
          <w:rFonts w:hint="eastAsia" w:ascii="仿宋" w:hAnsi="仿宋" w:eastAsia="仿宋" w:cs="仿宋"/>
          <w:sz w:val="30"/>
          <w:szCs w:val="30"/>
        </w:rPr>
        <w:t>万元，决算数与年初预算数存在差异的主要原因：残疾人事业支出增加。</w:t>
      </w:r>
    </w:p>
    <w:p>
      <w:pPr>
        <w:kinsoku w:val="0"/>
        <w:overflowPunct w:val="0"/>
        <w:autoSpaceDE w:val="0"/>
        <w:autoSpaceDN w:val="0"/>
        <w:adjustRightInd w:val="0"/>
        <w:snapToGrid w:val="0"/>
        <w:spacing w:line="360" w:lineRule="auto"/>
        <w:ind w:left="1198" w:leftChars="284" w:hanging="602" w:hangingChars="200"/>
        <w:rPr>
          <w:rFonts w:hint="eastAsia" w:ascii="仿宋" w:hAnsi="仿宋" w:eastAsia="仿宋" w:cs="仿宋"/>
          <w:b/>
          <w:bCs/>
          <w:kern w:val="0"/>
          <w:sz w:val="30"/>
          <w:szCs w:val="30"/>
          <w:shd w:val="clear" w:fill="FFFFFF"/>
          <w:lang w:val="en-US" w:eastAsia="zh-CN" w:bidi="ar"/>
        </w:rPr>
      </w:pPr>
      <w:r>
        <w:rPr>
          <w:rFonts w:hint="eastAsia" w:ascii="仿宋" w:hAnsi="仿宋" w:eastAsia="仿宋" w:cs="仿宋"/>
          <w:b/>
          <w:bCs/>
          <w:kern w:val="0"/>
          <w:sz w:val="30"/>
          <w:szCs w:val="30"/>
          <w:shd w:val="clear" w:fill="FFFFFF"/>
          <w:lang w:val="en-US" w:eastAsia="zh-CN" w:bidi="ar"/>
        </w:rPr>
        <w:t>六、一般公共预算财政拨款基本支出决算情况说明</w:t>
      </w:r>
    </w:p>
    <w:p>
      <w:pPr>
        <w:kinsoku w:val="0"/>
        <w:overflowPunct w:val="0"/>
        <w:autoSpaceDE w:val="0"/>
        <w:autoSpaceDN w:val="0"/>
        <w:adjustRightInd w:val="0"/>
        <w:snapToGrid w:val="0"/>
        <w:spacing w:line="360" w:lineRule="auto"/>
        <w:ind w:firstLine="600" w:firstLineChars="200"/>
        <w:rPr>
          <w:rFonts w:hint="eastAsia" w:ascii="仿宋" w:hAnsi="仿宋" w:eastAsia="仿宋" w:cs="仿宋"/>
          <w:kern w:val="0"/>
          <w:sz w:val="30"/>
          <w:szCs w:val="30"/>
          <w:shd w:val="clear" w:fill="FFFFFF"/>
          <w:lang w:val="en-US" w:eastAsia="zh-CN" w:bidi="ar"/>
        </w:rPr>
      </w:pPr>
      <w:r>
        <w:rPr>
          <w:rFonts w:hint="eastAsia" w:ascii="仿宋" w:hAnsi="仿宋" w:eastAsia="仿宋" w:cs="仿宋"/>
          <w:kern w:val="0"/>
          <w:sz w:val="30"/>
          <w:szCs w:val="30"/>
          <w:shd w:val="clear" w:fill="FFFFFF"/>
          <w:lang w:val="en-US" w:eastAsia="zh-CN" w:bidi="ar"/>
        </w:rPr>
        <w:t>2021 年度一般公共预算财政拨款基本支出475.50万元。其中：人员经费 176.72万元，主要包括：基本工资60.68万元、津贴补贴11.39万元、奖金27.44万元、绩效工资6.71万元、机关事业单位基本养老保险缴费10.39万元、职工基本医疗保险缴费5.22万元、其他社会保障缴费0.41万元、其他工资福利支出10.18万元、住房公积金7.80万元，其他对个人和家庭的补助支出36.5万元：含抚恤金1.50万元、救济费18万元、医疗费补助17万元；公用经费298.78万元，主要包括：办公费4.40万元、印刷费19.73万元、水费0.24万元、邮电费1.75万元、物业管理费3.50万元、差旅费2.14万元、维修（护）费24.69万元、培训费18.54万元、公务接待费6.56万元、委托业务费174.75万元、工会经费5.50万元、福利费2.00万元、其他交通费用8.66万元、其他商品和服务支出22.75万元、办公设备购置3.57万元。</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w:t>
      </w:r>
      <w:r>
        <w:rPr>
          <w:rFonts w:hint="eastAsia" w:ascii="仿宋" w:hAnsi="仿宋" w:eastAsia="仿宋" w:cs="仿宋"/>
          <w:b/>
          <w:bCs/>
          <w:kern w:val="0"/>
          <w:sz w:val="30"/>
          <w:szCs w:val="30"/>
          <w:shd w:val="clear" w:fill="FFFFFF"/>
          <w:lang w:val="en-US" w:eastAsia="zh-CN" w:bidi="ar"/>
        </w:rPr>
        <w:t>七、一般公共预算财政拨款“三公”经费支出决算情况说明</w:t>
      </w:r>
      <w:r>
        <w:rPr>
          <w:rFonts w:hint="eastAsia" w:ascii="仿宋" w:hAnsi="仿宋" w:eastAsia="仿宋" w:cs="仿宋"/>
          <w:b/>
          <w:bCs/>
          <w:kern w:val="0"/>
          <w:sz w:val="30"/>
          <w:szCs w:val="30"/>
          <w:shd w:val="clear" w:fill="FFFFFF"/>
          <w:lang w:val="en-US" w:eastAsia="zh-CN" w:bidi="ar"/>
        </w:rPr>
        <w:br w:type="textWrapping"/>
      </w:r>
      <w:r>
        <w:rPr>
          <w:rFonts w:hint="eastAsia" w:ascii="仿宋" w:hAnsi="仿宋" w:eastAsia="仿宋" w:cs="仿宋"/>
          <w:b/>
          <w:bCs/>
          <w:kern w:val="0"/>
          <w:sz w:val="30"/>
          <w:szCs w:val="30"/>
          <w:shd w:val="clear" w:fill="FFFFFF"/>
          <w:lang w:val="en-US" w:eastAsia="zh-CN" w:bidi="ar"/>
        </w:rPr>
        <w:t xml:space="preserve">    </w:t>
      </w:r>
      <w:r>
        <w:rPr>
          <w:rFonts w:hint="eastAsia" w:ascii="仿宋" w:hAnsi="仿宋" w:eastAsia="仿宋" w:cs="仿宋"/>
          <w:kern w:val="0"/>
          <w:sz w:val="30"/>
          <w:szCs w:val="30"/>
          <w:shd w:val="clear" w:fill="FFFFFF"/>
          <w:lang w:val="en-US" w:eastAsia="zh-CN" w:bidi="ar"/>
        </w:rPr>
        <w:t>（一）“三公”经费财政拨款支出决算总体情况说明。</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2021 年度“三公”经费财政拨款支出预算为6.60万元，支出决算为 6.56万元，完成预算的99.34%。2021年度“三公”经费支出决算数与预算数存在差异的主要原因是</w:t>
      </w:r>
      <w:r>
        <w:rPr>
          <w:rFonts w:hint="eastAsia" w:ascii="仿宋" w:hAnsi="仿宋" w:eastAsia="仿宋" w:cs="仿宋"/>
          <w:sz w:val="30"/>
          <w:szCs w:val="30"/>
        </w:rPr>
        <w:t>严格控制公务接待费用</w:t>
      </w:r>
      <w:r>
        <w:rPr>
          <w:rFonts w:hint="eastAsia" w:ascii="仿宋" w:hAnsi="仿宋" w:eastAsia="仿宋" w:cs="仿宋"/>
          <w:kern w:val="0"/>
          <w:sz w:val="30"/>
          <w:szCs w:val="30"/>
          <w:shd w:val="clear" w:fill="FFFFFF"/>
          <w:lang w:val="en-US" w:eastAsia="zh-CN" w:bidi="ar"/>
        </w:rPr>
        <w:t>。</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（二）“三公”经费财政拨款支出决算具体情况说明。</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2021 年度“三公”经费财政拨款支出决算中，因公出国（境）费支出决算0.00万元，完成预算的 0.00%，占0.00%；公务用车购置及运行费支出决算0.00万元，完成预算的0.00%，占 0.00%；公务接待费支出决算 6.56万元，完成预算的99.34%，占100.00%；具体情况如下：</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1．</w:t>
      </w:r>
      <w:r>
        <w:rPr>
          <w:rFonts w:hint="eastAsia" w:ascii="仿宋" w:hAnsi="仿宋" w:eastAsia="仿宋" w:cs="仿宋"/>
          <w:sz w:val="30"/>
          <w:szCs w:val="30"/>
        </w:rPr>
        <w:t>因公出国（境）费支出年初预算为</w:t>
      </w:r>
      <w:r>
        <w:rPr>
          <w:rFonts w:hint="eastAsia" w:ascii="仿宋" w:hAnsi="仿宋" w:eastAsia="仿宋" w:cs="仿宋"/>
          <w:kern w:val="0"/>
          <w:sz w:val="30"/>
          <w:szCs w:val="30"/>
          <w:shd w:val="clear" w:fill="FFFFFF"/>
          <w:lang w:val="en-US" w:eastAsia="zh-CN" w:bidi="ar"/>
        </w:rPr>
        <w:t>0.00</w:t>
      </w:r>
      <w:r>
        <w:rPr>
          <w:rFonts w:hint="eastAsia" w:ascii="仿宋" w:hAnsi="仿宋" w:eastAsia="仿宋" w:cs="仿宋"/>
          <w:sz w:val="30"/>
          <w:szCs w:val="30"/>
        </w:rPr>
        <w:t>万元，决算为</w:t>
      </w:r>
      <w:r>
        <w:rPr>
          <w:rFonts w:hint="eastAsia" w:ascii="仿宋" w:hAnsi="仿宋" w:eastAsia="仿宋" w:cs="仿宋"/>
          <w:kern w:val="0"/>
          <w:sz w:val="30"/>
          <w:szCs w:val="30"/>
          <w:shd w:val="clear" w:fill="FFFFFF"/>
          <w:lang w:val="en-US" w:eastAsia="zh-CN" w:bidi="ar"/>
        </w:rPr>
        <w:t>0.00</w:t>
      </w:r>
      <w:r>
        <w:rPr>
          <w:rFonts w:hint="eastAsia" w:ascii="仿宋" w:hAnsi="仿宋" w:eastAsia="仿宋" w:cs="仿宋"/>
          <w:sz w:val="30"/>
          <w:szCs w:val="30"/>
        </w:rPr>
        <w:t>万元；因公出国（境）团组数为0，人数为0</w:t>
      </w:r>
      <w:r>
        <w:rPr>
          <w:rFonts w:hint="eastAsia" w:ascii="仿宋" w:hAnsi="仿宋" w:eastAsia="仿宋" w:cs="仿宋"/>
          <w:kern w:val="0"/>
          <w:sz w:val="30"/>
          <w:szCs w:val="30"/>
          <w:shd w:val="clear" w:fill="FFFFFF"/>
          <w:lang w:val="en-US" w:eastAsia="zh-CN" w:bidi="ar"/>
        </w:rPr>
        <w:t>。</w:t>
      </w:r>
    </w:p>
    <w:p>
      <w:pPr>
        <w:numPr>
          <w:ilvl w:val="0"/>
          <w:numId w:val="3"/>
        </w:numPr>
        <w:kinsoku w:val="0"/>
        <w:overflowPunct w:val="0"/>
        <w:autoSpaceDE w:val="0"/>
        <w:autoSpaceDN w:val="0"/>
        <w:adjustRightInd w:val="0"/>
        <w:snapToGrid w:val="0"/>
        <w:spacing w:line="360" w:lineRule="auto"/>
        <w:ind w:firstLine="600" w:firstLineChars="200"/>
        <w:rPr>
          <w:rFonts w:hint="eastAsia" w:ascii="仿宋" w:hAnsi="仿宋" w:eastAsia="仿宋" w:cs="仿宋"/>
          <w:kern w:val="0"/>
          <w:sz w:val="30"/>
          <w:szCs w:val="30"/>
          <w:shd w:val="clear" w:fill="FFFFFF"/>
          <w:lang w:val="en-US" w:eastAsia="zh-CN" w:bidi="ar"/>
        </w:rPr>
      </w:pPr>
      <w:r>
        <w:rPr>
          <w:rFonts w:hint="eastAsia" w:ascii="仿宋" w:hAnsi="仿宋" w:eastAsia="仿宋" w:cs="仿宋"/>
          <w:sz w:val="30"/>
          <w:szCs w:val="30"/>
        </w:rPr>
        <w:t>公务用车购置年初预算为</w:t>
      </w:r>
      <w:r>
        <w:rPr>
          <w:rFonts w:hint="eastAsia" w:ascii="仿宋" w:hAnsi="仿宋" w:eastAsia="仿宋" w:cs="仿宋"/>
          <w:kern w:val="0"/>
          <w:sz w:val="30"/>
          <w:szCs w:val="30"/>
          <w:shd w:val="clear" w:fill="FFFFFF"/>
          <w:lang w:val="en-US" w:eastAsia="zh-CN" w:bidi="ar"/>
        </w:rPr>
        <w:t>0.00</w:t>
      </w:r>
      <w:r>
        <w:rPr>
          <w:rFonts w:hint="eastAsia" w:ascii="仿宋" w:hAnsi="仿宋" w:eastAsia="仿宋" w:cs="仿宋"/>
          <w:sz w:val="30"/>
          <w:szCs w:val="30"/>
        </w:rPr>
        <w:t>万元，支出决算为</w:t>
      </w:r>
      <w:r>
        <w:rPr>
          <w:rFonts w:hint="eastAsia" w:ascii="仿宋" w:hAnsi="仿宋" w:eastAsia="仿宋" w:cs="仿宋"/>
          <w:kern w:val="0"/>
          <w:sz w:val="30"/>
          <w:szCs w:val="30"/>
          <w:shd w:val="clear" w:fill="FFFFFF"/>
          <w:lang w:val="en-US" w:eastAsia="zh-CN" w:bidi="ar"/>
        </w:rPr>
        <w:t>0.00</w:t>
      </w:r>
      <w:r>
        <w:rPr>
          <w:rFonts w:hint="eastAsia" w:ascii="仿宋" w:hAnsi="仿宋" w:eastAsia="仿宋" w:cs="仿宋"/>
          <w:sz w:val="30"/>
          <w:szCs w:val="30"/>
        </w:rPr>
        <w:t>万元，运行费年初预算为</w:t>
      </w:r>
      <w:r>
        <w:rPr>
          <w:rFonts w:hint="eastAsia" w:ascii="仿宋" w:hAnsi="仿宋" w:eastAsia="仿宋" w:cs="仿宋"/>
          <w:kern w:val="0"/>
          <w:sz w:val="30"/>
          <w:szCs w:val="30"/>
          <w:shd w:val="clear" w:fill="FFFFFF"/>
          <w:lang w:val="en-US" w:eastAsia="zh-CN" w:bidi="ar"/>
        </w:rPr>
        <w:t>0.00</w:t>
      </w:r>
      <w:r>
        <w:rPr>
          <w:rFonts w:hint="eastAsia" w:ascii="仿宋" w:hAnsi="仿宋" w:eastAsia="仿宋" w:cs="仿宋"/>
          <w:sz w:val="30"/>
          <w:szCs w:val="30"/>
        </w:rPr>
        <w:t>万元，支出决算为</w:t>
      </w:r>
      <w:r>
        <w:rPr>
          <w:rFonts w:hint="eastAsia" w:ascii="仿宋" w:hAnsi="仿宋" w:eastAsia="仿宋" w:cs="仿宋"/>
          <w:kern w:val="0"/>
          <w:sz w:val="30"/>
          <w:szCs w:val="30"/>
          <w:shd w:val="clear" w:fill="FFFFFF"/>
          <w:lang w:val="en-US" w:eastAsia="zh-CN" w:bidi="ar"/>
        </w:rPr>
        <w:t>0.00</w:t>
      </w:r>
      <w:r>
        <w:rPr>
          <w:rFonts w:hint="eastAsia" w:ascii="仿宋" w:hAnsi="仿宋" w:eastAsia="仿宋" w:cs="仿宋"/>
          <w:sz w:val="30"/>
          <w:szCs w:val="30"/>
        </w:rPr>
        <w:t>万元，完成年初预算的</w:t>
      </w:r>
      <w:r>
        <w:rPr>
          <w:rFonts w:hint="eastAsia" w:ascii="仿宋" w:hAnsi="仿宋" w:eastAsia="仿宋" w:cs="仿宋"/>
          <w:kern w:val="0"/>
          <w:sz w:val="30"/>
          <w:szCs w:val="30"/>
          <w:shd w:val="clear" w:fill="FFFFFF"/>
          <w:lang w:val="en-US" w:eastAsia="zh-CN" w:bidi="ar"/>
        </w:rPr>
        <w:t>0.00</w:t>
      </w:r>
      <w:r>
        <w:rPr>
          <w:rFonts w:hint="eastAsia" w:ascii="仿宋" w:hAnsi="仿宋" w:eastAsia="仿宋" w:cs="仿宋"/>
          <w:sz w:val="30"/>
          <w:szCs w:val="30"/>
        </w:rPr>
        <w:t>%。决算数与年初预算数存在差异的主要原因是没有公务用车或者租车现象。其中：</w:t>
      </w:r>
    </w:p>
    <w:p>
      <w:pPr>
        <w:numPr>
          <w:ilvl w:val="0"/>
          <w:numId w:val="0"/>
        </w:numPr>
        <w:kinsoku w:val="0"/>
        <w:overflowPunct w:val="0"/>
        <w:autoSpaceDE w:val="0"/>
        <w:autoSpaceDN w:val="0"/>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公务用车购置支出</w:t>
      </w:r>
      <w:r>
        <w:rPr>
          <w:rFonts w:hint="eastAsia" w:ascii="仿宋" w:hAnsi="仿宋" w:eastAsia="仿宋" w:cs="仿宋"/>
          <w:kern w:val="0"/>
          <w:sz w:val="30"/>
          <w:szCs w:val="30"/>
          <w:shd w:val="clear" w:fill="FFFFFF"/>
          <w:lang w:val="en-US" w:eastAsia="zh-CN" w:bidi="ar"/>
        </w:rPr>
        <w:t>0.00</w:t>
      </w:r>
      <w:r>
        <w:rPr>
          <w:rFonts w:hint="eastAsia" w:ascii="仿宋" w:hAnsi="仿宋" w:eastAsia="仿宋" w:cs="仿宋"/>
          <w:sz w:val="30"/>
          <w:szCs w:val="30"/>
        </w:rPr>
        <w:t>万元，购置车辆0辆。</w:t>
      </w:r>
    </w:p>
    <w:p>
      <w:pPr>
        <w:numPr>
          <w:ilvl w:val="0"/>
          <w:numId w:val="0"/>
        </w:numPr>
        <w:kinsoku w:val="0"/>
        <w:overflowPunct w:val="0"/>
        <w:autoSpaceDE w:val="0"/>
        <w:autoSpaceDN w:val="0"/>
        <w:adjustRightInd w:val="0"/>
        <w:snapToGrid w:val="0"/>
        <w:spacing w:line="360" w:lineRule="auto"/>
        <w:ind w:firstLine="600" w:firstLineChars="200"/>
        <w:rPr>
          <w:rFonts w:hint="eastAsia" w:ascii="仿宋" w:hAnsi="仿宋" w:eastAsia="仿宋" w:cs="仿宋"/>
          <w:kern w:val="0"/>
          <w:sz w:val="30"/>
          <w:szCs w:val="30"/>
          <w:shd w:val="clear" w:fill="FFFFFF"/>
          <w:lang w:val="en-US" w:eastAsia="zh-CN" w:bidi="ar"/>
        </w:rPr>
      </w:pPr>
      <w:r>
        <w:rPr>
          <w:rFonts w:hint="eastAsia" w:ascii="仿宋" w:hAnsi="仿宋" w:eastAsia="仿宋" w:cs="仿宋"/>
          <w:sz w:val="30"/>
          <w:szCs w:val="30"/>
        </w:rPr>
        <w:t>公务用车运行支出为</w:t>
      </w:r>
      <w:r>
        <w:rPr>
          <w:rFonts w:hint="eastAsia" w:ascii="仿宋" w:hAnsi="仿宋" w:eastAsia="仿宋" w:cs="仿宋"/>
          <w:kern w:val="0"/>
          <w:sz w:val="30"/>
          <w:szCs w:val="30"/>
          <w:shd w:val="clear" w:fill="FFFFFF"/>
          <w:lang w:val="en-US" w:eastAsia="zh-CN" w:bidi="ar"/>
        </w:rPr>
        <w:t>0.00</w:t>
      </w:r>
      <w:r>
        <w:rPr>
          <w:rFonts w:hint="eastAsia" w:ascii="仿宋" w:hAnsi="仿宋" w:eastAsia="仿宋" w:cs="仿宋"/>
          <w:sz w:val="30"/>
          <w:szCs w:val="30"/>
        </w:rPr>
        <w:t>万元，202</w:t>
      </w:r>
      <w:r>
        <w:rPr>
          <w:rFonts w:hint="eastAsia" w:ascii="仿宋" w:hAnsi="仿宋" w:eastAsia="仿宋" w:cs="仿宋"/>
          <w:sz w:val="30"/>
          <w:szCs w:val="30"/>
          <w:lang w:val="en-US" w:eastAsia="zh-CN"/>
        </w:rPr>
        <w:t>1</w:t>
      </w:r>
      <w:r>
        <w:rPr>
          <w:rFonts w:hint="eastAsia" w:ascii="仿宋" w:hAnsi="仿宋" w:eastAsia="仿宋" w:cs="仿宋"/>
          <w:sz w:val="30"/>
          <w:szCs w:val="30"/>
        </w:rPr>
        <w:t>年期末，部门开支财政拨款的公务用车保有量为0辆。</w:t>
      </w:r>
    </w:p>
    <w:p>
      <w:pPr>
        <w:kinsoku w:val="0"/>
        <w:overflowPunct w:val="0"/>
        <w:autoSpaceDE w:val="0"/>
        <w:autoSpaceDN w:val="0"/>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kern w:val="0"/>
          <w:sz w:val="30"/>
          <w:szCs w:val="30"/>
          <w:shd w:val="clear" w:fill="FFFFFF"/>
          <w:lang w:val="en-US" w:eastAsia="zh-CN" w:bidi="ar"/>
        </w:rPr>
        <w:t>3. 公务接待费年初预算为6.60万元，支出决算为6.56万元，完成年初预算的99.34%。决算数与年初预 算数存在差异的主要原因是</w:t>
      </w:r>
      <w:r>
        <w:rPr>
          <w:rFonts w:hint="eastAsia" w:ascii="仿宋" w:hAnsi="仿宋" w:eastAsia="仿宋" w:cs="仿宋"/>
          <w:sz w:val="30"/>
          <w:szCs w:val="30"/>
        </w:rPr>
        <w:t>严格控制公务接待费用</w:t>
      </w:r>
      <w:r>
        <w:rPr>
          <w:rFonts w:hint="eastAsia" w:ascii="仿宋" w:hAnsi="仿宋" w:eastAsia="仿宋" w:cs="仿宋"/>
          <w:kern w:val="0"/>
          <w:sz w:val="30"/>
          <w:szCs w:val="30"/>
          <w:shd w:val="clear" w:fill="FFFFFF"/>
          <w:lang w:val="en-US" w:eastAsia="zh-CN" w:bidi="ar"/>
        </w:rPr>
        <w:t>。</w:t>
      </w:r>
      <w:r>
        <w:rPr>
          <w:rFonts w:hint="eastAsia" w:ascii="仿宋" w:hAnsi="仿宋" w:eastAsia="仿宋" w:cs="仿宋"/>
          <w:sz w:val="30"/>
          <w:szCs w:val="30"/>
        </w:rPr>
        <w:t>其中：外宾接待支出为</w:t>
      </w:r>
      <w:r>
        <w:rPr>
          <w:rFonts w:hint="eastAsia" w:ascii="仿宋" w:hAnsi="仿宋" w:eastAsia="仿宋" w:cs="仿宋"/>
          <w:kern w:val="0"/>
          <w:sz w:val="30"/>
          <w:szCs w:val="30"/>
          <w:shd w:val="clear" w:fill="FFFFFF"/>
          <w:lang w:val="en-US" w:eastAsia="zh-CN" w:bidi="ar"/>
        </w:rPr>
        <w:t>0.00</w:t>
      </w:r>
      <w:r>
        <w:rPr>
          <w:rFonts w:hint="eastAsia" w:ascii="仿宋" w:hAnsi="仿宋" w:eastAsia="仿宋" w:cs="仿宋"/>
          <w:sz w:val="30"/>
          <w:szCs w:val="30"/>
        </w:rPr>
        <w:t>万元,外宾接待团组数为0，人数为0；其他国内公务接待支出为6.</w:t>
      </w:r>
      <w:r>
        <w:rPr>
          <w:rFonts w:hint="eastAsia" w:ascii="仿宋" w:hAnsi="仿宋" w:eastAsia="仿宋" w:cs="仿宋"/>
          <w:sz w:val="30"/>
          <w:szCs w:val="30"/>
          <w:lang w:val="en-US" w:eastAsia="zh-CN"/>
        </w:rPr>
        <w:t>5</w:t>
      </w:r>
      <w:r>
        <w:rPr>
          <w:rFonts w:hint="eastAsia" w:ascii="仿宋" w:hAnsi="仿宋" w:eastAsia="仿宋" w:cs="仿宋"/>
          <w:sz w:val="30"/>
          <w:szCs w:val="30"/>
        </w:rPr>
        <w:t>6万元，202</w:t>
      </w:r>
      <w:r>
        <w:rPr>
          <w:rFonts w:hint="eastAsia" w:ascii="仿宋" w:hAnsi="仿宋" w:eastAsia="仿宋" w:cs="仿宋"/>
          <w:sz w:val="30"/>
          <w:szCs w:val="30"/>
          <w:lang w:val="en-US" w:eastAsia="zh-CN"/>
        </w:rPr>
        <w:t>1</w:t>
      </w:r>
      <w:r>
        <w:rPr>
          <w:rFonts w:hint="eastAsia" w:ascii="仿宋" w:hAnsi="仿宋" w:eastAsia="仿宋" w:cs="仿宋"/>
          <w:sz w:val="30"/>
          <w:szCs w:val="30"/>
        </w:rPr>
        <w:t>年度共接待375人次，主要用于上级检查、基层残联工作往来用餐费用。</w:t>
      </w:r>
    </w:p>
    <w:p>
      <w:pPr>
        <w:kinsoku w:val="0"/>
        <w:overflowPunct w:val="0"/>
        <w:autoSpaceDE w:val="0"/>
        <w:autoSpaceDN w:val="0"/>
        <w:adjustRightInd w:val="0"/>
        <w:snapToGrid w:val="0"/>
        <w:spacing w:line="360" w:lineRule="auto"/>
        <w:ind w:left="596" w:leftChars="284" w:firstLine="0" w:firstLineChars="0"/>
        <w:rPr>
          <w:rFonts w:hint="eastAsia" w:ascii="仿宋" w:hAnsi="仿宋" w:eastAsia="仿宋" w:cs="仿宋"/>
          <w:b/>
          <w:bCs/>
          <w:kern w:val="0"/>
          <w:sz w:val="30"/>
          <w:szCs w:val="30"/>
          <w:shd w:val="clear" w:fill="FFFFFF"/>
          <w:lang w:val="en-US" w:eastAsia="zh-CN" w:bidi="ar"/>
        </w:rPr>
      </w:pPr>
      <w:r>
        <w:rPr>
          <w:rFonts w:hint="eastAsia" w:ascii="仿宋" w:hAnsi="仿宋" w:eastAsia="仿宋" w:cs="仿宋"/>
          <w:b/>
          <w:bCs/>
          <w:kern w:val="0"/>
          <w:sz w:val="30"/>
          <w:szCs w:val="30"/>
          <w:shd w:val="clear" w:fill="FFFFFF"/>
          <w:lang w:val="en-US" w:eastAsia="zh-CN" w:bidi="ar"/>
        </w:rPr>
        <w:t>八、政府性基金预算财政拨款支出决算情况说明</w:t>
      </w:r>
    </w:p>
    <w:p>
      <w:pPr>
        <w:kinsoku w:val="0"/>
        <w:overflowPunct w:val="0"/>
        <w:autoSpaceDE w:val="0"/>
        <w:autoSpaceDN w:val="0"/>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kern w:val="0"/>
          <w:sz w:val="30"/>
          <w:szCs w:val="30"/>
          <w:shd w:val="clear" w:fill="FFFFFF"/>
          <w:lang w:val="en-US" w:eastAsia="zh-CN" w:bidi="ar"/>
        </w:rPr>
        <w:t>2021 年度政府性基金预算财政拨款支出年初预算为159.66万元，支出决算为 159.66万元，完成年初预算的100.00%。</w:t>
      </w:r>
      <w:r>
        <w:rPr>
          <w:rFonts w:hint="eastAsia" w:ascii="仿宋" w:hAnsi="仿宋" w:eastAsia="仿宋" w:cs="仿宋"/>
          <w:sz w:val="30"/>
          <w:szCs w:val="30"/>
        </w:rPr>
        <w:t>主要用于残疾人事业发展补助资金，其中残疾儿童康复救助项目</w:t>
      </w:r>
      <w:r>
        <w:rPr>
          <w:rFonts w:hint="eastAsia" w:ascii="仿宋" w:hAnsi="仿宋" w:eastAsia="仿宋" w:cs="仿宋"/>
          <w:sz w:val="30"/>
          <w:szCs w:val="30"/>
          <w:lang w:eastAsia="zh-CN"/>
        </w:rPr>
        <w:t>往年</w:t>
      </w:r>
      <w:r>
        <w:rPr>
          <w:rFonts w:hint="eastAsia" w:ascii="仿宋" w:hAnsi="仿宋" w:eastAsia="仿宋" w:cs="仿宋"/>
          <w:sz w:val="30"/>
          <w:szCs w:val="30"/>
        </w:rPr>
        <w:t>年末结转和结余下年较多，主要原因是项目实施过程较长，整理完善资料繁多，任务量大，残疾儿童康复救助的补助实施严格按照市县两级文件指示办理，将以前年度和本年度的救助分别按年度拨付，现残疾儿童康复资金在持续拨付。</w:t>
      </w:r>
    </w:p>
    <w:p>
      <w:pPr>
        <w:numPr>
          <w:ilvl w:val="0"/>
          <w:numId w:val="0"/>
        </w:numPr>
        <w:adjustRightInd w:val="0"/>
        <w:snapToGrid w:val="0"/>
        <w:spacing w:line="360" w:lineRule="auto"/>
        <w:ind w:firstLine="602" w:firstLineChars="200"/>
        <w:rPr>
          <w:rFonts w:hint="eastAsia" w:ascii="仿宋" w:hAnsi="仿宋" w:eastAsia="仿宋" w:cs="仿宋"/>
          <w:kern w:val="0"/>
          <w:sz w:val="30"/>
          <w:szCs w:val="30"/>
          <w:shd w:val="clear" w:fill="FFFFFF"/>
          <w:lang w:val="en-US" w:eastAsia="zh-CN" w:bidi="ar"/>
        </w:rPr>
      </w:pPr>
      <w:r>
        <w:rPr>
          <w:rFonts w:hint="eastAsia" w:ascii="仿宋" w:hAnsi="仿宋" w:eastAsia="仿宋" w:cs="仿宋"/>
          <w:b/>
          <w:bCs/>
          <w:kern w:val="0"/>
          <w:sz w:val="30"/>
          <w:szCs w:val="30"/>
          <w:shd w:val="clear" w:fill="FFFFFF"/>
          <w:lang w:val="en-US" w:eastAsia="zh-CN" w:bidi="ar"/>
        </w:rPr>
        <w:t>九、机关运行经费支出情况说明</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2021 年度机关运行经费初预算为109.34万元，支出决算为109.34万元，完成年初预算的100%。 </w:t>
      </w:r>
    </w:p>
    <w:p>
      <w:pPr>
        <w:numPr>
          <w:ilvl w:val="0"/>
          <w:numId w:val="0"/>
        </w:numPr>
        <w:adjustRightInd w:val="0"/>
        <w:snapToGrid w:val="0"/>
        <w:spacing w:line="360" w:lineRule="auto"/>
        <w:ind w:left="596" w:leftChars="284" w:firstLine="0" w:firstLineChars="0"/>
        <w:rPr>
          <w:rFonts w:hint="eastAsia" w:ascii="仿宋" w:hAnsi="仿宋" w:eastAsia="仿宋" w:cs="仿宋"/>
          <w:b/>
          <w:bCs/>
          <w:kern w:val="0"/>
          <w:sz w:val="30"/>
          <w:szCs w:val="30"/>
          <w:shd w:val="clear" w:fill="FFFFFF"/>
          <w:lang w:val="en-US" w:eastAsia="zh-CN" w:bidi="ar"/>
        </w:rPr>
      </w:pPr>
      <w:r>
        <w:rPr>
          <w:rFonts w:hint="eastAsia" w:ascii="仿宋" w:hAnsi="仿宋" w:eastAsia="仿宋" w:cs="仿宋"/>
          <w:b/>
          <w:bCs/>
          <w:kern w:val="0"/>
          <w:sz w:val="30"/>
          <w:szCs w:val="30"/>
          <w:shd w:val="clear" w:fill="FFFFFF"/>
          <w:lang w:val="en-US" w:eastAsia="zh-CN" w:bidi="ar"/>
        </w:rPr>
        <w:t>十、政府采购支出情况说明</w:t>
      </w:r>
    </w:p>
    <w:p>
      <w:pPr>
        <w:widowControl/>
        <w:spacing w:line="590" w:lineRule="exact"/>
        <w:ind w:firstLine="600" w:firstLineChars="200"/>
        <w:rPr>
          <w:rFonts w:hint="eastAsia" w:ascii="仿宋" w:hAnsi="仿宋" w:eastAsia="仿宋" w:cs="仿宋"/>
          <w:sz w:val="30"/>
          <w:szCs w:val="30"/>
        </w:rPr>
      </w:pPr>
      <w:r>
        <w:rPr>
          <w:rFonts w:hint="eastAsia" w:ascii="仿宋" w:hAnsi="仿宋" w:eastAsia="仿宋" w:cs="仿宋"/>
          <w:kern w:val="0"/>
          <w:sz w:val="30"/>
          <w:szCs w:val="30"/>
          <w:shd w:val="clear" w:fill="FFFFFF"/>
          <w:lang w:val="en-US" w:eastAsia="zh-CN" w:bidi="ar"/>
        </w:rPr>
        <w:t>2021 年度政府采购支出总额3.57万元，</w:t>
      </w:r>
      <w:r>
        <w:rPr>
          <w:rFonts w:hint="eastAsia" w:ascii="仿宋" w:hAnsi="仿宋" w:eastAsia="仿宋" w:cs="仿宋"/>
          <w:sz w:val="30"/>
          <w:szCs w:val="30"/>
        </w:rPr>
        <w:t>为办公设备购置</w:t>
      </w:r>
      <w:r>
        <w:rPr>
          <w:rFonts w:hint="eastAsia" w:ascii="仿宋" w:hAnsi="仿宋" w:eastAsia="仿宋" w:cs="仿宋"/>
          <w:sz w:val="30"/>
          <w:szCs w:val="30"/>
          <w:lang w:eastAsia="zh-CN"/>
        </w:rPr>
        <w:t>。</w:t>
      </w:r>
      <w:r>
        <w:rPr>
          <w:rFonts w:hint="eastAsia" w:ascii="仿宋" w:hAnsi="仿宋" w:eastAsia="仿宋" w:cs="仿宋"/>
          <w:kern w:val="0"/>
          <w:sz w:val="30"/>
          <w:szCs w:val="30"/>
          <w:shd w:val="clear" w:fill="FFFFFF"/>
          <w:lang w:val="en-US" w:eastAsia="zh-CN" w:bidi="ar"/>
        </w:rPr>
        <w:t>其中：政府采购货物支出3.57万元、政府采购工程支出0.00万元、政府采购服务支出0.00万元。授予中小企业合同金额 0.00万元，占政府采购支出总额的0.00%,其中：授予小微企业合同金额0.00万元，占政府 采购支出总额的0.00%。</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w:t>
      </w:r>
      <w:r>
        <w:rPr>
          <w:rFonts w:hint="eastAsia" w:ascii="仿宋" w:hAnsi="仿宋" w:eastAsia="仿宋" w:cs="仿宋"/>
          <w:b/>
          <w:bCs/>
          <w:kern w:val="0"/>
          <w:sz w:val="30"/>
          <w:szCs w:val="30"/>
          <w:shd w:val="clear" w:fill="FFFFFF"/>
          <w:lang w:val="en-US" w:eastAsia="zh-CN" w:bidi="ar"/>
        </w:rPr>
        <w:t>十一、国有资产占用情况说明</w:t>
      </w:r>
      <w:r>
        <w:rPr>
          <w:rFonts w:hint="eastAsia" w:ascii="仿宋" w:hAnsi="仿宋" w:eastAsia="仿宋" w:cs="仿宋"/>
          <w:b/>
          <w:bCs/>
          <w:kern w:val="0"/>
          <w:sz w:val="30"/>
          <w:szCs w:val="30"/>
          <w:shd w:val="clear" w:fill="FFFFFF"/>
          <w:lang w:val="en-US" w:eastAsia="zh-CN" w:bidi="ar"/>
        </w:rPr>
        <w:br w:type="textWrapping"/>
      </w:r>
      <w:r>
        <w:rPr>
          <w:rFonts w:hint="eastAsia" w:ascii="仿宋" w:hAnsi="仿宋" w:eastAsia="仿宋" w:cs="仿宋"/>
          <w:b/>
          <w:bCs/>
          <w:kern w:val="0"/>
          <w:sz w:val="30"/>
          <w:szCs w:val="30"/>
          <w:shd w:val="clear" w:fill="FFFFFF"/>
          <w:lang w:val="en-US" w:eastAsia="zh-CN" w:bidi="ar"/>
        </w:rPr>
        <w:t xml:space="preserve">    </w:t>
      </w:r>
      <w:r>
        <w:rPr>
          <w:rFonts w:hint="eastAsia" w:ascii="仿宋" w:hAnsi="仿宋" w:eastAsia="仿宋" w:cs="仿宋"/>
          <w:kern w:val="0"/>
          <w:sz w:val="30"/>
          <w:szCs w:val="30"/>
          <w:shd w:val="clear" w:fill="FFFFFF"/>
          <w:lang w:val="en-US" w:eastAsia="zh-CN" w:bidi="ar"/>
        </w:rPr>
        <w:t>2021 年期末，我单位共有车辆1辆，</w:t>
      </w:r>
      <w:r>
        <w:rPr>
          <w:rFonts w:hint="eastAsia" w:ascii="仿宋" w:hAnsi="仿宋" w:eastAsia="仿宋" w:cs="仿宋"/>
          <w:sz w:val="30"/>
          <w:szCs w:val="30"/>
        </w:rPr>
        <w:t>属省残联为康复教育中心配发的残疾人服务用车</w:t>
      </w:r>
      <w:r>
        <w:rPr>
          <w:rFonts w:hint="eastAsia" w:ascii="仿宋" w:hAnsi="仿宋" w:eastAsia="仿宋" w:cs="仿宋"/>
          <w:sz w:val="30"/>
          <w:szCs w:val="30"/>
          <w:lang w:eastAsia="zh-CN"/>
        </w:rPr>
        <w:t>。</w:t>
      </w:r>
      <w:r>
        <w:rPr>
          <w:rFonts w:hint="eastAsia" w:ascii="仿宋" w:hAnsi="仿宋" w:eastAsia="仿宋" w:cs="仿宋"/>
          <w:kern w:val="0"/>
          <w:sz w:val="30"/>
          <w:szCs w:val="30"/>
          <w:shd w:val="clear" w:fill="FFFFFF"/>
          <w:lang w:val="en-US" w:eastAsia="zh-CN" w:bidi="ar"/>
        </w:rPr>
        <w:t>其中：省级领导干部用车0辆、主要领导干部用车 0辆、机要通信用车0辆、应急保障车0辆、执法执勤用车 0辆、特种专业技术用车0辆、离退休干部用车0辆、其他用 车0辆；单位价值50万元以上通用设备0台（套），单位价值100万元以上专用设备 0台（套）。</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kern w:val="0"/>
          <w:sz w:val="30"/>
          <w:szCs w:val="30"/>
          <w:shd w:val="clear" w:fill="FFFFFF"/>
          <w:lang w:val="en-US" w:eastAsia="zh-CN" w:bidi="ar"/>
        </w:rPr>
        <w:t xml:space="preserve">    </w:t>
      </w:r>
      <w:r>
        <w:rPr>
          <w:rFonts w:hint="eastAsia" w:ascii="仿宋" w:hAnsi="仿宋" w:eastAsia="仿宋" w:cs="仿宋"/>
          <w:b/>
          <w:bCs/>
          <w:kern w:val="0"/>
          <w:sz w:val="30"/>
          <w:szCs w:val="30"/>
          <w:shd w:val="clear" w:fill="FFFFFF"/>
          <w:lang w:val="en-US" w:eastAsia="zh-CN" w:bidi="ar"/>
        </w:rPr>
        <w:t>十二、预算绩效情况说明</w:t>
      </w:r>
      <w:r>
        <w:rPr>
          <w:rFonts w:hint="eastAsia" w:ascii="仿宋" w:hAnsi="仿宋" w:eastAsia="仿宋" w:cs="仿宋"/>
          <w:b/>
          <w:bCs/>
          <w:kern w:val="0"/>
          <w:sz w:val="30"/>
          <w:szCs w:val="30"/>
          <w:shd w:val="clear" w:fill="FFFFFF"/>
          <w:lang w:val="en-US" w:eastAsia="zh-CN" w:bidi="ar"/>
        </w:rPr>
        <w:br w:type="textWrapping"/>
      </w:r>
      <w:r>
        <w:rPr>
          <w:rFonts w:hint="eastAsia" w:ascii="仿宋" w:hAnsi="仿宋" w:eastAsia="仿宋" w:cs="仿宋"/>
          <w:b/>
          <w:bCs/>
          <w:kern w:val="0"/>
          <w:sz w:val="30"/>
          <w:szCs w:val="30"/>
          <w:shd w:val="clear" w:fill="FFFFFF"/>
          <w:lang w:val="en-US" w:eastAsia="zh-CN" w:bidi="ar"/>
        </w:rPr>
        <w:t xml:space="preserve">    </w:t>
      </w:r>
      <w:r>
        <w:rPr>
          <w:rFonts w:hint="eastAsia" w:ascii="仿宋" w:hAnsi="仿宋" w:eastAsia="仿宋" w:cs="仿宋"/>
          <w:kern w:val="0"/>
          <w:sz w:val="30"/>
          <w:szCs w:val="30"/>
          <w:shd w:val="clear" w:fill="FFFFFF"/>
          <w:lang w:val="en-US" w:eastAsia="zh-CN" w:bidi="ar"/>
        </w:rPr>
        <w:t>（一）绩效管理工作开展情况。</w:t>
      </w:r>
      <w:r>
        <w:rPr>
          <w:rFonts w:hint="eastAsia" w:ascii="仿宋" w:hAnsi="仿宋" w:eastAsia="仿宋" w:cs="仿宋"/>
          <w:kern w:val="0"/>
          <w:sz w:val="30"/>
          <w:szCs w:val="30"/>
          <w:shd w:val="clear" w:fill="FFFFFF"/>
          <w:lang w:val="en-US" w:eastAsia="zh-CN" w:bidi="ar"/>
        </w:rPr>
        <w:br w:type="textWrapping"/>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2021年</w:t>
      </w:r>
      <w:r>
        <w:rPr>
          <w:rFonts w:hint="eastAsia" w:ascii="仿宋" w:hAnsi="仿宋" w:eastAsia="仿宋" w:cs="仿宋"/>
          <w:sz w:val="30"/>
          <w:szCs w:val="30"/>
        </w:rPr>
        <w:t>，我单位纳入预算绩效管理的支出总额为</w:t>
      </w:r>
      <w:r>
        <w:rPr>
          <w:rFonts w:hint="eastAsia" w:ascii="仿宋" w:hAnsi="仿宋" w:eastAsia="仿宋" w:cs="仿宋"/>
          <w:sz w:val="30"/>
          <w:szCs w:val="30"/>
          <w:lang w:val="en-US" w:eastAsia="zh-CN"/>
        </w:rPr>
        <w:t>635.16</w:t>
      </w:r>
      <w:r>
        <w:rPr>
          <w:rFonts w:hint="eastAsia" w:ascii="仿宋" w:hAnsi="仿宋" w:eastAsia="仿宋" w:cs="仿宋"/>
          <w:sz w:val="30"/>
          <w:szCs w:val="30"/>
        </w:rPr>
        <w:t>万元，其中人员经费支出</w:t>
      </w:r>
      <w:r>
        <w:rPr>
          <w:rFonts w:hint="eastAsia" w:ascii="仿宋" w:hAnsi="仿宋" w:eastAsia="仿宋" w:cs="仿宋"/>
          <w:sz w:val="30"/>
          <w:szCs w:val="30"/>
          <w:lang w:val="en-US" w:eastAsia="zh-CN"/>
        </w:rPr>
        <w:t>176.72</w:t>
      </w:r>
      <w:r>
        <w:rPr>
          <w:rFonts w:hint="eastAsia" w:ascii="仿宋" w:hAnsi="仿宋" w:eastAsia="仿宋" w:cs="仿宋"/>
          <w:sz w:val="30"/>
          <w:szCs w:val="30"/>
        </w:rPr>
        <w:t>万元，公用经费支出</w:t>
      </w:r>
      <w:r>
        <w:rPr>
          <w:rFonts w:hint="eastAsia" w:ascii="仿宋" w:hAnsi="仿宋" w:eastAsia="仿宋" w:cs="仿宋"/>
          <w:sz w:val="30"/>
          <w:szCs w:val="30"/>
          <w:lang w:val="en-US" w:eastAsia="zh-CN"/>
        </w:rPr>
        <w:t>298.78</w:t>
      </w:r>
      <w:r>
        <w:rPr>
          <w:rFonts w:hint="eastAsia" w:ascii="仿宋" w:hAnsi="仿宋" w:eastAsia="仿宋" w:cs="仿宋"/>
          <w:sz w:val="30"/>
          <w:szCs w:val="30"/>
        </w:rPr>
        <w:t>万元；支出项目共</w:t>
      </w:r>
      <w:r>
        <w:rPr>
          <w:rFonts w:hint="eastAsia" w:ascii="仿宋" w:hAnsi="仿宋" w:eastAsia="仿宋" w:cs="仿宋"/>
          <w:sz w:val="30"/>
          <w:szCs w:val="30"/>
          <w:lang w:val="en-US" w:eastAsia="zh-CN"/>
        </w:rPr>
        <w:t>0</w:t>
      </w:r>
      <w:r>
        <w:rPr>
          <w:rFonts w:hint="eastAsia" w:ascii="仿宋" w:hAnsi="仿宋" w:eastAsia="仿宋" w:cs="仿宋"/>
          <w:sz w:val="30"/>
          <w:szCs w:val="30"/>
        </w:rPr>
        <w:t>个，支出金额</w:t>
      </w:r>
      <w:r>
        <w:rPr>
          <w:rFonts w:hint="eastAsia" w:ascii="仿宋" w:hAnsi="仿宋" w:eastAsia="仿宋" w:cs="仿宋"/>
          <w:sz w:val="30"/>
          <w:szCs w:val="30"/>
          <w:lang w:val="en-US" w:eastAsia="zh-CN"/>
        </w:rPr>
        <w:t>0</w:t>
      </w:r>
      <w:r>
        <w:rPr>
          <w:rFonts w:hint="eastAsia" w:ascii="仿宋" w:hAnsi="仿宋" w:eastAsia="仿宋" w:cs="仿宋"/>
          <w:sz w:val="30"/>
          <w:szCs w:val="30"/>
        </w:rPr>
        <w:t>万元。其中，进行项目绩效自评</w:t>
      </w:r>
      <w:r>
        <w:rPr>
          <w:rFonts w:hint="eastAsia" w:ascii="仿宋" w:hAnsi="仿宋" w:eastAsia="仿宋" w:cs="仿宋"/>
          <w:sz w:val="30"/>
          <w:szCs w:val="30"/>
          <w:lang w:val="en-US" w:eastAsia="zh-CN"/>
        </w:rPr>
        <w:t>0</w:t>
      </w:r>
      <w:r>
        <w:rPr>
          <w:rFonts w:hint="eastAsia" w:ascii="仿宋" w:hAnsi="仿宋" w:eastAsia="仿宋" w:cs="仿宋"/>
          <w:sz w:val="30"/>
          <w:szCs w:val="30"/>
        </w:rPr>
        <w:t>个，自评金额</w:t>
      </w:r>
      <w:r>
        <w:rPr>
          <w:rFonts w:hint="eastAsia" w:ascii="仿宋" w:hAnsi="仿宋" w:eastAsia="仿宋" w:cs="仿宋"/>
          <w:sz w:val="30"/>
          <w:szCs w:val="30"/>
          <w:lang w:val="en-US" w:eastAsia="zh-CN"/>
        </w:rPr>
        <w:t>0</w:t>
      </w:r>
      <w:r>
        <w:rPr>
          <w:rFonts w:hint="eastAsia" w:ascii="仿宋" w:hAnsi="仿宋" w:eastAsia="仿宋" w:cs="仿宋"/>
          <w:sz w:val="30"/>
          <w:szCs w:val="30"/>
        </w:rPr>
        <w:t>万元；纳入重点绩效评价（部门评价或财政评价）</w:t>
      </w:r>
      <w:r>
        <w:rPr>
          <w:rFonts w:hint="eastAsia" w:ascii="仿宋" w:hAnsi="仿宋" w:eastAsia="仿宋" w:cs="仿宋"/>
          <w:sz w:val="30"/>
          <w:szCs w:val="30"/>
          <w:lang w:val="en-US" w:eastAsia="zh-CN"/>
        </w:rPr>
        <w:t>0</w:t>
      </w:r>
      <w:r>
        <w:rPr>
          <w:rFonts w:hint="eastAsia" w:ascii="仿宋" w:hAnsi="仿宋" w:eastAsia="仿宋" w:cs="仿宋"/>
          <w:sz w:val="30"/>
          <w:szCs w:val="30"/>
        </w:rPr>
        <w:t>个，评价金额</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p>
    <w:p>
      <w:pPr>
        <w:widowControl/>
        <w:numPr>
          <w:ilvl w:val="0"/>
          <w:numId w:val="4"/>
        </w:numPr>
        <w:spacing w:line="59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项目绩效自评结果</w:t>
      </w:r>
    </w:p>
    <w:p>
      <w:pPr>
        <w:widowControl/>
        <w:numPr>
          <w:ilvl w:val="0"/>
          <w:numId w:val="0"/>
        </w:numPr>
        <w:spacing w:line="59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我单位2021年无支出项目。</w:t>
      </w:r>
      <w:r>
        <w:rPr>
          <w:rFonts w:hint="eastAsia" w:ascii="仿宋" w:hAnsi="仿宋" w:eastAsia="仿宋" w:cs="仿宋"/>
          <w:sz w:val="30"/>
          <w:szCs w:val="30"/>
        </w:rPr>
        <w:t>进行项目绩效自评</w:t>
      </w:r>
      <w:r>
        <w:rPr>
          <w:rFonts w:hint="eastAsia" w:ascii="仿宋" w:hAnsi="仿宋" w:eastAsia="仿宋" w:cs="仿宋"/>
          <w:sz w:val="30"/>
          <w:szCs w:val="30"/>
          <w:lang w:val="en-US" w:eastAsia="zh-CN"/>
        </w:rPr>
        <w:t>0</w:t>
      </w:r>
      <w:r>
        <w:rPr>
          <w:rFonts w:hint="eastAsia" w:ascii="仿宋" w:hAnsi="仿宋" w:eastAsia="仿宋" w:cs="仿宋"/>
          <w:sz w:val="30"/>
          <w:szCs w:val="30"/>
        </w:rPr>
        <w:t>个，自评金额</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lang w:eastAsia="zh-CN"/>
        </w:rPr>
        <w:t>。</w:t>
      </w:r>
    </w:p>
    <w:p>
      <w:pPr>
        <w:widowControl/>
        <w:numPr>
          <w:ilvl w:val="0"/>
          <w:numId w:val="4"/>
        </w:numPr>
        <w:spacing w:line="59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重点绩效评价结果</w:t>
      </w:r>
      <w:bookmarkStart w:id="0" w:name="_GoBack"/>
      <w:bookmarkEnd w:id="0"/>
    </w:p>
    <w:p>
      <w:pPr>
        <w:widowControl/>
        <w:spacing w:line="59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我单位2021年无重点支出项目。</w:t>
      </w:r>
      <w:r>
        <w:rPr>
          <w:rFonts w:hint="eastAsia" w:ascii="仿宋" w:hAnsi="仿宋" w:eastAsia="仿宋" w:cs="仿宋"/>
          <w:sz w:val="30"/>
          <w:szCs w:val="30"/>
        </w:rPr>
        <w:t>纳入重点绩效评价（部门评价或财政评价）</w:t>
      </w:r>
      <w:r>
        <w:rPr>
          <w:rFonts w:hint="eastAsia" w:ascii="仿宋" w:hAnsi="仿宋" w:eastAsia="仿宋" w:cs="仿宋"/>
          <w:sz w:val="30"/>
          <w:szCs w:val="30"/>
          <w:lang w:val="en-US" w:eastAsia="zh-CN"/>
        </w:rPr>
        <w:t>0</w:t>
      </w:r>
      <w:r>
        <w:rPr>
          <w:rFonts w:hint="eastAsia" w:ascii="仿宋" w:hAnsi="仿宋" w:eastAsia="仿宋" w:cs="仿宋"/>
          <w:sz w:val="30"/>
          <w:szCs w:val="30"/>
        </w:rPr>
        <w:t>个，评价金额</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p>
    <w:p>
      <w:pPr>
        <w:widowControl/>
        <w:numPr>
          <w:ilvl w:val="0"/>
          <w:numId w:val="0"/>
        </w:numPr>
        <w:spacing w:line="590" w:lineRule="exact"/>
        <w:rPr>
          <w:rFonts w:hint="default" w:ascii="仿宋" w:hAnsi="仿宋" w:eastAsia="仿宋" w:cs="仿宋"/>
          <w:kern w:val="0"/>
          <w:sz w:val="30"/>
          <w:szCs w:val="30"/>
          <w:shd w:val="clear" w:fill="FFFFFF"/>
          <w:lang w:val="en-US" w:eastAsia="zh-CN" w:bidi="ar"/>
        </w:rPr>
      </w:pPr>
      <w:r>
        <w:rPr>
          <w:rFonts w:hint="eastAsia" w:ascii="仿宋" w:hAnsi="仿宋" w:eastAsia="仿宋" w:cs="仿宋"/>
          <w:kern w:val="0"/>
          <w:sz w:val="30"/>
          <w:szCs w:val="30"/>
          <w:shd w:val="clear" w:fill="FFFFFF"/>
          <w:lang w:val="en-US" w:eastAsia="zh-CN" w:bidi="ar"/>
        </w:rPr>
        <w:t xml:space="preserve">    </w:t>
      </w:r>
    </w:p>
    <w:p>
      <w:pPr>
        <w:numPr>
          <w:ilvl w:val="0"/>
          <w:numId w:val="0"/>
        </w:numPr>
        <w:adjustRightInd w:val="0"/>
        <w:snapToGrid w:val="0"/>
        <w:spacing w:line="360" w:lineRule="auto"/>
        <w:ind w:firstLine="600" w:firstLineChars="200"/>
        <w:rPr>
          <w:rFonts w:hint="eastAsia" w:ascii="仿宋" w:hAnsi="仿宋" w:eastAsia="仿宋" w:cs="仿宋"/>
          <w:kern w:val="0"/>
          <w:sz w:val="30"/>
          <w:szCs w:val="30"/>
          <w:shd w:val="clear" w:fill="FFFFFF"/>
          <w:lang w:val="en-US" w:eastAsia="zh-CN" w:bidi="ar"/>
        </w:rPr>
      </w:pPr>
    </w:p>
    <w:p>
      <w:pPr>
        <w:numPr>
          <w:ilvl w:val="0"/>
          <w:numId w:val="0"/>
        </w:numPr>
        <w:adjustRightInd w:val="0"/>
        <w:snapToGrid w:val="0"/>
        <w:spacing w:line="360" w:lineRule="auto"/>
        <w:ind w:firstLine="600" w:firstLineChars="200"/>
        <w:rPr>
          <w:rFonts w:hint="eastAsia" w:ascii="仿宋" w:hAnsi="仿宋" w:eastAsia="仿宋" w:cs="仿宋"/>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jc w:val="both"/>
        <w:rPr>
          <w:rFonts w:ascii="仿宋" w:hAnsi="仿宋" w:eastAsia="仿宋"/>
          <w:b/>
          <w:sz w:val="30"/>
          <w:szCs w:val="30"/>
        </w:rPr>
      </w:pPr>
    </w:p>
    <w:p>
      <w:pPr>
        <w:pStyle w:val="6"/>
        <w:jc w:val="center"/>
        <w:rPr>
          <w:rFonts w:ascii="宋体" w:hAnsi="宋体" w:cs="隶书"/>
          <w:sz w:val="44"/>
          <w:szCs w:val="44"/>
        </w:rPr>
      </w:pPr>
      <w:r>
        <w:rPr>
          <w:rFonts w:hint="eastAsia" w:asciiTheme="majorEastAsia" w:hAnsiTheme="majorEastAsia" w:eastAsiaTheme="majorEastAsia"/>
          <w:sz w:val="44"/>
          <w:szCs w:val="44"/>
        </w:rPr>
        <w:t>第</w:t>
      </w:r>
      <w:r>
        <w:rPr>
          <w:rFonts w:hint="eastAsia" w:asciiTheme="majorEastAsia" w:hAnsiTheme="majorEastAsia" w:eastAsiaTheme="majorEastAsia"/>
          <w:sz w:val="44"/>
          <w:szCs w:val="44"/>
          <w:lang w:eastAsia="zh-CN"/>
        </w:rPr>
        <w:t>四</w:t>
      </w:r>
      <w:r>
        <w:rPr>
          <w:rFonts w:hint="eastAsia" w:asciiTheme="majorEastAsia" w:hAnsiTheme="majorEastAsia" w:eastAsiaTheme="majorEastAsia"/>
          <w:sz w:val="44"/>
          <w:szCs w:val="44"/>
        </w:rPr>
        <w:t xml:space="preserve">部分  </w:t>
      </w:r>
      <w:r>
        <w:rPr>
          <w:rFonts w:hint="eastAsia" w:ascii="宋体" w:hAnsi="宋体" w:cs="隶书"/>
          <w:sz w:val="44"/>
          <w:szCs w:val="44"/>
        </w:rPr>
        <w:t>名词解释</w:t>
      </w:r>
    </w:p>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一、财政拨款收入：单位从同级政府财政部门取得的各类财政拨款。</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二、事业收入：事业单位开展专业业务活动及其辅助活动取得的收入。</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三、上级补助收入：事业单位从主管部门和上级单位取得的非财政补助收入。</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四、附属单位上缴收入：事业单位取得附属独立核算单位根据有关规定上缴的收入。</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五、经营收入：事业单位在专业业务活动及其辅助活动之外开展非独立核算经营活动取得的收入。</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六、其他收入：单位取得的除“财政拨款收入”、“事业收入”、“上级补助收入”、“附属单位上缴收入”、“经营收入”等以外的收入。</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八、基本支出：为保障机构正常运转、完成日常工作任务而发生的人员支出和公用支出。</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九、项目支出：基本支出之外为完成特定行政任务和事业发展目标所发生的支出。</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十二、工资福利支出：单位支付给在职职工和编制外长期聘用人员的各类劳动报酬，以及为上述人员缴纳的各项社会保险费等。</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十三、商品和服务支出：单位购买商品和服务的支出。</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十四、对个人和家庭的补助支出：单位用于对个人和家庭的补助支出。</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十五、年末结转：本年度或以前年度预算安排，已执行但尚未完成或因客观条件发生变化无法按原计划实施，需延迟到以后年度按有关规定继续使用的资金。</w:t>
      </w:r>
    </w:p>
    <w:p>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十六、年末结余：本年度或以前年度预算安排，已执行完毕或因客观条件发生变化无法按原预算安排实施，不需要再使用或无法按原预算安排继续使用的资金。</w:t>
      </w:r>
    </w:p>
    <w:p>
      <w:pPr>
        <w:kinsoku w:val="0"/>
        <w:overflowPunct w:val="0"/>
        <w:autoSpaceDE w:val="0"/>
        <w:autoSpaceDN w:val="0"/>
        <w:adjustRightInd w:val="0"/>
        <w:snapToGrid w:val="0"/>
        <w:spacing w:line="360" w:lineRule="auto"/>
      </w:pPr>
    </w:p>
    <w:p>
      <w:pPr>
        <w:widowControl/>
        <w:tabs>
          <w:tab w:val="left" w:pos="1322"/>
        </w:tabs>
        <w:spacing w:line="480" w:lineRule="auto"/>
        <w:rPr>
          <w:rFonts w:ascii="宋体" w:hAnsi="宋体" w:cs="方正小标宋简体"/>
          <w:b/>
          <w:color w:val="333333"/>
          <w:kern w:val="0"/>
          <w:sz w:val="44"/>
          <w:szCs w:val="44"/>
        </w:rPr>
      </w:pPr>
    </w:p>
    <w:p>
      <w:pPr>
        <w:widowControl/>
        <w:tabs>
          <w:tab w:val="left" w:pos="1322"/>
        </w:tabs>
        <w:spacing w:line="480" w:lineRule="auto"/>
        <w:rPr>
          <w:rFonts w:ascii="宋体" w:hAnsi="宋体" w:cs="方正小标宋简体"/>
          <w:b/>
          <w:color w:val="333333"/>
          <w:kern w:val="0"/>
          <w:sz w:val="44"/>
          <w:szCs w:val="44"/>
        </w:rPr>
      </w:pPr>
    </w:p>
    <w:p>
      <w:pPr>
        <w:widowControl/>
        <w:tabs>
          <w:tab w:val="left" w:pos="1322"/>
        </w:tabs>
        <w:spacing w:line="480" w:lineRule="auto"/>
        <w:rPr>
          <w:rFonts w:ascii="宋体" w:hAnsi="宋体" w:cs="方正小标宋简体"/>
          <w:b/>
          <w:color w:val="333333"/>
          <w:kern w:val="0"/>
          <w:sz w:val="44"/>
          <w:szCs w:val="44"/>
        </w:rPr>
      </w:pPr>
    </w:p>
    <w:p>
      <w:pPr>
        <w:widowControl/>
        <w:tabs>
          <w:tab w:val="left" w:pos="1322"/>
        </w:tabs>
        <w:spacing w:line="480" w:lineRule="auto"/>
        <w:rPr>
          <w:rFonts w:ascii="宋体" w:hAnsi="宋体" w:cs="方正小标宋简体"/>
          <w:b/>
          <w:color w:val="333333"/>
          <w:kern w:val="0"/>
          <w:sz w:val="44"/>
          <w:szCs w:val="44"/>
        </w:rPr>
      </w:pPr>
    </w:p>
    <w:p>
      <w:pPr>
        <w:widowControl/>
        <w:tabs>
          <w:tab w:val="left" w:pos="1322"/>
        </w:tabs>
        <w:spacing w:line="480" w:lineRule="auto"/>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widowControl/>
        <w:tabs>
          <w:tab w:val="left" w:pos="1322"/>
        </w:tabs>
        <w:spacing w:line="480" w:lineRule="auto"/>
        <w:ind w:left="1322" w:hanging="720"/>
        <w:jc w:val="center"/>
        <w:rPr>
          <w:rFonts w:ascii="宋体" w:hAnsi="宋体" w:cs="方正小标宋简体"/>
          <w:b/>
          <w:color w:val="333333"/>
          <w:kern w:val="0"/>
          <w:sz w:val="44"/>
          <w:szCs w:val="44"/>
        </w:rPr>
      </w:pPr>
    </w:p>
    <w:p>
      <w:pPr>
        <w:pStyle w:val="6"/>
        <w:jc w:val="both"/>
      </w:pPr>
    </w:p>
    <w:sectPr>
      <w:pgSz w:w="11906" w:h="16838"/>
      <w:pgMar w:top="1440" w:right="1803" w:bottom="1440" w:left="180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R+eU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pZ1YYavjh54/D/e/D&#10;r+9sGu1pnc8p69ZRXujeQkdDk6R6dwPyq2cWrmthN+oKEdpaiZLoTeLL7NHTHsdHkHX7AUqqI7YB&#10;ElBXoYnekRuM0Kk1+1NrVBeYpMPZ+fnFjDNJN5PXk7Oz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50fnlCgIAAAEEAAAOAAAAAAAAAAEAIAAAAB8BAABk&#10;cnMvZTJvRG9jLnhtbFBLBQYAAAAABgAGAFkBAACb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03D5D"/>
    <w:multiLevelType w:val="singleLevel"/>
    <w:tmpl w:val="EC803D5D"/>
    <w:lvl w:ilvl="0" w:tentative="0">
      <w:start w:val="3"/>
      <w:numFmt w:val="chineseCounting"/>
      <w:suff w:val="nothing"/>
      <w:lvlText w:val="（%1）"/>
      <w:lvlJc w:val="left"/>
      <w:rPr>
        <w:rFonts w:hint="eastAsia"/>
      </w:rPr>
    </w:lvl>
  </w:abstractNum>
  <w:abstractNum w:abstractNumId="1">
    <w:nsid w:val="4E20ABC2"/>
    <w:multiLevelType w:val="singleLevel"/>
    <w:tmpl w:val="4E20ABC2"/>
    <w:lvl w:ilvl="0" w:tentative="0">
      <w:start w:val="2"/>
      <w:numFmt w:val="decimal"/>
      <w:lvlText w:val="%1."/>
      <w:lvlJc w:val="left"/>
      <w:pPr>
        <w:tabs>
          <w:tab w:val="left" w:pos="312"/>
        </w:tabs>
      </w:pPr>
    </w:lvl>
  </w:abstractNum>
  <w:abstractNum w:abstractNumId="2">
    <w:nsid w:val="538AEA02"/>
    <w:multiLevelType w:val="singleLevel"/>
    <w:tmpl w:val="538AEA02"/>
    <w:lvl w:ilvl="0" w:tentative="0">
      <w:start w:val="2"/>
      <w:numFmt w:val="chineseCounting"/>
      <w:suff w:val="nothing"/>
      <w:lvlText w:val="（%1）"/>
      <w:lvlJc w:val="left"/>
      <w:rPr>
        <w:rFonts w:hint="eastAsia"/>
      </w:rPr>
    </w:lvl>
  </w:abstractNum>
  <w:abstractNum w:abstractNumId="3">
    <w:nsid w:val="5971BE17"/>
    <w:multiLevelType w:val="singleLevel"/>
    <w:tmpl w:val="5971BE17"/>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jVjZmIzNWZjMDUwYjMwODE4NmQ0NDlhYWM1YWEifQ=="/>
  </w:docVars>
  <w:rsids>
    <w:rsidRoot w:val="00172A27"/>
    <w:rsid w:val="0000371C"/>
    <w:rsid w:val="00004E81"/>
    <w:rsid w:val="00012D99"/>
    <w:rsid w:val="00027B7D"/>
    <w:rsid w:val="00031901"/>
    <w:rsid w:val="000558B1"/>
    <w:rsid w:val="00064387"/>
    <w:rsid w:val="000810BB"/>
    <w:rsid w:val="00081B46"/>
    <w:rsid w:val="00086E75"/>
    <w:rsid w:val="000B595C"/>
    <w:rsid w:val="0010113F"/>
    <w:rsid w:val="00113974"/>
    <w:rsid w:val="00121CE8"/>
    <w:rsid w:val="00127A91"/>
    <w:rsid w:val="00161341"/>
    <w:rsid w:val="00171E07"/>
    <w:rsid w:val="001842F2"/>
    <w:rsid w:val="00197A23"/>
    <w:rsid w:val="00220BC0"/>
    <w:rsid w:val="00255E60"/>
    <w:rsid w:val="002560B7"/>
    <w:rsid w:val="00257E0C"/>
    <w:rsid w:val="00262712"/>
    <w:rsid w:val="00262D63"/>
    <w:rsid w:val="002A50B2"/>
    <w:rsid w:val="002D44A2"/>
    <w:rsid w:val="002D7E9A"/>
    <w:rsid w:val="002F20D2"/>
    <w:rsid w:val="002F41BD"/>
    <w:rsid w:val="0031046E"/>
    <w:rsid w:val="0034238D"/>
    <w:rsid w:val="00360F87"/>
    <w:rsid w:val="00365455"/>
    <w:rsid w:val="0038226B"/>
    <w:rsid w:val="00387D8D"/>
    <w:rsid w:val="003A2A5F"/>
    <w:rsid w:val="003A6AA3"/>
    <w:rsid w:val="003E67EB"/>
    <w:rsid w:val="0046321D"/>
    <w:rsid w:val="00466D09"/>
    <w:rsid w:val="00474469"/>
    <w:rsid w:val="00482579"/>
    <w:rsid w:val="004A7EA6"/>
    <w:rsid w:val="00505330"/>
    <w:rsid w:val="00555A58"/>
    <w:rsid w:val="00566E68"/>
    <w:rsid w:val="00575B64"/>
    <w:rsid w:val="005B68B2"/>
    <w:rsid w:val="005C0195"/>
    <w:rsid w:val="005D0E11"/>
    <w:rsid w:val="005F1BDA"/>
    <w:rsid w:val="005F3E1D"/>
    <w:rsid w:val="00615893"/>
    <w:rsid w:val="006367BC"/>
    <w:rsid w:val="00652A7E"/>
    <w:rsid w:val="00676EB5"/>
    <w:rsid w:val="00680E69"/>
    <w:rsid w:val="00695256"/>
    <w:rsid w:val="006F3EF1"/>
    <w:rsid w:val="007D2731"/>
    <w:rsid w:val="00805A5B"/>
    <w:rsid w:val="00832B9A"/>
    <w:rsid w:val="00834226"/>
    <w:rsid w:val="008A3F31"/>
    <w:rsid w:val="008C3834"/>
    <w:rsid w:val="008D00E0"/>
    <w:rsid w:val="009175EF"/>
    <w:rsid w:val="009366F1"/>
    <w:rsid w:val="00955A58"/>
    <w:rsid w:val="00980D4E"/>
    <w:rsid w:val="009B014F"/>
    <w:rsid w:val="009D1642"/>
    <w:rsid w:val="009E7FE8"/>
    <w:rsid w:val="00A0105C"/>
    <w:rsid w:val="00A733DA"/>
    <w:rsid w:val="00AE30F7"/>
    <w:rsid w:val="00B30E08"/>
    <w:rsid w:val="00B4583F"/>
    <w:rsid w:val="00B66719"/>
    <w:rsid w:val="00B87529"/>
    <w:rsid w:val="00BA64D5"/>
    <w:rsid w:val="00BE124E"/>
    <w:rsid w:val="00C76846"/>
    <w:rsid w:val="00C85283"/>
    <w:rsid w:val="00CB4630"/>
    <w:rsid w:val="00D3590F"/>
    <w:rsid w:val="00D44ECD"/>
    <w:rsid w:val="00D80E90"/>
    <w:rsid w:val="00D82799"/>
    <w:rsid w:val="00DD673F"/>
    <w:rsid w:val="00DE42F6"/>
    <w:rsid w:val="00E02695"/>
    <w:rsid w:val="00E150B9"/>
    <w:rsid w:val="00E225FB"/>
    <w:rsid w:val="00E56F8D"/>
    <w:rsid w:val="00E65173"/>
    <w:rsid w:val="00E66BE7"/>
    <w:rsid w:val="00EA4913"/>
    <w:rsid w:val="00EB2FB3"/>
    <w:rsid w:val="00EB7032"/>
    <w:rsid w:val="00EF47C7"/>
    <w:rsid w:val="00EF51B7"/>
    <w:rsid w:val="00F20496"/>
    <w:rsid w:val="00F54FED"/>
    <w:rsid w:val="00F83B23"/>
    <w:rsid w:val="01CE6FF9"/>
    <w:rsid w:val="18F5638C"/>
    <w:rsid w:val="1BCA7247"/>
    <w:rsid w:val="237F295E"/>
    <w:rsid w:val="283166B9"/>
    <w:rsid w:val="30A35C47"/>
    <w:rsid w:val="35B75CAB"/>
    <w:rsid w:val="37690278"/>
    <w:rsid w:val="38DE0EBE"/>
    <w:rsid w:val="3D173C5F"/>
    <w:rsid w:val="4C037406"/>
    <w:rsid w:val="4E5221A1"/>
    <w:rsid w:val="536F294C"/>
    <w:rsid w:val="65EA2F98"/>
    <w:rsid w:val="72850E5F"/>
    <w:rsid w:val="77666ECA"/>
    <w:rsid w:val="7925066A"/>
    <w:rsid w:val="79C27948"/>
    <w:rsid w:val="7CDB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rFonts w:hint="default" w:ascii="宋体" w:hAnsi="宋体" w:eastAsia="宋体" w:cs="宋体"/>
      <w:kern w:val="0"/>
      <w:sz w:val="24"/>
      <w:lang w:val="en-US" w:eastAsia="zh-CN" w:bidi="ar"/>
    </w:rPr>
  </w:style>
  <w:style w:type="paragraph" w:styleId="6">
    <w:name w:val="Title"/>
    <w:basedOn w:val="1"/>
    <w:next w:val="1"/>
    <w:link w:val="11"/>
    <w:qFormat/>
    <w:uiPriority w:val="10"/>
    <w:pPr>
      <w:spacing w:before="240" w:after="60"/>
      <w:jc w:val="center"/>
      <w:outlineLvl w:val="0"/>
    </w:pPr>
    <w:rPr>
      <w:rFonts w:asciiTheme="majorHAnsi" w:hAnsiTheme="majorHAnsi" w:cstheme="majorBidi"/>
      <w:b/>
      <w:bCs/>
      <w:sz w:val="32"/>
      <w:szCs w:val="32"/>
    </w:rPr>
  </w:style>
  <w:style w:type="character" w:customStyle="1" w:styleId="9">
    <w:name w:val="页眉 Char"/>
    <w:basedOn w:val="8"/>
    <w:link w:val="4"/>
    <w:qFormat/>
    <w:uiPriority w:val="0"/>
    <w:rPr>
      <w:sz w:val="18"/>
      <w:szCs w:val="18"/>
    </w:rPr>
  </w:style>
  <w:style w:type="character" w:customStyle="1" w:styleId="10">
    <w:name w:val="页脚 Char"/>
    <w:basedOn w:val="8"/>
    <w:link w:val="3"/>
    <w:qFormat/>
    <w:uiPriority w:val="0"/>
    <w:rPr>
      <w:sz w:val="18"/>
      <w:szCs w:val="18"/>
    </w:rPr>
  </w:style>
  <w:style w:type="character" w:customStyle="1" w:styleId="11">
    <w:name w:val="标题 Char"/>
    <w:basedOn w:val="8"/>
    <w:link w:val="6"/>
    <w:uiPriority w:val="10"/>
    <w:rPr>
      <w:rFonts w:eastAsia="宋体" w:asciiTheme="majorHAnsi" w:hAnsiTheme="majorHAnsi" w:cstheme="majorBidi"/>
      <w:b/>
      <w:bCs/>
      <w:sz w:val="32"/>
      <w:szCs w:val="32"/>
    </w:rPr>
  </w:style>
  <w:style w:type="paragraph" w:styleId="12">
    <w:name w:val="List Paragraph"/>
    <w:basedOn w:val="1"/>
    <w:qFormat/>
    <w:uiPriority w:val="34"/>
    <w:pPr>
      <w:ind w:firstLine="420" w:firstLineChars="200"/>
    </w:pPr>
    <w:rPr>
      <w:rFonts w:asciiTheme="minorHAnsi" w:hAnsiTheme="minorHAnsi" w:eastAsiaTheme="minorEastAsia" w:cstheme="minorBidi"/>
    </w:rPr>
  </w:style>
  <w:style w:type="character" w:customStyle="1" w:styleId="13">
    <w:name w:val="font31"/>
    <w:basedOn w:val="8"/>
    <w:qFormat/>
    <w:uiPriority w:val="0"/>
    <w:rPr>
      <w:rFonts w:hint="default" w:ascii="Arial" w:hAnsi="Arial" w:cs="Arial"/>
      <w:color w:val="000000"/>
      <w:sz w:val="16"/>
      <w:szCs w:val="16"/>
      <w:u w:val="none"/>
    </w:rPr>
  </w:style>
  <w:style w:type="character" w:customStyle="1" w:styleId="14">
    <w:name w:val="font01"/>
    <w:basedOn w:val="8"/>
    <w:qFormat/>
    <w:uiPriority w:val="0"/>
    <w:rPr>
      <w:rFonts w:hint="default" w:ascii="Arial" w:hAnsi="Arial" w:cs="Arial"/>
      <w:color w:val="000000"/>
      <w:sz w:val="16"/>
      <w:szCs w:val="16"/>
      <w:u w:val="none"/>
    </w:rPr>
  </w:style>
  <w:style w:type="character" w:customStyle="1" w:styleId="15">
    <w:name w:val="font41"/>
    <w:basedOn w:val="8"/>
    <w:qFormat/>
    <w:uiPriority w:val="0"/>
    <w:rPr>
      <w:rFonts w:hint="eastAsia" w:ascii="宋体" w:hAnsi="宋体" w:eastAsia="宋体" w:cs="宋体"/>
      <w:color w:val="000000"/>
      <w:sz w:val="16"/>
      <w:szCs w:val="16"/>
      <w:u w:val="none"/>
    </w:rPr>
  </w:style>
  <w:style w:type="character" w:customStyle="1" w:styleId="16">
    <w:name w:val="批注框文本 Char"/>
    <w:basedOn w:val="8"/>
    <w:link w:val="2"/>
    <w:semiHidden/>
    <w:qFormat/>
    <w:uiPriority w:val="99"/>
    <w:rPr>
      <w:rFonts w:ascii="Times New Roman" w:hAnsi="Times New Roman" w:eastAsia="宋体" w:cs="Times New Roman"/>
      <w:sz w:val="18"/>
      <w:szCs w:val="18"/>
    </w:rPr>
  </w:style>
  <w:style w:type="character" w:customStyle="1" w:styleId="17">
    <w:name w:val="10"/>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92BE7-4E85-4B39-BB4D-23FA6DB5318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4912</Words>
  <Characters>5516</Characters>
  <Lines>105</Lines>
  <Paragraphs>29</Paragraphs>
  <TotalTime>9</TotalTime>
  <ScaleCrop>false</ScaleCrop>
  <LinksUpToDate>false</LinksUpToDate>
  <CharactersWithSpaces>5666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2021-06-08T08:53:00Z</dcterms:created>
  <dc:creator>USER</dc:creator>
  <cp:lastModifiedBy>Administrator</cp:lastModifiedBy>
  <cp:lastPrinted>2021-10-25T08:36:00Z</cp:lastPrinted>
  <dcterms:modified xsi:type="dcterms:W3CDTF">2023-04-07T00:34:28Z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814476898D9E439C9B3D97024C4A0C71</vt:lpwstr>
  </property>
</Properties>
</file>