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黑体" w:hAnsi="黑体" w:eastAsia="黑体" w:cs="方正小标宋简体"/>
          <w:sz w:val="44"/>
          <w:szCs w:val="44"/>
        </w:rPr>
        <w:t>罗山县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城乡居民医疗保险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中心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3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</w:t>
      </w:r>
      <w:r>
        <w:rPr>
          <w:rFonts w:hint="eastAsia"/>
          <w:sz w:val="30"/>
          <w:szCs w:val="30"/>
          <w:lang w:val="en-US" w:eastAsia="zh-CN"/>
        </w:rPr>
        <w:t>落实城乡居民基本医疗保险政策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/>
          <w:sz w:val="30"/>
          <w:szCs w:val="30"/>
          <w:lang w:val="en-US" w:eastAsia="zh-CN"/>
        </w:rPr>
        <w:t>办理参保人员的审核登记：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</w:t>
      </w:r>
      <w:r>
        <w:rPr>
          <w:rFonts w:hint="eastAsia"/>
          <w:sz w:val="30"/>
          <w:szCs w:val="30"/>
          <w:lang w:val="en-US" w:eastAsia="zh-CN"/>
        </w:rPr>
        <w:t>负责保险费的征收和筹措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  <w:r>
        <w:rPr>
          <w:rFonts w:hint="eastAsia"/>
          <w:sz w:val="30"/>
          <w:szCs w:val="30"/>
          <w:lang w:val="en-US" w:eastAsia="zh-CN"/>
        </w:rPr>
        <w:t>负责保险费的管理和审核支付工作；组织实施城乡居民医疗等相关业务。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是罗山县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医疗保障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局下属的二级机构，内部设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三室。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办公室；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业务室；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财务室。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下属机构及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预算单位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宋体"/>
          <w:kern w:val="0"/>
          <w:sz w:val="32"/>
          <w:szCs w:val="32"/>
        </w:rPr>
        <w:t>仅有本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城乡居民医疗保险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</w:p>
    <w:p>
      <w:pPr>
        <w:adjustRightInd w:val="0"/>
        <w:snapToGrid w:val="0"/>
        <w:spacing w:line="560" w:lineRule="exact"/>
        <w:ind w:firstLine="3520" w:firstLineChars="11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10.78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6.94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正常晋级调资，工资及社会保障费用增加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"/>
          <w:b/>
          <w:color w:val="FF000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万元。与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10.78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6.94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正常晋级调资，工资及社会保障费用增加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166.10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卫生健康（类）支出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127.90万元，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77.00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16.98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10.22</w:t>
      </w:r>
      <w:r>
        <w:rPr>
          <w:rFonts w:ascii="仿宋" w:hAnsi="仿宋" w:eastAsia="仿宋" w:cs="宋体"/>
          <w:kern w:val="0"/>
          <w:sz w:val="32"/>
          <w:szCs w:val="32"/>
        </w:rPr>
        <w:t>%；医疗卫生与计划生育（类）支出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8.49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5.11</w:t>
      </w:r>
      <w:r>
        <w:rPr>
          <w:rFonts w:ascii="仿宋" w:hAnsi="仿宋" w:eastAsia="仿宋" w:cs="宋体"/>
          <w:kern w:val="0"/>
          <w:sz w:val="32"/>
          <w:szCs w:val="32"/>
        </w:rPr>
        <w:t>%；住房保障（类）支出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12.73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7.67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166.10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158.78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与2021年相比无差异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pStyle w:val="3"/>
        <w:overflowPunct w:val="0"/>
        <w:topLinePunct/>
        <w:autoSpaceDE/>
        <w:autoSpaceDN/>
        <w:snapToGrid w:val="0"/>
        <w:spacing w:line="640" w:lineRule="exact"/>
        <w:ind w:left="0" w:firstLine="643" w:firstLineChars="200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hAnsi="宋体"/>
          <w:color w:val="000000"/>
        </w:rPr>
        <w:t>没有因公出国（境）人员，2022年预算没有安排因公出国（境）费。预算数</w:t>
      </w:r>
      <w:r>
        <w:rPr>
          <w:rFonts w:hint="eastAsia" w:hAnsi="宋体"/>
          <w:color w:val="000000"/>
          <w:lang w:eastAsia="zh-CN"/>
        </w:rPr>
        <w:t>与</w:t>
      </w:r>
      <w:r>
        <w:rPr>
          <w:rFonts w:hint="eastAsia" w:hAnsi="宋体"/>
          <w:color w:val="000000"/>
          <w:lang w:val="en-US" w:eastAsia="zh-CN"/>
        </w:rPr>
        <w:t>2021年相比无差异。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2022年预算公务接待费0万元，预算数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2021年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相比无差异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公务用车购置及运行费0万元，其中：公务用车购置费0万元；公务用车运行维护费0万元，预算数与2021年相比无差异。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overflowPunct w:val="0"/>
        <w:topLinePunct/>
        <w:spacing w:line="640" w:lineRule="exact"/>
        <w:ind w:firstLine="960" w:firstLineChars="3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22年无政府性基金预算支出。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overflowPunct w:val="0"/>
        <w:topLinePunct/>
        <w:spacing w:line="64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是财政全供的事业单位，无机关运行经费支出。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overflowPunct w:val="0"/>
        <w:topLinePunct/>
        <w:adjustRightInd w:val="0"/>
        <w:snapToGrid w:val="0"/>
        <w:spacing w:line="600" w:lineRule="exact"/>
        <w:ind w:firstLine="64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无项目预算，没有进行绩效目标设置。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2022年无专项转移支付项目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城乡居民医疗保险中心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77C26"/>
    <w:multiLevelType w:val="singleLevel"/>
    <w:tmpl w:val="B4A77C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mYyMjk2ZmRjMmJiZjViNmQxZDNiNmZmMTcwYzYifQ=="/>
  </w:docVars>
  <w:rsids>
    <w:rsidRoot w:val="00000000"/>
    <w:rsid w:val="01B91468"/>
    <w:rsid w:val="03313C30"/>
    <w:rsid w:val="09364543"/>
    <w:rsid w:val="0A6F1B02"/>
    <w:rsid w:val="0B500265"/>
    <w:rsid w:val="178B6201"/>
    <w:rsid w:val="17EF25C8"/>
    <w:rsid w:val="1927028C"/>
    <w:rsid w:val="1A1211BC"/>
    <w:rsid w:val="1C34759A"/>
    <w:rsid w:val="1D9C09E6"/>
    <w:rsid w:val="1E940EEE"/>
    <w:rsid w:val="1F310DAE"/>
    <w:rsid w:val="1F38092F"/>
    <w:rsid w:val="2069348A"/>
    <w:rsid w:val="20704450"/>
    <w:rsid w:val="23133FE2"/>
    <w:rsid w:val="24133DF1"/>
    <w:rsid w:val="26B86B17"/>
    <w:rsid w:val="29C8276C"/>
    <w:rsid w:val="2BCB7B04"/>
    <w:rsid w:val="32EB6CD2"/>
    <w:rsid w:val="360821B1"/>
    <w:rsid w:val="3A1E7F62"/>
    <w:rsid w:val="3F095A68"/>
    <w:rsid w:val="424119A9"/>
    <w:rsid w:val="46FA7D6B"/>
    <w:rsid w:val="46FC6FF6"/>
    <w:rsid w:val="49034689"/>
    <w:rsid w:val="49F61DEB"/>
    <w:rsid w:val="506D0E6D"/>
    <w:rsid w:val="50AD2EA7"/>
    <w:rsid w:val="548B1536"/>
    <w:rsid w:val="580D4CD8"/>
    <w:rsid w:val="59684F22"/>
    <w:rsid w:val="59F20ABC"/>
    <w:rsid w:val="5C7A634D"/>
    <w:rsid w:val="5D1E1E23"/>
    <w:rsid w:val="5F552F7D"/>
    <w:rsid w:val="61460452"/>
    <w:rsid w:val="66A74E0F"/>
    <w:rsid w:val="671061A4"/>
    <w:rsid w:val="67C0189B"/>
    <w:rsid w:val="68707874"/>
    <w:rsid w:val="69DB153D"/>
    <w:rsid w:val="6A014E5B"/>
    <w:rsid w:val="6C9854C4"/>
    <w:rsid w:val="6E7C32EF"/>
    <w:rsid w:val="722D12D6"/>
    <w:rsid w:val="733817AF"/>
    <w:rsid w:val="73E16EA2"/>
    <w:rsid w:val="74777753"/>
    <w:rsid w:val="7994240D"/>
    <w:rsid w:val="7B633C51"/>
    <w:rsid w:val="7C5E2286"/>
    <w:rsid w:val="7D3C35EE"/>
    <w:rsid w:val="7DA34429"/>
    <w:rsid w:val="7E110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hAnsi="Times New Roman" w:eastAsia="仿宋_GB2312"/>
      <w:kern w:val="0"/>
      <w:sz w:val="32"/>
      <w:szCs w:val="32"/>
    </w:rPr>
  </w:style>
  <w:style w:type="paragraph" w:styleId="4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7"/>
    <w:qFormat/>
    <w:uiPriority w:val="99"/>
    <w:rPr>
      <w:sz w:val="18"/>
      <w:szCs w:val="18"/>
    </w:rPr>
  </w:style>
  <w:style w:type="character" w:customStyle="1" w:styleId="13">
    <w:name w:val="页脚 Char Char"/>
    <w:link w:val="6"/>
    <w:qFormat/>
    <w:uiPriority w:val="99"/>
    <w:rPr>
      <w:sz w:val="18"/>
      <w:szCs w:val="18"/>
    </w:rPr>
  </w:style>
  <w:style w:type="character" w:customStyle="1" w:styleId="14">
    <w:name w:val="批注框文本 Char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4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2724</Words>
  <Characters>2918</Characters>
  <Lines>29</Lines>
  <Paragraphs>8</Paragraphs>
  <TotalTime>5</TotalTime>
  <ScaleCrop>false</ScaleCrop>
  <LinksUpToDate>false</LinksUpToDate>
  <CharactersWithSpaces>2942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Administrator</cp:lastModifiedBy>
  <cp:lastPrinted>2020-06-04T09:09:00Z</cp:lastPrinted>
  <dcterms:modified xsi:type="dcterms:W3CDTF">2023-04-16T14:09:01Z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