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20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sz w:val="44"/>
          <w:szCs w:val="44"/>
        </w:rPr>
        <w:t>年度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罗山县</w:t>
      </w:r>
      <w:r>
        <w:rPr>
          <w:rFonts w:hint="eastAsia" w:ascii="仿宋" w:hAnsi="仿宋" w:eastAsia="仿宋" w:cs="仿宋"/>
          <w:sz w:val="44"/>
          <w:szCs w:val="44"/>
        </w:rPr>
        <w:t>粮食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和物资储备中心</w:t>
      </w:r>
    </w:p>
    <w:p>
      <w:pPr>
        <w:ind w:firstLine="2640" w:firstLineChars="600"/>
        <w:jc w:val="both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预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44"/>
          <w:szCs w:val="44"/>
        </w:rPr>
        <w:t>算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说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明</w:t>
      </w:r>
    </w:p>
    <w:p>
      <w:pPr>
        <w:ind w:firstLine="3080" w:firstLineChars="700"/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 xml:space="preserve">目 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44"/>
          <w:szCs w:val="44"/>
        </w:rPr>
        <w:t>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第一部分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 xml:space="preserve">概况 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一、主要职能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二、机构设置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、预算单位构成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第二部分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 xml:space="preserve">预算情况说明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第三部分  名词解释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预算表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五、一般公共预算支出情况表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、一般公共预算基本支出情况表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、支出经济分类汇总表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八、一般公共预算“三公”经费支出情况表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九、项目支出表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、财政支出绩效目标表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44"/>
          <w:szCs w:val="44"/>
        </w:rPr>
        <w:t>概况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一、罗山县粮食和物资储备中心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的主要职责是：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(一)贯彻执行国家粮食流通和粮油储备法律、法规和方针政策,拟订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 xml:space="preserve">粮食流通体制、粮油储备管理体制改革方案并组织实施,推动国有粮食企业改革,研究提出现代粮食流通产业发展战略建议。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粮食流通相关地方性法规、规章草案和政策并监督执行,会同有关部门研究提出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粮食流通和地方粮油储备中长期规划建议。负责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级垂直的地方粮食储备系统建设。承担粮油监测预警、应急责任,指导协调最低收购价粮食等政策性粮食购销、全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军粮供应和粮食产销合作。负责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级应急体系建设,完善粮食应急保障制度。负责全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粮食系统国家安全工作。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粮食流通监督检查工作。监督检查国家和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粮食流通、粮油储备有关法律、法规和政策的贯彻落实情况,拟订全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级储备粮油行政管理责任。会同有关部门拟订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级储备粮油规模、总体布局和收购、销售计划,提出动用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级储备粮油建议。按照有关规定审批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级储备粮油轮换计划并组织实施。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(五)负责粮食流通行业管理,指导粮食流通科技进步、技术改造和新技术推广。拟订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粮食质量标准,提出粮食收购市场准入标准建议,负责全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粮油收购资格审核和核查以及全社会粮食流通统计工作。拟订粮食储存、运输技术规范并监督执行,开展粮食流通对外合作与交流。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(六)拟订全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主食产业化及粮油深加工发展规划并组织实施,负责全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粮油加工行业指导和质量、计量、标准管理工作,指导全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粮食产业化经营、多种经营、连锁经营和行业安全生产工作,配合有关部门打击粮油商品生产经营中的假冒伪劣行为。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(七)拟订全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粮食收储供应安全保障、粮食市场体系建设与发展规划并组织实施,编制全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粮食流通、仓储、加工设施建设规划并组织实施,参与管理有关粮食流通设施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级投资项目。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(八)指导全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粮食系统财务、内部审计工作,负责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粮食局直属事业单位的财务和内部审计工作,监管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粮食局直属事业单位的国有资产。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(九)承办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政府交办的其他事项。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二、罗山县粮食和物资储备中心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罗山县粮食和物资储备中心机关内设机构8个，分别是：综合股、财务股、人事教育股、储备管理股、政策法规和执法监督股、产业发展股、行业发展股、信访室。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预算单位构成：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从预算单位构成来看，此次公开的预算“无下属机构及其他预算单位”仅有本单位预算。</w:t>
      </w:r>
    </w:p>
    <w:p>
      <w:pPr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第二部分  20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仿宋"/>
          <w:sz w:val="44"/>
          <w:szCs w:val="44"/>
        </w:rPr>
        <w:t>年度部门预算情况说明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年收入总计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</w:t>
      </w:r>
      <w:r>
        <w:rPr>
          <w:rFonts w:hint="eastAsia" w:ascii="仿宋" w:hAnsi="仿宋" w:eastAsia="仿宋" w:cs="仿宋"/>
          <w:sz w:val="32"/>
          <w:szCs w:val="32"/>
        </w:rPr>
        <w:t>万元，支出总计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</w:t>
      </w:r>
      <w:r>
        <w:rPr>
          <w:rFonts w:hint="eastAsia" w:ascii="仿宋" w:hAnsi="仿宋" w:eastAsia="仿宋" w:cs="仿宋"/>
          <w:sz w:val="32"/>
          <w:szCs w:val="32"/>
        </w:rPr>
        <w:t>万元，与20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121.11万元</w:t>
      </w:r>
      <w:r>
        <w:rPr>
          <w:rFonts w:hint="eastAsia" w:ascii="仿宋" w:hAnsi="仿宋" w:eastAsia="仿宋" w:cs="仿宋"/>
          <w:sz w:val="32"/>
          <w:szCs w:val="32"/>
        </w:rPr>
        <w:t>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收、支总计各增加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22.55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18.61</w:t>
      </w:r>
      <w:r>
        <w:rPr>
          <w:rFonts w:hint="eastAsia" w:ascii="仿宋" w:hAnsi="仿宋" w:eastAsia="仿宋" w:cs="仿宋"/>
          <w:sz w:val="32"/>
          <w:szCs w:val="32"/>
        </w:rPr>
        <w:t>%，主要原因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是财政人员增加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1人及人员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年收入合计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143.66万元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</w:t>
      </w:r>
      <w:r>
        <w:rPr>
          <w:rFonts w:hint="eastAsia" w:ascii="仿宋" w:hAnsi="仿宋" w:eastAsia="仿宋" w:cs="仿宋"/>
          <w:sz w:val="32"/>
          <w:szCs w:val="32"/>
        </w:rPr>
        <w:t>万元，其中：基本支出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年一般公共预算收支预算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</w:t>
      </w:r>
      <w:r>
        <w:rPr>
          <w:rFonts w:hint="eastAsia" w:ascii="仿宋" w:hAnsi="仿宋" w:eastAsia="仿宋" w:cs="仿宋"/>
          <w:sz w:val="32"/>
          <w:szCs w:val="32"/>
        </w:rPr>
        <w:t>万元，与20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一般公共预算收支预算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22.55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18.61</w:t>
      </w:r>
      <w:r>
        <w:rPr>
          <w:rFonts w:hint="eastAsia" w:ascii="仿宋" w:hAnsi="仿宋" w:eastAsia="仿宋" w:cs="仿宋"/>
          <w:sz w:val="32"/>
          <w:szCs w:val="32"/>
        </w:rPr>
        <w:t>%，主要原因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是财政人员增加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1人及人员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五、一般公共预算支出预算情况说明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年一般公共预算支出年初预算为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143.66</w:t>
      </w:r>
      <w:r>
        <w:rPr>
          <w:rFonts w:hint="eastAsia" w:ascii="仿宋" w:hAnsi="仿宋" w:eastAsia="仿宋" w:cs="仿宋"/>
          <w:sz w:val="32"/>
          <w:szCs w:val="32"/>
        </w:rPr>
        <w:t>万元。主要用于以下方面：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粮食和物资储备支出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111.43万元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77.56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事业单位离退休遗属补助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3.28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2.28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行政单位医疗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6.43</w:t>
      </w:r>
      <w:r>
        <w:rPr>
          <w:rFonts w:hint="eastAsia" w:ascii="仿宋" w:hAnsi="仿宋" w:eastAsia="仿宋" w:cs="仿宋"/>
          <w:sz w:val="32"/>
          <w:szCs w:val="32"/>
        </w:rPr>
        <w:t>万元占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4.48</w:t>
      </w:r>
      <w:r>
        <w:rPr>
          <w:rFonts w:hint="eastAsia"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机关事业养老保险缴费支出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12.87万元，占8.96%，住房公积金9.65万元，占6.72%。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一般公共预算基本支出情况说明。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一般公共预算基本支出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143.66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万元，其中：人员经费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138.95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4.71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FF"/>
          <w:kern w:val="0"/>
          <w:sz w:val="32"/>
          <w:szCs w:val="32"/>
          <w:highlight w:val="magenta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、支出预算经济分类情况说明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、“三公”经费支出预算情况说明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“三公”经费预算为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具体情况如下：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（一）因公出国（境）费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万元。主要原因是：</w:t>
      </w:r>
      <w:r>
        <w:rPr>
          <w:rFonts w:hint="eastAsia" w:ascii="仿宋" w:hAnsi="仿宋" w:eastAsia="仿宋" w:cs="仿宋"/>
          <w:b w:val="0"/>
          <w:bCs/>
          <w:spacing w:val="-1"/>
          <w:kern w:val="0"/>
          <w:sz w:val="32"/>
          <w:szCs w:val="32"/>
          <w:lang w:eastAsia="zh-CN"/>
        </w:rPr>
        <w:t>无出国业务故不产生费用。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（二）公务接待费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因政府规定单位同城不招待，单位没有外宾接待业务及出国业务，故不产生公务接待费。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（三）公务用车购置及运行费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其中，公务用车运行维护费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因单位实行公车改革，单位公车政府集中拍卖，不保留公车，故不产生公务用车购置及运行费用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公务用车购置费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因单位实行公车改革，单位公车政府集中拍卖，不保留公车，故不产生公务用车购置及运行费用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、政府性基金预算支出情况说明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年没有使用政府性基金预算拨款安排的支出。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（一）机关运行经费支出情况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机关运行经费支出预算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4.71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万元，主要保障机构正常运转及正常履职需要，比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kern w:val="0"/>
          <w:sz w:val="32"/>
          <w:szCs w:val="32"/>
        </w:rPr>
        <w:t>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1.87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单位加强预算财务管理，节约费用开支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（二）政府采购支出情况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预算拨款安排的政府采购支出。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政府采购预算安排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万元，其中：政府采购货物预算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万元、政府采购工程预算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万元、政府采购服务预算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（三）绩效目标设置情况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预算项目均按要求编制了绩效目标，从项目产出、项目效益、满意度等方面设置了绩效目标，综合反映项目预期完成的数量、实效、质量，预期达到的社会经济效益、可持续影响以及对象满意度等情况。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（四）国有资产占用情况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年期末，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共有车辆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辆，其中：一般公务用车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辆、一般执法执勤用车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辆、其他用车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辆，其他用车主要是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辆；单价50万元以上通用设备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套，单位价值100万元以上专用设备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（五）专项转移支付项目情况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罗山县粮食和物资储备中心没有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负责管理的专项转移支付项目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ind w:firstLine="1760" w:firstLineChars="40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第三部分  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一、财政拨款收入：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是指市级财政当年拨付的资金。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二、事业收入：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三、其他收入：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四、用事业基金弥补收支差额：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五、基本支出：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六、项目支出：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七、“三公”经费：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八、机关运行经费：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年度部门预算表.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283D580"/>
    <w:multiLevelType w:val="singleLevel"/>
    <w:tmpl w:val="E283D58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NTkwZTJhOWRkM2ZjNmExYjc0MWRlYjYyOWEzMjcifQ=="/>
  </w:docVars>
  <w:rsids>
    <w:rsidRoot w:val="002D69AE"/>
    <w:rsid w:val="002D69AE"/>
    <w:rsid w:val="009531DB"/>
    <w:rsid w:val="02BE2ED7"/>
    <w:rsid w:val="035F76BC"/>
    <w:rsid w:val="05792816"/>
    <w:rsid w:val="05A86469"/>
    <w:rsid w:val="06BE088C"/>
    <w:rsid w:val="08261671"/>
    <w:rsid w:val="088D22D9"/>
    <w:rsid w:val="08D1250F"/>
    <w:rsid w:val="097A6996"/>
    <w:rsid w:val="09D141EB"/>
    <w:rsid w:val="0BE178E3"/>
    <w:rsid w:val="0BF91307"/>
    <w:rsid w:val="0E0673B8"/>
    <w:rsid w:val="0F005E5E"/>
    <w:rsid w:val="11D77586"/>
    <w:rsid w:val="11F10624"/>
    <w:rsid w:val="12001C91"/>
    <w:rsid w:val="147E5131"/>
    <w:rsid w:val="14A50326"/>
    <w:rsid w:val="167D566D"/>
    <w:rsid w:val="17662F04"/>
    <w:rsid w:val="18BF4B6D"/>
    <w:rsid w:val="198F4E50"/>
    <w:rsid w:val="1C7F7ED4"/>
    <w:rsid w:val="1D023CCB"/>
    <w:rsid w:val="1E8F7C25"/>
    <w:rsid w:val="1EBB6DF2"/>
    <w:rsid w:val="1EFE6129"/>
    <w:rsid w:val="1F4A7E40"/>
    <w:rsid w:val="20685D99"/>
    <w:rsid w:val="21067B13"/>
    <w:rsid w:val="21A725AE"/>
    <w:rsid w:val="229F0A41"/>
    <w:rsid w:val="22E11C3B"/>
    <w:rsid w:val="24537449"/>
    <w:rsid w:val="25CC175F"/>
    <w:rsid w:val="27353155"/>
    <w:rsid w:val="2A0E278B"/>
    <w:rsid w:val="2A4D3402"/>
    <w:rsid w:val="2A611697"/>
    <w:rsid w:val="2AF05777"/>
    <w:rsid w:val="2CC24314"/>
    <w:rsid w:val="2F4078CD"/>
    <w:rsid w:val="30BB491F"/>
    <w:rsid w:val="32DA3DFA"/>
    <w:rsid w:val="33A1516F"/>
    <w:rsid w:val="351E1525"/>
    <w:rsid w:val="35386E11"/>
    <w:rsid w:val="353D6EF2"/>
    <w:rsid w:val="35800B2F"/>
    <w:rsid w:val="35D501BC"/>
    <w:rsid w:val="364D2243"/>
    <w:rsid w:val="380734F3"/>
    <w:rsid w:val="384C5643"/>
    <w:rsid w:val="38595782"/>
    <w:rsid w:val="38BE0D57"/>
    <w:rsid w:val="3A595F68"/>
    <w:rsid w:val="3BB00001"/>
    <w:rsid w:val="3D09356D"/>
    <w:rsid w:val="3E52452B"/>
    <w:rsid w:val="3F62780F"/>
    <w:rsid w:val="3FB57208"/>
    <w:rsid w:val="40A223AB"/>
    <w:rsid w:val="40C70314"/>
    <w:rsid w:val="43F83DA7"/>
    <w:rsid w:val="459A6FA3"/>
    <w:rsid w:val="47D209FF"/>
    <w:rsid w:val="49962B84"/>
    <w:rsid w:val="4A6816E9"/>
    <w:rsid w:val="4B8B339F"/>
    <w:rsid w:val="4BE11DF6"/>
    <w:rsid w:val="4CB36C56"/>
    <w:rsid w:val="4F9D18F3"/>
    <w:rsid w:val="4FE24927"/>
    <w:rsid w:val="506E16CF"/>
    <w:rsid w:val="50E60467"/>
    <w:rsid w:val="513F34B3"/>
    <w:rsid w:val="53E13970"/>
    <w:rsid w:val="54665003"/>
    <w:rsid w:val="55BE06C7"/>
    <w:rsid w:val="562C78A1"/>
    <w:rsid w:val="56580538"/>
    <w:rsid w:val="597638E0"/>
    <w:rsid w:val="5A505C0E"/>
    <w:rsid w:val="5BB744B2"/>
    <w:rsid w:val="5D1F35E5"/>
    <w:rsid w:val="5F1550E8"/>
    <w:rsid w:val="5F8E20C2"/>
    <w:rsid w:val="5FEE53D3"/>
    <w:rsid w:val="60180D46"/>
    <w:rsid w:val="60454D19"/>
    <w:rsid w:val="60BF41CD"/>
    <w:rsid w:val="61462E12"/>
    <w:rsid w:val="633337B3"/>
    <w:rsid w:val="64F373A8"/>
    <w:rsid w:val="652C5826"/>
    <w:rsid w:val="66810568"/>
    <w:rsid w:val="68AB5BF3"/>
    <w:rsid w:val="691E189E"/>
    <w:rsid w:val="69AB308C"/>
    <w:rsid w:val="69E26F03"/>
    <w:rsid w:val="6AAA3DFE"/>
    <w:rsid w:val="6B1F68E4"/>
    <w:rsid w:val="6B4F62C2"/>
    <w:rsid w:val="6B865336"/>
    <w:rsid w:val="6D96012E"/>
    <w:rsid w:val="6DAB77D4"/>
    <w:rsid w:val="6EEC0FBC"/>
    <w:rsid w:val="70394977"/>
    <w:rsid w:val="72EC32F1"/>
    <w:rsid w:val="731460F6"/>
    <w:rsid w:val="73502FD9"/>
    <w:rsid w:val="74D524B0"/>
    <w:rsid w:val="75397705"/>
    <w:rsid w:val="77C27899"/>
    <w:rsid w:val="781C0044"/>
    <w:rsid w:val="7840031F"/>
    <w:rsid w:val="784272EE"/>
    <w:rsid w:val="788D145A"/>
    <w:rsid w:val="793F5EA5"/>
    <w:rsid w:val="7CBE4164"/>
    <w:rsid w:val="7DA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3794</Words>
  <Characters>4006</Characters>
  <Lines>27</Lines>
  <Paragraphs>7</Paragraphs>
  <TotalTime>0</TotalTime>
  <ScaleCrop>false</ScaleCrop>
  <LinksUpToDate>false</LinksUpToDate>
  <CharactersWithSpaces>4035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忠实</cp:lastModifiedBy>
  <cp:lastPrinted>2021-07-01T01:08:00Z</cp:lastPrinted>
  <dcterms:modified xsi:type="dcterms:W3CDTF">2023-04-18T11:03:41Z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CC91C2C091884039AFBBDCFF314D7194</vt:lpwstr>
  </property>
</Properties>
</file>