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04"/>
        <w:jc w:val="center"/>
        <w:textAlignment w:val="auto"/>
        <w:rPr>
          <w:rFonts w:hint="eastAsia" w:ascii="新宋体" w:hAnsi="新宋体" w:eastAsia="新宋体" w:cs="宋体"/>
          <w:b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宋体"/>
          <w:b/>
          <w:bCs/>
          <w:spacing w:val="-20"/>
          <w:kern w:val="0"/>
          <w:sz w:val="44"/>
          <w:szCs w:val="44"/>
          <w:lang w:eastAsia="zh-CN"/>
        </w:rPr>
        <w:t>2022年度</w:t>
      </w:r>
      <w:r>
        <w:rPr>
          <w:rFonts w:hint="eastAsia" w:ascii="新宋体" w:hAnsi="新宋体" w:eastAsia="新宋体" w:cs="宋体"/>
          <w:b/>
          <w:bCs/>
          <w:spacing w:val="-20"/>
          <w:kern w:val="0"/>
          <w:sz w:val="44"/>
          <w:szCs w:val="44"/>
          <w:lang w:val="en-US" w:eastAsia="zh-CN"/>
        </w:rPr>
        <w:t>罗山县县委县政府效能建设中心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04"/>
        <w:jc w:val="center"/>
        <w:textAlignment w:val="auto"/>
        <w:rPr>
          <w:rFonts w:ascii="新宋体" w:hAnsi="新宋体" w:eastAsia="新宋体" w:cs="宋体"/>
          <w:b/>
          <w:bCs/>
          <w:kern w:val="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  <w:lang w:val="en-US" w:eastAsia="zh-CN"/>
        </w:rPr>
        <w:t>预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算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04"/>
        <w:jc w:val="center"/>
        <w:textAlignment w:val="auto"/>
        <w:rPr>
          <w:rFonts w:ascii="新宋体" w:hAnsi="新宋体" w:eastAsia="新宋体" w:cs="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240" w:line="560" w:lineRule="exact"/>
        <w:jc w:val="center"/>
        <w:textAlignment w:val="auto"/>
        <w:rPr>
          <w:rFonts w:ascii="新宋体" w:hAnsi="新宋体" w:eastAsia="新宋体" w:cs="宋体"/>
          <w:kern w:val="0"/>
          <w:sz w:val="44"/>
          <w:szCs w:val="44"/>
        </w:rPr>
      </w:pP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　目</w:t>
      </w:r>
      <w:r>
        <w:rPr>
          <w:rFonts w:hint="eastAsia" w:ascii="新宋体" w:hAnsi="新宋体" w:eastAsia="新宋体" w:cs="宋体"/>
          <w:b/>
          <w:bCs/>
          <w:kern w:val="0"/>
          <w:sz w:val="44"/>
          <w:szCs w:val="44"/>
        </w:rPr>
        <w:t> </w:t>
      </w:r>
      <w:r>
        <w:rPr>
          <w:rFonts w:ascii="新宋体" w:hAnsi="新宋体" w:eastAsia="新宋体" w:cs="宋体"/>
          <w:b/>
          <w:bCs/>
          <w:kern w:val="0"/>
          <w:sz w:val="44"/>
          <w:szCs w:val="44"/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宋体" w:hAnsi="宋体" w:cs="宋体"/>
          <w:bCs/>
          <w:kern w:val="0"/>
          <w:sz w:val="32"/>
          <w:szCs w:val="32"/>
        </w:rPr>
        <w:t>　　</w:t>
      </w:r>
      <w:r>
        <w:rPr>
          <w:rFonts w:ascii="黑体" w:hAnsi="黑体" w:eastAsia="黑体" w:cs="宋体"/>
          <w:bCs/>
          <w:kern w:val="0"/>
          <w:sz w:val="32"/>
          <w:szCs w:val="32"/>
        </w:rPr>
        <w:t xml:space="preserve">第一部分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ascii="黑体" w:hAnsi="黑体" w:eastAsia="黑体" w:cs="宋体"/>
          <w:bCs/>
          <w:kern w:val="0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313131"/>
          <w:kern w:val="0"/>
          <w:sz w:val="32"/>
          <w:szCs w:val="32"/>
        </w:rPr>
        <w:t>一</w:t>
      </w:r>
      <w:r>
        <w:rPr>
          <w:rFonts w:hint="eastAsia" w:ascii="仿宋" w:hAnsi="仿宋" w:eastAsia="仿宋" w:cs="宋体"/>
          <w:kern w:val="0"/>
          <w:sz w:val="32"/>
          <w:szCs w:val="32"/>
        </w:rPr>
        <w:t>、主要职能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宋体"/>
          <w:kern w:val="0"/>
          <w:sz w:val="32"/>
          <w:szCs w:val="32"/>
        </w:rPr>
        <w:t>、预算单位构成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/>
          <w:bCs/>
          <w:kern w:val="0"/>
          <w:sz w:val="24"/>
          <w:szCs w:val="24"/>
        </w:rPr>
        <w:t>　　</w:t>
      </w:r>
      <w:r>
        <w:rPr>
          <w:rFonts w:hint="eastAsia" w:ascii="黑体" w:hAnsi="黑体" w:eastAsia="黑体" w:cs="宋体"/>
          <w:b/>
          <w:bCs/>
          <w:kern w:val="0"/>
          <w:sz w:val="24"/>
          <w:szCs w:val="24"/>
        </w:rPr>
        <w:t xml:space="preserve"> </w:t>
      </w:r>
      <w:r>
        <w:rPr>
          <w:rFonts w:ascii="黑体" w:hAnsi="黑体" w:eastAsia="黑体" w:cs="宋体"/>
          <w:bCs/>
          <w:kern w:val="0"/>
          <w:sz w:val="32"/>
          <w:szCs w:val="32"/>
        </w:rPr>
        <w:t>第二部分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2022年度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　　第三部分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　　附件：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2022年度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一、收支总体情况表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二、收入总体情况表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三、支出总体情况表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</w:t>
      </w:r>
      <w:r>
        <w:rPr>
          <w:rFonts w:ascii="仿宋" w:hAnsi="仿宋" w:eastAsia="仿宋" w:cs="宋体"/>
          <w:kern w:val="0"/>
          <w:sz w:val="32"/>
          <w:szCs w:val="32"/>
        </w:rPr>
        <w:t>、财政拨款收支总体情况表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</w:t>
      </w:r>
      <w:r>
        <w:rPr>
          <w:rFonts w:ascii="仿宋" w:hAnsi="仿宋" w:eastAsia="仿宋" w:cs="宋体"/>
          <w:kern w:val="0"/>
          <w:sz w:val="32"/>
          <w:szCs w:val="32"/>
        </w:rPr>
        <w:t>、一般公共预算支出情况表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六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一般公共预算基本支出情况表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宋体"/>
          <w:kern w:val="0"/>
          <w:sz w:val="32"/>
          <w:szCs w:val="32"/>
        </w:rPr>
        <w:t>、支出经济分类汇总表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</w:t>
      </w:r>
      <w:r>
        <w:rPr>
          <w:rFonts w:ascii="仿宋" w:hAnsi="仿宋" w:eastAsia="仿宋" w:cs="宋体"/>
          <w:kern w:val="0"/>
          <w:sz w:val="32"/>
          <w:szCs w:val="32"/>
        </w:rPr>
        <w:t>、一般公共预算“三公”经费支出情况表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九、项目支出表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十</w:t>
      </w:r>
      <w:r>
        <w:rPr>
          <w:rFonts w:ascii="仿宋" w:hAnsi="仿宋" w:eastAsia="仿宋" w:cs="宋体"/>
          <w:kern w:val="0"/>
          <w:sz w:val="32"/>
          <w:szCs w:val="32"/>
        </w:rPr>
        <w:t>、政府性基金预算支出情况表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十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kern w:val="0"/>
          <w:sz w:val="32"/>
          <w:szCs w:val="32"/>
        </w:rPr>
        <w:t>、财政支出绩效目标表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第一部分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ascii="黑体" w:hAnsi="黑体" w:eastAsia="黑体" w:cs="宋体"/>
          <w:bCs/>
          <w:kern w:val="0"/>
          <w:sz w:val="32"/>
          <w:szCs w:val="32"/>
        </w:rPr>
        <w:t>概况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ascii="黑体" w:hAnsi="黑体" w:eastAsia="黑体" w:cs="宋体"/>
          <w:bCs/>
          <w:kern w:val="0"/>
          <w:sz w:val="32"/>
          <w:szCs w:val="32"/>
        </w:rPr>
        <w:t>主要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职能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罗山县县委县政府效能建设中心</w:t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罗山县县委县政府效能建设中心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是中共罗山县委办公室的二级机构，</w:t>
      </w:r>
      <w:r>
        <w:rPr>
          <w:rFonts w:hint="eastAsia" w:ascii="仿宋" w:hAnsi="仿宋" w:eastAsia="仿宋" w:cs="宋体"/>
          <w:kern w:val="0"/>
          <w:sz w:val="32"/>
          <w:szCs w:val="32"/>
        </w:rPr>
        <w:t>主要职责是：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（一）负责县委、县政府重大决策的跟踪落实、反馈,确保政令畅通及日常会议、决策的贯彻落实；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（二）负责县委、县政府领导有关重要讲话、下基层监督检查工作时的指示、提出的要求和需要解决问题的跟踪落实；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负责县事关全局、带动性强的重大项目(县"争先进位谋出彩"活动)的跟踪问效,并将相关进展情况向县委、县政府领导报告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按照县委、县政府领导安排,积极参与处理各类突发事件；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（五）完成县委、县政府交办的效能督查、决策督查、专项督查等重点工作；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（六）落实推动全县优化经济发展环境、效能效率等工作。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根据部门预算管理有关规定，本预算为中共罗山县委办公室属二级机构预算。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hint="eastAsia" w:ascii="黑体" w:hAnsi="黑体" w:eastAsia="黑体" w:cs="黑体"/>
          <w:kern w:val="0"/>
          <w:sz w:val="32"/>
          <w:szCs w:val="32"/>
        </w:rPr>
        <w:t>的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机构设置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(一)综合室。负责机关日常运转工作;负责筹备会议、组织活动;组织起草综合业务文件,公文流转;督促检查有关工作部署的落实情况;负责保密、信息化 建设、机关后勤服务工作;负责机关财务管理、国有资 产管理工作、机关干部人事工作。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(二)效能一室至五室。负责县委、县政府重大决策的跟踪落实、反馈,确保政令畅通及日常会议、决策的贯彻落实;负责县委、县政府领导有关重要讲话、下基层调研工作的指示、提出的要求和需要解决问题的跟踪落实;负责事关全局、带动性的重大项目的跟踪问效, 并将相关进展情况向县委、县政府领导报告;按照县委、县政府领导安排,积极参与处理各类突发事件;完成县委、县政府交办的效能督查、决策督查、专项督查等重点工作;落实推动全县优化经济发展环境、效能效率等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三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预算单位构成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根据信阳市委编办《关于罗山县部分事业单位调整的通知》(信编办〔2021〕147号)文件通知, 将罗山县县委县政府效能建设中心规格调整为相当于正科级,为县委办公室管理的公益一类事业单位。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     1.罗山县县委县政府效能建设中心本级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　　第二部分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罗山县县委县政府效能建设中心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2022年度</w:t>
      </w:r>
      <w:r>
        <w:rPr>
          <w:rFonts w:ascii="黑体" w:hAnsi="黑体" w:eastAsia="黑体" w:cs="宋体"/>
          <w:bCs/>
          <w:kern w:val="0"/>
          <w:sz w:val="32"/>
          <w:szCs w:val="32"/>
        </w:rPr>
        <w:t>预算情况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说明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560" w:lineRule="exact"/>
        <w:ind w:firstLine="540" w:firstLineChars="200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罗山县县委县政府效能建设中心2022年收入总计115.1115万元，支出总计115.1115万元，效能建设中心2021年无单位预算支出。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二、收入预算总体情况说明</w:t>
      </w:r>
    </w:p>
    <w:p>
      <w:pPr>
        <w:adjustRightInd w:val="0"/>
        <w:snapToGrid w:val="0"/>
        <w:spacing w:line="560" w:lineRule="exact"/>
        <w:ind w:firstLine="540" w:firstLineChars="200"/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罗山县县委县政府效能建设中心2022年收入合计115.1115万元，其中：一般公共预算115.1115万元; 政府性基金收入0万元；专户管理的教育收费0万元。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三、支出预算总体情况说明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罗山县县委县政府效能建设中心2022年支出合计115.1115万元，其中：工资福利支出82.1842万元，占71.4%；商品和服务支出32.9273万元，占28.6%。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财政拨款收入支出预算总体情况说明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罗山县县委县政府效能建设中心2022年一般公共预算收支预算115.1115万元，政府性基金收支预算0万元。效能建设中心2021年无一般公共预算支出。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五、一般公共预算支出预算情况说明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罗山县县委县政府效能建设中心2022年一般公共预算支出115.1115万元，其中一般公共服务支出年初预算为97.7912万元；社会保障和就业支出7.8273万元；卫生健康支出3.7972万元；住房和保障支出5.6958万元。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六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、一般公共预算基本支出预算情况说明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罗山县县委县政府效能建设中心2022年一般公共预算基本支出115.1115万元，其中：人员经费82.1842万元，主要包括：基本工资、津贴补贴、奖金、社会保障缴费、绩效工资、离休费、退休费、遗属补助、住房公积金等；公用经费32.9273万元，主要包括：办公费、印刷费、咨询费、手续费、水费、电费、邮电费、取暖费、物业管理费、差旅费、因公出国（境）费、维修（护）费、租赁费、会议费、培训费、公务接待费、专用材料费、劳务费、工会经费、福利费、公务用车运行维护费、其他交通费用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宋体"/>
          <w:bCs/>
          <w:color w:val="0000FF"/>
          <w:kern w:val="0"/>
          <w:sz w:val="32"/>
          <w:szCs w:val="32"/>
          <w:highlight w:val="magenta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七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、支出预算经济分类情况说明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八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、“三公”经费支出预算情况说明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2022年</w:t>
      </w:r>
      <w:r>
        <w:rPr>
          <w:rFonts w:hint="eastAsia" w:ascii="仿宋" w:hAnsi="仿宋" w:eastAsia="仿宋" w:cs="宋体"/>
          <w:kern w:val="0"/>
          <w:sz w:val="32"/>
          <w:szCs w:val="32"/>
        </w:rPr>
        <w:t>“三公”经费预算为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宋体"/>
          <w:kern w:val="0"/>
          <w:sz w:val="32"/>
          <w:szCs w:val="32"/>
        </w:rPr>
        <w:t>“三公”经费支出预算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支出，与去年相比增加100%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具体支出情况如下：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（一）因公出国（境）费0万元，主要用于单位工作人员公务出国（境）的住宿费、旅费、伙食补助费、杂费、培训费等支出。预算数比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年增加0万元，与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年相比无差异。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（二）公务用车购置及运行费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万元，其中，公务用车购置费0万元；公务用车运行维护费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万元，主要用于开展工作所需公务用车的燃料费、维修费、过路过桥费、保险费、安全奖励费用等支出。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（三）公务接待费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万元，主要用于按规定开支的各类公务接待（含外宾接待）支出。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我单位2021年无公务接待费预算支出。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b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九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、政府性基金预算支出预算情况说明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我单位2022年无使用政府性基金预算拨款安排的支出。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十</w:t>
      </w:r>
      <w:r>
        <w:rPr>
          <w:rFonts w:ascii="黑体" w:hAnsi="黑体" w:eastAsia="黑体" w:cs="宋体"/>
          <w:bCs/>
          <w:kern w:val="0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（一）机关运行经费支出情况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罗山县县委县政府效能建设中心2022年</w:t>
      </w:r>
      <w:r>
        <w:rPr>
          <w:rFonts w:hint="eastAsia" w:ascii="仿宋" w:hAnsi="仿宋" w:eastAsia="仿宋" w:cs="宋体"/>
          <w:kern w:val="0"/>
          <w:sz w:val="32"/>
          <w:szCs w:val="32"/>
        </w:rPr>
        <w:t>机关运行经费支出预算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宋体"/>
          <w:kern w:val="0"/>
          <w:sz w:val="32"/>
          <w:szCs w:val="32"/>
        </w:rPr>
        <w:t>万元，主要保障机构正常运转及正常履职需要，完成预算年度主要工作任务需要。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政府效能建设中心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2021年无机关运行经费支出，与2021年相比经费增加100%。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（二）政府采购支出情况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罗山县县委县政府效能建设中心2022年</w:t>
      </w:r>
      <w:r>
        <w:rPr>
          <w:rFonts w:hint="eastAsia" w:ascii="仿宋" w:hAnsi="仿宋" w:eastAsia="仿宋" w:cs="宋体"/>
          <w:kern w:val="0"/>
          <w:sz w:val="32"/>
          <w:szCs w:val="32"/>
        </w:rPr>
        <w:t>政府采购预算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安排支出为0万元，其中：政府采购货物预算安排0万元，政府采购工程安排0万元，政府采购服务预算0万元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</w:rPr>
        <w:br w:type="textWrapping"/>
      </w:r>
      <w:r>
        <w:rPr>
          <w:rFonts w:hint="eastAsia" w:ascii="楷体" w:hAnsi="楷体" w:eastAsia="楷体" w:cs="楷体"/>
          <w:color w:val="666666"/>
          <w:kern w:val="0"/>
          <w:sz w:val="27"/>
          <w:szCs w:val="27"/>
          <w:shd w:val="clear" w:color="auto" w:fill="FFFFFF"/>
          <w:lang w:val="en-US" w:eastAsia="zh-CN"/>
        </w:rPr>
        <w:t xml:space="preserve">    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绩效目标设置情况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2022年预算均按要求编制了绩效目标，从产出、效益、满意度等方面设置了绩效指标，综合反映预期完成的数量、实效、质量，预期达到的社会经济效益、可持续影响以及服务对象满意度等情况。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）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国有资产占用情况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年，共有车辆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辆，其中：一般公务用车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辆、一般执法执勤用车0辆、特种专业技术用车0辆，其他用车0辆；单价50万元以上通用设备0台，单位价值100万元以上专用设备0台。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3" w:firstLineChars="200"/>
        <w:textAlignment w:val="auto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kern w:val="0"/>
          <w:sz w:val="32"/>
          <w:szCs w:val="32"/>
        </w:rPr>
        <w:t>（五）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专项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转移支付项目情况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2022年我单位</w:t>
      </w:r>
      <w:r>
        <w:rPr>
          <w:rFonts w:ascii="仿宋" w:hAnsi="仿宋" w:eastAsia="仿宋" w:cs="宋体"/>
          <w:kern w:val="0"/>
          <w:sz w:val="32"/>
          <w:szCs w:val="32"/>
        </w:rPr>
        <w:t>负责管理的</w:t>
      </w:r>
      <w:r>
        <w:rPr>
          <w:rFonts w:hint="eastAsia" w:ascii="仿宋" w:hAnsi="仿宋" w:eastAsia="仿宋" w:cs="宋体"/>
          <w:kern w:val="0"/>
          <w:sz w:val="32"/>
          <w:szCs w:val="32"/>
        </w:rPr>
        <w:t>专项</w:t>
      </w:r>
      <w:r>
        <w:rPr>
          <w:rFonts w:ascii="仿宋" w:hAnsi="仿宋" w:eastAsia="仿宋" w:cs="宋体"/>
          <w:kern w:val="0"/>
          <w:sz w:val="32"/>
          <w:szCs w:val="32"/>
        </w:rPr>
        <w:t>转移支付项目共有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0</w:t>
      </w:r>
      <w:r>
        <w:rPr>
          <w:rFonts w:ascii="仿宋" w:hAnsi="仿宋" w:eastAsia="仿宋" w:cs="宋体"/>
          <w:kern w:val="0"/>
          <w:sz w:val="32"/>
          <w:szCs w:val="32"/>
        </w:rPr>
        <w:t>项，我</w:t>
      </w:r>
      <w:r>
        <w:rPr>
          <w:rFonts w:hint="eastAsia" w:ascii="仿宋" w:hAnsi="仿宋" w:eastAsia="仿宋" w:cs="宋体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kern w:val="0"/>
          <w:sz w:val="32"/>
          <w:szCs w:val="32"/>
        </w:rPr>
        <w:t>将按照《预算法》等有关规定，积极做好项目分配前期准备工作，在规定的时间内向财政部门提出资金分配意见，根据有关要求做好项目申报公开等相关工作。</w:t>
      </w: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第三部分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ascii="黑体" w:hAnsi="黑体" w:eastAsia="黑体" w:cs="宋体"/>
          <w:bCs/>
          <w:kern w:val="0"/>
          <w:sz w:val="32"/>
          <w:szCs w:val="32"/>
        </w:rPr>
        <w:t>名词解释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一、财政拨款收入：</w:t>
      </w:r>
      <w:r>
        <w:rPr>
          <w:rFonts w:ascii="仿宋" w:hAnsi="仿宋" w:eastAsia="仿宋" w:cs="宋体"/>
          <w:kern w:val="0"/>
          <w:sz w:val="32"/>
          <w:szCs w:val="32"/>
        </w:rPr>
        <w:t>是指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ascii="仿宋" w:hAnsi="仿宋" w:eastAsia="仿宋" w:cs="宋体"/>
          <w:kern w:val="0"/>
          <w:sz w:val="32"/>
          <w:szCs w:val="32"/>
        </w:rPr>
        <w:t>级财政当年拨付的资金。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t>二、事业收入：</w:t>
      </w:r>
      <w:r>
        <w:rPr>
          <w:rFonts w:ascii="仿宋" w:hAnsi="仿宋" w:eastAsia="仿宋" w:cs="宋体"/>
          <w:kern w:val="0"/>
          <w:sz w:val="32"/>
          <w:szCs w:val="32"/>
        </w:rPr>
        <w:t>是指事业单位开展专业活动及辅助活动所取得的收入。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三</w:t>
      </w:r>
      <w:r>
        <w:rPr>
          <w:rFonts w:ascii="楷体" w:hAnsi="楷体" w:eastAsia="楷体" w:cs="宋体"/>
          <w:b/>
          <w:kern w:val="0"/>
          <w:sz w:val="32"/>
          <w:szCs w:val="32"/>
        </w:rPr>
        <w:t>、其他收入：</w:t>
      </w:r>
      <w:r>
        <w:rPr>
          <w:rFonts w:ascii="仿宋" w:hAnsi="仿宋" w:eastAsia="仿宋" w:cs="宋体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四</w:t>
      </w:r>
      <w:r>
        <w:rPr>
          <w:rFonts w:ascii="楷体" w:hAnsi="楷体" w:eastAsia="楷体" w:cs="宋体"/>
          <w:b/>
          <w:kern w:val="0"/>
          <w:sz w:val="32"/>
          <w:szCs w:val="32"/>
        </w:rPr>
        <w:t>、用事业基金弥补收支差额：</w:t>
      </w:r>
      <w:r>
        <w:rPr>
          <w:rFonts w:ascii="仿宋" w:hAnsi="仿宋" w:eastAsia="仿宋" w:cs="宋体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五</w:t>
      </w:r>
      <w:r>
        <w:rPr>
          <w:rFonts w:ascii="楷体" w:hAnsi="楷体" w:eastAsia="楷体" w:cs="宋体"/>
          <w:b/>
          <w:kern w:val="0"/>
          <w:sz w:val="32"/>
          <w:szCs w:val="32"/>
        </w:rPr>
        <w:t>、基本支出：</w:t>
      </w:r>
      <w:r>
        <w:rPr>
          <w:rFonts w:ascii="仿宋" w:hAnsi="仿宋" w:eastAsia="仿宋" w:cs="宋体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六</w:t>
      </w:r>
      <w:r>
        <w:rPr>
          <w:rFonts w:ascii="楷体" w:hAnsi="楷体" w:eastAsia="楷体" w:cs="宋体"/>
          <w:b/>
          <w:kern w:val="0"/>
          <w:sz w:val="32"/>
          <w:szCs w:val="32"/>
        </w:rPr>
        <w:t>、项目支出：</w:t>
      </w:r>
      <w:r>
        <w:rPr>
          <w:rFonts w:ascii="仿宋" w:hAnsi="仿宋" w:eastAsia="仿宋" w:cs="宋体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七</w:t>
      </w:r>
      <w:r>
        <w:rPr>
          <w:rFonts w:ascii="楷体" w:hAnsi="楷体" w:eastAsia="楷体" w:cs="宋体"/>
          <w:b/>
          <w:kern w:val="0"/>
          <w:sz w:val="32"/>
          <w:szCs w:val="32"/>
        </w:rPr>
        <w:t>、“三公”经费：</w:t>
      </w:r>
      <w:r>
        <w:rPr>
          <w:rFonts w:ascii="仿宋" w:hAnsi="仿宋" w:eastAsia="仿宋" w:cs="宋体"/>
          <w:kern w:val="0"/>
          <w:sz w:val="32"/>
          <w:szCs w:val="32"/>
        </w:rPr>
        <w:t>是指纳入</w:t>
      </w:r>
      <w:r>
        <w:rPr>
          <w:rFonts w:hint="eastAsia" w:ascii="仿宋" w:hAnsi="仿宋" w:eastAsia="仿宋" w:cs="宋体"/>
          <w:kern w:val="0"/>
          <w:sz w:val="32"/>
          <w:szCs w:val="32"/>
        </w:rPr>
        <w:t>市</w:t>
      </w:r>
      <w:r>
        <w:rPr>
          <w:rFonts w:ascii="仿宋" w:hAnsi="仿宋" w:eastAsia="仿宋" w:cs="宋体"/>
          <w:kern w:val="0"/>
          <w:sz w:val="32"/>
          <w:szCs w:val="32"/>
        </w:rPr>
        <w:t>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八</w:t>
      </w:r>
      <w:r>
        <w:rPr>
          <w:rFonts w:ascii="楷体" w:hAnsi="楷体" w:eastAsia="楷体" w:cs="宋体"/>
          <w:b/>
          <w:kern w:val="0"/>
          <w:sz w:val="32"/>
          <w:szCs w:val="32"/>
        </w:rPr>
        <w:t>、机关运行经费：</w:t>
      </w:r>
      <w:r>
        <w:rPr>
          <w:rFonts w:ascii="仿宋" w:hAnsi="仿宋" w:eastAsia="仿宋" w:cs="宋体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560" w:lineRule="exact"/>
        <w:ind w:firstLine="643" w:firstLineChars="200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附件：</w:t>
      </w:r>
      <w:r>
        <w:fldChar w:fldCharType="begin"/>
      </w:r>
      <w:r>
        <w:instrText xml:space="preserve">HYPERLINK "http://www.haedu.gov.cn/UserFiles/File/201803/20180309144718540.doc" </w:instrText>
      </w:r>
      <w:r>
        <w:fldChar w:fldCharType="separate"/>
      </w:r>
      <w:r>
        <w:rPr>
          <w:rFonts w:hint="eastAsia" w:ascii="仿宋" w:hAnsi="仿宋" w:eastAsia="仿宋" w:cs="宋体"/>
          <w:kern w:val="0"/>
          <w:sz w:val="32"/>
          <w:szCs w:val="32"/>
        </w:rPr>
        <w:t>罗山县县委县政府效能建设中心202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年预算表</w:t>
      </w:r>
      <w:r>
        <w:fldChar w:fldCharType="end"/>
      </w:r>
    </w:p>
    <w:p>
      <w:pPr>
        <w:adjustRightInd w:val="0"/>
        <w:snapToGrid w:val="0"/>
        <w:spacing w:line="560" w:lineRule="exact"/>
        <w:ind w:left="5278" w:leftChars="304" w:hanging="4640" w:hangingChars="145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left="5267" w:leftChars="2508" w:firstLine="320" w:firstLineChars="1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仿宋" w:hAnsi="仿宋" w:eastAsia="仿宋"/>
        <w:sz w:val="32"/>
        <w:szCs w:val="32"/>
        <w:lang w:val="zh-CN"/>
      </w:rPr>
      <w:t xml:space="preserve"> </w:t>
    </w:r>
    <w:r>
      <w:rPr>
        <w:rFonts w:ascii="仿宋" w:hAnsi="仿宋" w:eastAsia="仿宋"/>
        <w:b/>
        <w:bCs/>
        <w:sz w:val="32"/>
        <w:szCs w:val="32"/>
      </w:rPr>
      <w:fldChar w:fldCharType="begin"/>
    </w:r>
    <w:r>
      <w:rPr>
        <w:rFonts w:ascii="仿宋" w:hAnsi="仿宋" w:eastAsia="仿宋"/>
        <w:b/>
        <w:bCs/>
        <w:sz w:val="32"/>
        <w:szCs w:val="32"/>
      </w:rPr>
      <w:instrText xml:space="preserve">PAGE</w:instrText>
    </w:r>
    <w:r>
      <w:rPr>
        <w:rFonts w:ascii="仿宋" w:hAnsi="仿宋" w:eastAsia="仿宋"/>
        <w:b/>
        <w:bCs/>
        <w:sz w:val="32"/>
        <w:szCs w:val="32"/>
      </w:rPr>
      <w:fldChar w:fldCharType="separate"/>
    </w:r>
    <w:r>
      <w:rPr>
        <w:rFonts w:ascii="仿宋" w:hAnsi="仿宋" w:eastAsia="仿宋"/>
        <w:b/>
        <w:bCs/>
        <w:sz w:val="32"/>
        <w:szCs w:val="32"/>
      </w:rPr>
      <w:t>1</w:t>
    </w:r>
    <w:r>
      <w:rPr>
        <w:rFonts w:ascii="仿宋" w:hAnsi="仿宋" w:eastAsia="仿宋"/>
        <w:b/>
        <w:bCs/>
        <w:sz w:val="32"/>
        <w:szCs w:val="32"/>
      </w:rPr>
      <w:fldChar w:fldCharType="end"/>
    </w:r>
    <w:r>
      <w:rPr>
        <w:rFonts w:ascii="仿宋" w:hAnsi="仿宋" w:eastAsia="仿宋"/>
        <w:sz w:val="32"/>
        <w:szCs w:val="32"/>
        <w:lang w:val="zh-CN"/>
      </w:rPr>
      <w:t xml:space="preserve"> / </w:t>
    </w:r>
    <w:r>
      <w:rPr>
        <w:rFonts w:ascii="仿宋" w:hAnsi="仿宋" w:eastAsia="仿宋"/>
        <w:b/>
        <w:bCs/>
        <w:sz w:val="32"/>
        <w:szCs w:val="32"/>
      </w:rPr>
      <w:fldChar w:fldCharType="begin"/>
    </w:r>
    <w:r>
      <w:rPr>
        <w:rFonts w:ascii="仿宋" w:hAnsi="仿宋" w:eastAsia="仿宋"/>
        <w:b/>
        <w:bCs/>
        <w:sz w:val="32"/>
        <w:szCs w:val="32"/>
      </w:rPr>
      <w:instrText xml:space="preserve">NUMPAGES</w:instrText>
    </w:r>
    <w:r>
      <w:rPr>
        <w:rFonts w:ascii="仿宋" w:hAnsi="仿宋" w:eastAsia="仿宋"/>
        <w:b/>
        <w:bCs/>
        <w:sz w:val="32"/>
        <w:szCs w:val="32"/>
      </w:rPr>
      <w:fldChar w:fldCharType="separate"/>
    </w:r>
    <w:r>
      <w:rPr>
        <w:rFonts w:ascii="仿宋" w:hAnsi="仿宋" w:eastAsia="仿宋"/>
        <w:b/>
        <w:bCs/>
        <w:sz w:val="32"/>
        <w:szCs w:val="32"/>
      </w:rPr>
      <w:t>10</w:t>
    </w:r>
    <w:r>
      <w:rPr>
        <w:rFonts w:ascii="仿宋" w:hAnsi="仿宋" w:eastAsia="仿宋"/>
        <w:b/>
        <w:bCs/>
        <w:sz w:val="32"/>
        <w:szCs w:val="32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9A84C"/>
    <w:multiLevelType w:val="singleLevel"/>
    <w:tmpl w:val="C189A84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NWNlNzJiYTllMGNjMTM1ZWZiYTZlODFkMjYyZjkifQ=="/>
  </w:docVars>
  <w:rsids>
    <w:rsidRoot w:val="00000000"/>
    <w:rsid w:val="05245729"/>
    <w:rsid w:val="055E50A5"/>
    <w:rsid w:val="09364543"/>
    <w:rsid w:val="0A6F1B02"/>
    <w:rsid w:val="19584D62"/>
    <w:rsid w:val="1C34759A"/>
    <w:rsid w:val="1D9C09E6"/>
    <w:rsid w:val="1E940EEE"/>
    <w:rsid w:val="1F310DAE"/>
    <w:rsid w:val="2069348A"/>
    <w:rsid w:val="24133DF1"/>
    <w:rsid w:val="26B86B17"/>
    <w:rsid w:val="293530F8"/>
    <w:rsid w:val="29C8276C"/>
    <w:rsid w:val="2BCB7B04"/>
    <w:rsid w:val="32EB6CD2"/>
    <w:rsid w:val="35BA7D48"/>
    <w:rsid w:val="3DA73F0A"/>
    <w:rsid w:val="3F095A68"/>
    <w:rsid w:val="424119A9"/>
    <w:rsid w:val="46FC6FF6"/>
    <w:rsid w:val="4949520A"/>
    <w:rsid w:val="498A77E3"/>
    <w:rsid w:val="49F61DEB"/>
    <w:rsid w:val="506D0E6D"/>
    <w:rsid w:val="50AD2EA7"/>
    <w:rsid w:val="52CB49C9"/>
    <w:rsid w:val="5B7551DC"/>
    <w:rsid w:val="5F552F7D"/>
    <w:rsid w:val="64940D7E"/>
    <w:rsid w:val="67C0189B"/>
    <w:rsid w:val="68405F05"/>
    <w:rsid w:val="68707874"/>
    <w:rsid w:val="6A014E5B"/>
    <w:rsid w:val="6C9854C4"/>
    <w:rsid w:val="77110B96"/>
    <w:rsid w:val="78DE4D9B"/>
    <w:rsid w:val="7994240D"/>
    <w:rsid w:val="7B633C51"/>
    <w:rsid w:val="7B8C6991"/>
    <w:rsid w:val="7DA344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3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 Char"/>
    <w:link w:val="6"/>
    <w:qFormat/>
    <w:uiPriority w:val="99"/>
    <w:rPr>
      <w:sz w:val="18"/>
      <w:szCs w:val="18"/>
    </w:rPr>
  </w:style>
  <w:style w:type="character" w:customStyle="1" w:styleId="12">
    <w:name w:val="页脚 Char Char"/>
    <w:link w:val="5"/>
    <w:qFormat/>
    <w:uiPriority w:val="99"/>
    <w:rPr>
      <w:sz w:val="18"/>
      <w:szCs w:val="18"/>
    </w:rPr>
  </w:style>
  <w:style w:type="character" w:customStyle="1" w:styleId="13">
    <w:name w:val="批注框文本 Char Char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4">
    <w:name w:val="日期 Char Char"/>
    <w:link w:val="3"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3425</Words>
  <Characters>3639</Characters>
  <Lines>29</Lines>
  <Paragraphs>8</Paragraphs>
  <TotalTime>3</TotalTime>
  <ScaleCrop>false</ScaleCrop>
  <LinksUpToDate>false</LinksUpToDate>
  <CharactersWithSpaces>3703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2018-03-19T07:31:00Z</dcterms:created>
  <dc:creator>预算</dc:creator>
  <cp:lastModifiedBy>倩</cp:lastModifiedBy>
  <cp:lastPrinted>2020-06-04T09:09:00Z</cp:lastPrinted>
  <dcterms:modified xsi:type="dcterms:W3CDTF">2023-04-19T01:59:46Z</dcterms:modified>
  <dc:title>看过后删除的备注：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260458FD2D774A95B9C5FB68739F3326_13</vt:lpwstr>
  </property>
</Properties>
</file>