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罗山县202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  <w:lang w:val="en-US" w:eastAsia="zh-CN"/>
        </w:rPr>
        <w:t>2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年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  <w:lang w:eastAsia="zh-CN"/>
        </w:rPr>
        <w:t>重大政策和重点项目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预算绩效管理工作开展情况的说明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left="0" w:leftChars="0" w:firstLine="640" w:firstLineChars="200"/>
        <w:textAlignment w:val="auto"/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仿宋_GB2312"/>
          <w:spacing w:val="0"/>
          <w:kern w:val="2"/>
          <w:sz w:val="32"/>
          <w:szCs w:val="32"/>
          <w:lang w:val="en-US" w:eastAsia="zh-CN" w:bidi="ar-SA"/>
        </w:rPr>
        <w:t>2022年，县财政部门坚持以习近平新时代中国特色社会主义思想为指导，全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面贯彻落实党的十九大、二十大精神，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在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县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委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、县政府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坚强领导和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县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人大、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县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bidi="ar"/>
        </w:rPr>
        <w:t>政协监督指导下</w:t>
      </w:r>
      <w:r>
        <w:rPr>
          <w:rFonts w:hint="eastAsia" w:ascii="仿宋_GB2312" w:hAnsi="宋体" w:eastAsia="仿宋_GB2312" w:cs="仿宋_GB2312"/>
          <w:b w:val="0"/>
          <w:bCs w:val="0"/>
          <w:color w:val="00000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统筹推进疫情防控和经济社会发展，坚持稳中求进工作总基调，着力保民生、保运转、稳增长、促发展，全县经济社会健康发展，财政预算执行情况总体平稳。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67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spacing w:val="6"/>
          <w:kern w:val="2"/>
          <w:sz w:val="32"/>
          <w:szCs w:val="32"/>
          <w:lang w:val="en-US" w:eastAsia="zh-CN" w:bidi="ar-SA"/>
        </w:rPr>
        <w:t>一、齐抓共管挖潜增收，合力稳住经济基本盘。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县财政部门始终坚持将提高财政保障能力作为首要职责和使命担当。一是积极组织收入。面对经济下行和新冠肺炎疫情的严峻考验，积极应对，明确收入任务，强化征管措施，大力挖潜堵漏，确保颗粒归仓。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2022年，全县一般公共预算收入92506万元，同比增长6.4%，其中：税收收入60056万元，非税收入32450万元。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二是积极争取上级支持。2022年，我县共计争取转移支付资金34.7亿元，债券资金15.46亿元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三是有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效盘活土地资源。强化部门联动配合，完善要素保障，加快推进土地招拍挂和出让工作，公开出让土地667.38亩，实现土地出让收入38130万元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理存量资金。进一步加大财政资金整合力度，清理收回各领域“沉睡”资金1171.65万元，统筹用于落实“三保”等经济社会发展急需资金支持的领域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。五是加强国有资产管理。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加快推进国有资产的出租出售工作，使“资产”变“资本”。通过加快公房、公车及其他国有闲置资产销售和处置，获得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收益</w:t>
      </w:r>
      <w:r>
        <w:rPr>
          <w:rFonts w:hint="eastAsia" w:ascii="仿宋_GB2312" w:hAnsi="宋体" w:eastAsia="仿宋_GB2312" w:cs="仿宋_GB2312"/>
          <w:spacing w:val="6"/>
          <w:kern w:val="2"/>
          <w:sz w:val="32"/>
          <w:szCs w:val="32"/>
          <w:lang w:val="en-US" w:eastAsia="zh-CN" w:bidi="ar-SA"/>
        </w:rPr>
        <w:t>4989</w:t>
      </w:r>
      <w:r>
        <w:rPr>
          <w:rFonts w:hint="eastAsia" w:ascii="仿宋" w:hAnsi="仿宋" w:eastAsia="仿宋"/>
          <w:sz w:val="32"/>
          <w:szCs w:val="32"/>
        </w:rPr>
        <w:t>万</w:t>
      </w:r>
      <w:r>
        <w:rPr>
          <w:rFonts w:hint="eastAsia" w:ascii="仿宋" w:hAnsi="仿宋" w:eastAsia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/>
          <w:b/>
          <w:bCs/>
          <w:sz w:val="32"/>
          <w:szCs w:val="32"/>
        </w:rPr>
        <w:t>。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六是</w:t>
      </w:r>
      <w:r>
        <w:rPr>
          <w:rFonts w:hint="eastAsia" w:ascii="仿宋" w:hAnsi="仿宋" w:eastAsia="仿宋"/>
          <w:sz w:val="32"/>
          <w:szCs w:val="32"/>
          <w:lang w:eastAsia="zh-CN"/>
        </w:rPr>
        <w:t>挖掘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县属国有企业潜力。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县属国有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eastAsia="zh-CN"/>
        </w:rPr>
        <w:t>企业通过河砂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val="en-US" w:eastAsia="zh-CN"/>
        </w:rPr>
        <w:t>开采、销售实现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利润总额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val="en-US" w:eastAsia="zh-CN"/>
        </w:rPr>
        <w:t>65453.98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万元，上缴利税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val="en-US" w:eastAsia="zh-CN"/>
        </w:rPr>
        <w:t>14201.20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val="en-US" w:eastAsia="zh-CN"/>
        </w:rPr>
        <w:t>2022年全年</w:t>
      </w:r>
      <w:r>
        <w:rPr>
          <w:rFonts w:hint="eastAsia" w:ascii="仿宋_GB2312" w:eastAsia="仿宋_GB2312"/>
          <w:color w:val="000000"/>
          <w:spacing w:val="0"/>
          <w:sz w:val="32"/>
          <w:szCs w:val="32"/>
        </w:rPr>
        <w:t>县属国有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eastAsia="zh-CN"/>
        </w:rPr>
        <w:t>企业共实现市场化融资157393万元，有力保障了县委、县政府重大决策部署落实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七是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加强税源管控。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以综合治税为抓手，</w:t>
      </w:r>
      <w:r>
        <w:rPr>
          <w:rFonts w:hint="eastAsia" w:ascii="仿宋_GB2312" w:hAnsi="Times New Roman" w:eastAsia="仿宋_GB2312" w:cs="Times New Roman"/>
          <w:color w:val="000000"/>
          <w:spacing w:val="0"/>
          <w:sz w:val="32"/>
          <w:szCs w:val="32"/>
          <w:lang w:val="en-US" w:eastAsia="zh-CN"/>
        </w:rPr>
        <w:t>加强重点部门、重要工程涉税信息的采集，通过“以数治税”“以电定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税”“以账定税”等征管方法，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堵塞税收漏洞，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稳步推进税收征管工作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二、精准施策积极有为，有力促进经济健康发展。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一是全力支持重点项目建设。牢固树立“项目为王”理念，县财政部门加大对中央预算内投资、本级预算、债券资金统筹力度，全力为华水江淮校区、</w:t>
      </w:r>
      <w:r>
        <w:rPr>
          <w:rFonts w:hint="eastAsia" w:ascii="仿宋_GB2312" w:eastAsia="仿宋_GB2312"/>
          <w:color w:val="000000"/>
          <w:spacing w:val="0"/>
          <w:sz w:val="32"/>
          <w:szCs w:val="32"/>
          <w:lang w:eastAsia="zh-CN"/>
        </w:rPr>
        <w:t>城市会客厅、内河治理、棚户区改造、龟山湖休闲度假区、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龙池大道及北安路“白改黑”等重点工程建设保驾护航；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力支持实体经济发展。不折不扣贯彻落实减税降费政策，让企业及时享受到国家减税降费政策带来的红利，全年减税降费达17377万元，切实减轻企业负担；积极开展“万人助万企”活动，充分发挥担保、助保贷、应急周转金作用，进一步降低反担保要求和担保费率，主动为企业排忧解难，全年为72家企业担保融资11257万元；累计发放消费券220万元，涵盖餐饮、家电、百货等多个领域，激发消费热情，加快促进我县消费市场持续恢复。三是持续优化营商环境。县财政部门通过加大采购信息公开和信息共享，完善电子化政府采购系统功能，构建网上商城、缩短采购重点环节时限、为中小企业预留采购份额等措施，着力降成本、疏堵点、优服务，全力打造公开、公平、公正的政府采购环境。四是落实资金直达机制。及时直达资金，精准对接，</w:t>
      </w:r>
      <w:r>
        <w:rPr>
          <w:rFonts w:hint="eastAsia" w:ascii="仿宋_GB2312" w:hAnsi="宋体" w:eastAsia="仿宋_GB2312"/>
          <w:sz w:val="32"/>
          <w:szCs w:val="32"/>
        </w:rPr>
        <w:t>在资金清算方面优先保证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快速拨付，充分发挥财政政策效能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五</w:t>
      </w:r>
      <w:r>
        <w:rPr>
          <w:rFonts w:hint="default" w:ascii="仿宋_GB2312" w:hAnsi="宋体" w:eastAsia="仿宋_GB2312" w:cs="Times New Roman"/>
          <w:sz w:val="32"/>
          <w:szCs w:val="32"/>
        </w:rPr>
        <w:t>是</w:t>
      </w:r>
      <w:r>
        <w:rPr>
          <w:rFonts w:hint="eastAsia" w:ascii="仿宋_GB2312" w:hAnsi="宋体" w:eastAsia="仿宋_GB2312" w:cs="Times New Roman"/>
          <w:sz w:val="32"/>
          <w:szCs w:val="32"/>
        </w:rPr>
        <w:t>发挥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PPP项目补短板、稳投资作用。紧抓政策机遇，认真谋划包装PPP项目，保障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我县重大项目落地实施。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罗山县江淮生态城基础设施配套PPP项目、华北水利水电大学江淮校区及配套设施PPP项目进入管理库，总投资额41.4亿元；G312信罗快速连接线（罗山段）改造工程（一期）PPP项目，已纳入储备清单准备进入管理库，总投资额8.86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三、尽力而为量力而行，兜牢兜实基本民生底线。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着力解决好人民群众的“急难愁盼”问题，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不断增强人民群众幸福感、获得感。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2022年，全县民生支出35.3亿元，占一般公共预算支出的76.5%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。一是坚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持生命至上，全力以赴支持新冠肺炎疫情防控。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按照特事特办、急事急办原则，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共筹集抗击疫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情资金1151万元，紧急启动应急医疗物资保障机制，全面落实确诊患者免费救治政策，全力保障防疫物资供应和各项经费开支。二是“三保”支出保障有力。统筹用好转移支付资金以及自有财力，坚持“三保”支出在预算安排和库款调度方面的优先顺序，兜牢兜实“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保”底线。2022年，全县一般公共预算“三保”支出安排323114万元，占总支出的87.68%。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三是多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措并举促进就业。拨付就业资金1907万元，落实公益性岗位补贴、社会保险补贴、职业技能培训等就业创业扶持政策，突出大学生、退役军人、就业困难人员等重点群体就业创业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。四是提升社会保障水平。投入资金18567万元，确保困难群众和特殊困难群体基本生活得到有效保障；支出各项社保基金64307万元，进一步提高机关事业单位、企业退休人员、城乡居民基本养老金标准；全面落实优抚安置政策，拨付革命伤残军人优抚资金3626万元。五是促进教育公平。拨付各类学生资助资金共计3255万元，拨付资金7172.5万元，保障义务教育阶段学校正常运转；拨付资金5516万元，改善中小学办学条件。</w:t>
      </w:r>
    </w:p>
    <w:p>
      <w:pPr>
        <w:keepNext w:val="0"/>
        <w:keepLines w:val="0"/>
        <w:pageBreakBefore w:val="0"/>
        <w:widowControl w:val="0"/>
        <w:suppressLineNumbers w:val="0"/>
        <w:shd w:val="clear" w:color="auto" w:fill="auto"/>
        <w:kinsoku/>
        <w:wordWrap/>
        <w:topLinePunct w:val="0"/>
        <w:autoSpaceDE/>
        <w:autoSpaceDN/>
        <w:bidi w:val="0"/>
        <w:spacing w:line="600" w:lineRule="exact"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四、强化投入保障重点，“三农”基础不断夯实。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县财政部门加大财政资金保障力度，持续改善农村基础设施，大力发展产业，推动巩固拓展脱贫攻坚成果同乡村振兴有效衔接。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是支持全面实施乡村振兴战略。2022年，县财政部门统筹整合财政涉农资金33413.21万元，全面落实统筹整合财政涉农资金政策。二是切实扛稳粮食安全责任。投入资金44898万元，全面落实惠农补贴政策，巩固提升粮食综合生产能力；投入资金12136.46万元，支持水利生产活动。三是扎实推进美丽乡村建设。拨付资金804万元，支持整村推进“厕所革命”；拨付奖补资金360万元，扶持东铺镇北马店村等9个试点村村级集体经济发展；拨付976万元，支持农村公益事业建设、美化村容村貌、改善人居环境；投入资金571万元，支持山店乡银冲村等4个美丽乡村建设，切实解决村民关心的村内出行、广场、路灯照明等问题，农村生产生活条件持续改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提升财政管理效能，财政改革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蹄疾步稳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是深入推进预算一体化改革。预算一体化系统上线以来，县财政部门夯实工作责任，及时开展业务培训，实现预算一体化系统全面贯通，各项工作有序推进。二是推进惠民惠农补贴发放方式改革。县财政部门聚焦群众申领补贴资金过程中遇到的难题，在全县推行以社会保障卡为载体的“一卡通”集中发放补贴资金。2022年全年，通过“一卡通”发放补贴49项，发放资金5.8亿元，惠及213万人次，其中社保卡发放率、发放成功率在全市各县区排名第一。我县是信阳市唯一一个被省财政厅表彰的前20名的县（区）。三是全面深化省直管县财政管理改革。县财政部门多次与省市财政部门核对</w:t>
      </w:r>
      <w:r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  <w:t>划转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基数，核定省与市县收入类基数53709万元，省辖市与县收入类基数11761万元，省辖市与县共同财政事权划转基数2893万元；积极与省财政厅对接，做好资金接收和下达工作，涉及各类转移支付指标34.92亿元；梳理市县共同财政事权政策，积极与市财政部门交流汇报，争取民生、教育类市级配套资金312万元。四是开展预算绩效管理。县财政部门全面推进绩效目标申报审核和财政资金运行绩效监控，全年共审核县各级预算单位财政项目支出绩效目标申报1311项，审核资金44.64亿元；选取6个重大项目，开展部门整体绩效评价和重点项目监控及绩效评价工作。五是充分发挥财政投资评审职能。以提高财政资金使用效益为目标，全年完成评审项目298项，评审总额337168万元，审定总额292521万元，审减金额44647万元，综合审减率13.2%，为政府节约了大量建设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客观总结2022年工作的同时，也清醒地认识到当前财政运行中还存在一些短板和不足：财政增收基础还不牢固，新兴产业支撑作用尚未形成，财源建设需进一步加强；财政支出刚性增长较快，预算平衡难度加大，财政收支矛盾日益突出；政府债务还本付息压力逐年增大；预算编制不够精细，预算绩效管理有待加强；勤俭节约意识和过“紧日子”思想尚未完全树立。针对这些问题，将通过深化改革、加快发展和创新管理，逐步加以解决。</w:t>
      </w:r>
      <w:bookmarkStart w:id="0" w:name="_GoBack"/>
      <w:bookmarkEnd w:id="0"/>
    </w:p>
    <w:p>
      <w:pPr>
        <w:rPr>
          <w:rFonts w:ascii="仿宋_GB2312" w:eastAsia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</w:pPr>
                <w:r>
                  <w:t xml:space="preserve">—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NhOGUxODg4NzA2ZmQ1N2M5Y2FkMTRmYWFlM2ZmYWMifQ=="/>
  </w:docVars>
  <w:rsids>
    <w:rsidRoot w:val="00823C6D"/>
    <w:rsid w:val="00296505"/>
    <w:rsid w:val="003127F1"/>
    <w:rsid w:val="004E48D5"/>
    <w:rsid w:val="005E2023"/>
    <w:rsid w:val="00810C06"/>
    <w:rsid w:val="00823C6D"/>
    <w:rsid w:val="00BE293D"/>
    <w:rsid w:val="00CF00BF"/>
    <w:rsid w:val="00D66F71"/>
    <w:rsid w:val="00ED5863"/>
    <w:rsid w:val="4A5C5080"/>
    <w:rsid w:val="55C4242F"/>
    <w:rsid w:val="594C6E2E"/>
    <w:rsid w:val="5F897095"/>
    <w:rsid w:val="6F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tabs>
        <w:tab w:val="left" w:pos="612"/>
      </w:tabs>
      <w:topLinePunct/>
      <w:autoSpaceDE w:val="0"/>
      <w:autoSpaceDN w:val="0"/>
      <w:adjustRightInd w:val="0"/>
      <w:snapToGrid w:val="0"/>
      <w:spacing w:before="75" w:beforeLines="0" w:line="400" w:lineRule="atLeast"/>
      <w:ind w:left="612" w:hanging="432"/>
      <w:jc w:val="left"/>
      <w:textAlignment w:val="baseline"/>
      <w:outlineLvl w:val="0"/>
    </w:pPr>
    <w:rPr>
      <w:rFonts w:ascii="Arial" w:hAnsi="Arial" w:eastAsia="黑体"/>
      <w:b/>
      <w:kern w:val="44"/>
      <w:sz w:val="30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jc w:val="left"/>
      <w:outlineLvl w:val="1"/>
    </w:pPr>
    <w:rPr>
      <w:rFonts w:hint="eastAsia" w:ascii="宋体" w:hAnsi="宋体" w:eastAsia="楷体" w:cs="Times New Roman"/>
      <w:kern w:val="0"/>
      <w:sz w:val="32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111"/>
    </w:pPr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9"/>
    <w:link w:val="4"/>
    <w:semiHidden/>
    <w:qFormat/>
    <w:uiPriority w:val="0"/>
    <w:rPr>
      <w:rFonts w:ascii="宋体" w:hAnsi="宋体" w:eastAsia="楷体" w:cs="Times New Roman"/>
      <w:kern w:val="0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2470</Words>
  <Characters>2619</Characters>
  <Lines>22</Lines>
  <Paragraphs>6</Paragraphs>
  <TotalTime>6</TotalTime>
  <ScaleCrop>false</ScaleCrop>
  <LinksUpToDate>false</LinksUpToDate>
  <CharactersWithSpaces>2620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2021-06-10T08:39:00Z</dcterms:created>
  <dc:creator>Windows User</dc:creator>
  <cp:lastModifiedBy>Administrator</cp:lastModifiedBy>
  <cp:lastPrinted>2022-10-14T01:42:00Z</cp:lastPrinted>
  <dcterms:modified xsi:type="dcterms:W3CDTF">2023-09-18T09:26:49Z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B989DC56D2A14244B6578A729C6BBC8A</vt:lpwstr>
  </property>
</Properties>
</file>