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w:t>
      </w:r>
      <w:r>
        <w:rPr>
          <w:rFonts w:hint="eastAsia" w:ascii="黑体" w:hAnsi="黑体" w:eastAsia="黑体" w:cs="黑体"/>
          <w:sz w:val="52"/>
          <w:szCs w:val="52"/>
          <w:lang w:val="en-US" w:eastAsia="zh-CN"/>
        </w:rPr>
        <w:t>2</w:t>
      </w:r>
      <w:r>
        <w:rPr>
          <w:rFonts w:hint="eastAsia" w:ascii="黑体" w:hAnsi="黑体" w:eastAsia="黑体" w:cs="黑体"/>
          <w:sz w:val="52"/>
          <w:szCs w:val="52"/>
        </w:rPr>
        <w:t>年度</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罗山县图书馆</w:t>
      </w:r>
      <w:r>
        <w:rPr>
          <w:rFonts w:hint="eastAsia" w:ascii="黑体" w:hAnsi="黑体" w:eastAsia="黑体" w:cs="黑体"/>
          <w:sz w:val="52"/>
          <w:szCs w:val="52"/>
        </w:rPr>
        <w:t>部门决算</w:t>
      </w:r>
      <w:r>
        <w:rPr>
          <w:rFonts w:hint="eastAsia" w:ascii="黑体" w:hAnsi="黑体" w:eastAsia="黑体" w:cs="黑体"/>
          <w:sz w:val="52"/>
          <w:szCs w:val="52"/>
          <w:lang w:eastAsia="zh-CN"/>
        </w:rPr>
        <w:t>公开说明</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三</w:t>
      </w:r>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罗山县图书馆</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hint="eastAsia" w:ascii="黑体" w:hAnsi="黑体" w:eastAsia="黑体" w:cs="黑体"/>
          <w:sz w:val="32"/>
          <w:szCs w:val="32"/>
          <w:lang w:eastAsia="zh-CN"/>
        </w:rPr>
        <w:t>罗山县图书馆</w:t>
      </w:r>
      <w:r>
        <w:rPr>
          <w:rFonts w:hint="eastAsia" w:ascii="黑体" w:hAnsi="黑体" w:eastAsia="黑体" w:cs="黑体"/>
          <w:sz w:val="32"/>
          <w:szCs w:val="32"/>
        </w:rPr>
        <w:t>部门决算</w:t>
      </w:r>
      <w:r>
        <w:rPr>
          <w:rFonts w:hint="eastAsia" w:ascii="黑体" w:hAnsi="黑体" w:eastAsia="黑体" w:cs="黑体"/>
          <w:sz w:val="32"/>
          <w:szCs w:val="32"/>
          <w:lang w:eastAsia="zh-CN"/>
        </w:rPr>
        <w:t>公开</w:t>
      </w:r>
      <w:r>
        <w:rPr>
          <w:rFonts w:hint="eastAsia" w:ascii="黑体" w:hAnsi="黑体" w:eastAsia="黑体" w:cs="黑体"/>
          <w:sz w:val="32"/>
          <w:szCs w:val="32"/>
        </w:rPr>
        <w:t>表</w:t>
      </w:r>
      <w:r>
        <w:rPr>
          <w:rFonts w:hint="eastAsia" w:ascii="黑体" w:hAnsi="黑体" w:eastAsia="黑体" w:cs="黑体"/>
          <w:sz w:val="32"/>
          <w:szCs w:val="32"/>
          <w:lang w:eastAsia="zh-CN"/>
        </w:rPr>
        <w:t>格</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lang w:val="en-US" w:eastAsia="zh-CN"/>
        </w:rPr>
        <w:t>第三部分</w:t>
      </w:r>
      <w:r>
        <w:rPr>
          <w:rFonts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宋体" w:hAnsi="宋体" w:cs="宋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4"/>
          <w:szCs w:val="24"/>
        </w:rPr>
      </w:pPr>
      <w:r>
        <w:rPr>
          <w:rFonts w:hint="eastAsia" w:ascii="黑体" w:hAnsi="黑体" w:eastAsia="黑体" w:cs="黑体"/>
          <w:sz w:val="44"/>
          <w:szCs w:val="44"/>
        </w:rPr>
        <w:t xml:space="preserve">第一部分  </w:t>
      </w:r>
      <w:r>
        <w:rPr>
          <w:rFonts w:hint="eastAsia" w:ascii="黑体" w:hAnsi="黑体" w:eastAsia="黑体" w:cs="黑体"/>
          <w:sz w:val="44"/>
          <w:szCs w:val="44"/>
          <w:lang w:eastAsia="zh-CN"/>
        </w:rPr>
        <w:t>罗山县图书馆</w:t>
      </w:r>
      <w:r>
        <w:rPr>
          <w:rFonts w:hint="eastAsia" w:ascii="黑体" w:hAnsi="黑体" w:eastAsia="黑体" w:cs="黑体"/>
          <w:sz w:val="44"/>
          <w:szCs w:val="44"/>
        </w:rPr>
        <w:t>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（一）利用图书馆图书、期刊、资料、报纸、图片、声像、电子文献等各种媒体，进行思想政治教育，宣传马列主义、毛泽东思想、邓小平理论、三个代表的重要思想以及和政府的政策法令。</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（二）开展参考咨询和信息服务工作，开展文献检索的教学和辅导工作。</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（三）开展图书馆学、情报学的理论研究，提高工作人员的业务能力和管理水平。</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（四）推进和实施现代化技术在罗山县图书馆的应用，不断提高图书管理和服务手段的现代化水。</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罗山县图书馆设下列机构：办公室、财务室、少儿图书室、综合图书室、多媒体室、自习室。</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从决算单位构成看，罗山县图书馆部门决算包括：罗山县图书馆单位决算。</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纳入本部门202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个，包括：</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1.罗山县图书馆</w:t>
      </w:r>
    </w:p>
    <w:p>
      <w:pPr>
        <w:jc w:val="center"/>
        <w:outlineLvl w:val="0"/>
        <w:rPr>
          <w:rFonts w:hint="eastAsia" w:ascii="黑体" w:hAnsi="黑体" w:eastAsia="黑体" w:cs="黑体"/>
          <w:sz w:val="48"/>
          <w:szCs w:val="4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w:t>
      </w:r>
      <w:r>
        <w:rPr>
          <w:rFonts w:hint="eastAsia" w:ascii="黑体" w:hAnsi="黑体" w:eastAsia="黑体" w:cs="黑体"/>
          <w:sz w:val="48"/>
          <w:szCs w:val="48"/>
          <w:lang w:val="en-US" w:eastAsia="zh-CN"/>
        </w:rPr>
        <w:t>2</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罗山县图书馆</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2022年度</w:t>
            </w: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七、文化体育与传媒支出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tabs>
                <w:tab w:val="left" w:pos="593"/>
              </w:tabs>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eastAsia="zh-CN"/>
              </w:rPr>
              <w:tab/>
            </w:r>
            <w:r>
              <w:rPr>
                <w:rFonts w:hint="eastAsia" w:ascii="宋体" w:hAnsi="宋体" w:cs="宋体"/>
                <w:color w:val="000000"/>
                <w:sz w:val="20"/>
                <w:szCs w:val="20"/>
                <w:lang w:val="en-US" w:eastAsia="zh-CN"/>
              </w:rPr>
              <w:t>164.45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十、住房保障支出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十二、其他支出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172.57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27</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172.57</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27"/>
        <w:gridCol w:w="240"/>
        <w:gridCol w:w="1910"/>
        <w:gridCol w:w="930"/>
        <w:gridCol w:w="1356"/>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9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3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5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080"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罗山县图书馆</w:t>
            </w:r>
          </w:p>
        </w:tc>
        <w:tc>
          <w:tcPr>
            <w:tcW w:w="135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2022年度</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17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532"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267"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0"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3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267"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3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60" w:hRule="atLeast"/>
        </w:trPr>
        <w:tc>
          <w:tcPr>
            <w:tcW w:w="317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317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172.57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一般公共服务支出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20199</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其他一般公共服务支出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7.16</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7.16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2019999</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其他一般公共服务支出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7.16</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7.16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207</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文化旅游体育与传媒支出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164.45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164.45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20701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文化和旅游</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164.45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164.45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2070104</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图书馆</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164.45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164.45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社会保障和就业支出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0.2</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0.2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20805</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行政事业单位养老支出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0.2</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0.2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2080505</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机关事业单位养老保险缴费支出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卫生健康支出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行政事业单位医疗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2101102</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事业单位医疗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住房保障支出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22102</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住房改革支出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2210201</w:t>
            </w:r>
          </w:p>
        </w:tc>
        <w:tc>
          <w:tcPr>
            <w:tcW w:w="19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住房公积金</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1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912"/>
        <w:gridCol w:w="208"/>
        <w:gridCol w:w="240"/>
        <w:gridCol w:w="2012"/>
        <w:gridCol w:w="961"/>
        <w:gridCol w:w="584"/>
        <w:gridCol w:w="1218"/>
        <w:gridCol w:w="232"/>
        <w:gridCol w:w="1569"/>
        <w:gridCol w:w="335"/>
        <w:gridCol w:w="1467"/>
        <w:gridCol w:w="1801"/>
        <w:gridCol w:w="2018"/>
      </w:tblGrid>
      <w:tr>
        <w:tblPrEx>
          <w:tblCellMar>
            <w:top w:w="0" w:type="dxa"/>
            <w:left w:w="0" w:type="dxa"/>
            <w:bottom w:w="0" w:type="dxa"/>
            <w:right w:w="0" w:type="dxa"/>
          </w:tblCellMar>
        </w:tblPrEx>
        <w:trPr>
          <w:trHeight w:val="435" w:hRule="atLeast"/>
        </w:trPr>
        <w:tc>
          <w:tcPr>
            <w:tcW w:w="13557"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6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21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罗山县图书馆</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2022年度</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372"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54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45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467"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801"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2018"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912" w:type="dxa"/>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4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54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5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6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01"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018"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4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4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5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6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01"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018"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372"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018"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3372"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一般公共服务支出</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7.16</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20199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其他一般公共服务支出</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7.16</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7.16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2019999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其他一般公共服务支出</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7.16</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7.16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207</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文化旅游体育与传媒支出</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164.45</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164.45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20701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文化和旅游</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164.45</w:t>
            </w:r>
          </w:p>
        </w:tc>
        <w:tc>
          <w:tcPr>
            <w:tcW w:w="1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164.45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2070104</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图书馆</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164.45</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164.45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社会保障和就业支出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0.20</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0.20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20805</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行政事业单位养老支出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0.20</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华文中宋" w:hAnsi="华文中宋" w:eastAsia="华文中宋" w:cs="华文中宋"/>
                <w:color w:val="000000"/>
                <w:sz w:val="20"/>
                <w:szCs w:val="20"/>
                <w:lang w:val="en-US" w:eastAsia="zh-CN"/>
              </w:rPr>
              <w:t>0.20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2080505</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机关事业单位养老保险缴费支出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0.20</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0.20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卫生健康支出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0.75</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0.75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21011</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行政事业单位医疗</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0.75</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0.75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2101102</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事业单位医疗</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0.75</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0.75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住房保障支出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0.01</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22102</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住房改革支出</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0.01</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2210201</w:t>
            </w: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住房公积金</w:t>
            </w: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0.01</w:t>
            </w: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lang w:val="en-US" w:eastAsia="zh-CN"/>
              </w:rPr>
            </w:pPr>
          </w:p>
        </w:tc>
        <w:tc>
          <w:tcPr>
            <w:tcW w:w="2460"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lang w:eastAsia="zh-CN"/>
              </w:rPr>
            </w:pPr>
          </w:p>
        </w:tc>
        <w:tc>
          <w:tcPr>
            <w:tcW w:w="15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lang w:val="en-US" w:eastAsia="zh-CN"/>
              </w:rPr>
            </w:pPr>
          </w:p>
        </w:tc>
        <w:tc>
          <w:tcPr>
            <w:tcW w:w="145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467"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201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557" w:type="dxa"/>
            <w:gridSpan w:val="13"/>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2892"/>
        <w:gridCol w:w="870"/>
        <w:gridCol w:w="1440"/>
        <w:gridCol w:w="2475"/>
        <w:gridCol w:w="975"/>
        <w:gridCol w:w="1428"/>
        <w:gridCol w:w="1275"/>
        <w:gridCol w:w="61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58"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trHeight w:val="199" w:hRule="atLeast"/>
        </w:trPr>
        <w:tc>
          <w:tcPr>
            <w:tcW w:w="289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2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289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罗山县图书馆</w:t>
            </w:r>
          </w:p>
        </w:tc>
        <w:tc>
          <w:tcPr>
            <w:tcW w:w="87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2022年度</w:t>
            </w:r>
          </w:p>
        </w:tc>
        <w:tc>
          <w:tcPr>
            <w:tcW w:w="9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2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202"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771"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172.57</w:t>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eastAsia="zh-CN" w:bidi="ar"/>
              </w:rPr>
              <w:t>七、文化体育与传媒支出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tabs>
                <w:tab w:val="left" w:pos="593"/>
              </w:tabs>
              <w:jc w:val="right"/>
              <w:rPr>
                <w:rFonts w:hint="default" w:ascii="宋体" w:hAnsi="宋体" w:cs="宋体"/>
                <w:color w:val="000000"/>
                <w:sz w:val="20"/>
                <w:szCs w:val="20"/>
                <w:lang w:val="en-US"/>
              </w:rPr>
            </w:pPr>
            <w:r>
              <w:rPr>
                <w:rFonts w:hint="eastAsia" w:ascii="宋体" w:hAnsi="宋体" w:cs="宋体"/>
                <w:color w:val="000000"/>
                <w:sz w:val="20"/>
                <w:szCs w:val="20"/>
                <w:lang w:eastAsia="zh-CN"/>
              </w:rPr>
              <w:tab/>
            </w:r>
            <w:r>
              <w:rPr>
                <w:rFonts w:hint="eastAsia" w:ascii="宋体" w:hAnsi="宋体" w:cs="宋体"/>
                <w:color w:val="000000"/>
                <w:sz w:val="20"/>
                <w:szCs w:val="20"/>
                <w:lang w:val="en-US" w:eastAsia="zh-CN"/>
              </w:rPr>
              <w:t>164.45</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164.45</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eastAsia="zh-CN" w:bidi="ar"/>
              </w:rPr>
              <w:t>八、社会保障和就业支出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0.20</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0.20</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eastAsia="zh-CN"/>
              </w:rPr>
              <w:t>九、卫生健康支出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23</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0.75</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eastAsia="zh-CN"/>
              </w:rPr>
              <w:t>十、住房保障支出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0.01</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eastAsia="zh-CN" w:bidi="ar"/>
              </w:rPr>
              <w:t>十一、城乡社区支出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25</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十二、其他支出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42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058"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42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42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29</w:t>
            </w:r>
          </w:p>
        </w:tc>
        <w:tc>
          <w:tcPr>
            <w:tcW w:w="142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142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4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142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4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47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w:t>
            </w:r>
          </w:p>
        </w:tc>
        <w:tc>
          <w:tcPr>
            <w:tcW w:w="142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289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44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2475"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w:t>
            </w:r>
          </w:p>
        </w:tc>
        <w:tc>
          <w:tcPr>
            <w:tcW w:w="142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1275"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eastAsia="宋体" w:cs="宋体"/>
                <w:b w:val="0"/>
                <w:bCs/>
                <w:color w:val="000000"/>
                <w:sz w:val="20"/>
                <w:szCs w:val="20"/>
                <w:lang w:val="en-US" w:eastAsia="zh-CN"/>
              </w:rPr>
            </w:pPr>
          </w:p>
        </w:tc>
        <w:tc>
          <w:tcPr>
            <w:tcW w:w="1058" w:type="dxa"/>
            <w:tcBorders>
              <w:top w:val="single" w:color="000000" w:sz="4" w:space="0"/>
              <w:left w:val="nil"/>
              <w:bottom w:val="single" w:color="000000" w:sz="8"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726"/>
        <w:gridCol w:w="261"/>
        <w:gridCol w:w="21"/>
        <w:gridCol w:w="249"/>
        <w:gridCol w:w="1965"/>
        <w:gridCol w:w="615"/>
        <w:gridCol w:w="894"/>
        <w:gridCol w:w="870"/>
        <w:gridCol w:w="1341"/>
        <w:gridCol w:w="525"/>
        <w:gridCol w:w="1350"/>
        <w:gridCol w:w="885"/>
        <w:gridCol w:w="615"/>
        <w:gridCol w:w="1875"/>
        <w:gridCol w:w="1796"/>
      </w:tblGrid>
      <w:tr>
        <w:tblPrEx>
          <w:tblCellMar>
            <w:top w:w="0" w:type="dxa"/>
            <w:left w:w="0" w:type="dxa"/>
            <w:bottom w:w="0" w:type="dxa"/>
            <w:right w:w="0" w:type="dxa"/>
          </w:tblCellMar>
        </w:tblPrEx>
        <w:trPr>
          <w:trHeight w:val="600" w:hRule="atLeast"/>
        </w:trPr>
        <w:tc>
          <w:tcPr>
            <w:tcW w:w="13988" w:type="dxa"/>
            <w:gridSpan w:val="15"/>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1" w:type="dxa"/>
            <w:gridSpan w:val="3"/>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580"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105"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375" w:type="dxa"/>
            <w:gridSpan w:val="4"/>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67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6"/>
                <w:rFonts w:hint="default"/>
                <w:lang w:bidi="ar"/>
              </w:rPr>
              <w:t>5表</w:t>
            </w:r>
          </w:p>
        </w:tc>
      </w:tr>
      <w:tr>
        <w:tblPrEx>
          <w:tblCellMar>
            <w:top w:w="0" w:type="dxa"/>
            <w:left w:w="0" w:type="dxa"/>
            <w:bottom w:w="0" w:type="dxa"/>
            <w:right w:w="0" w:type="dxa"/>
          </w:tblCellMar>
        </w:tblPrEx>
        <w:trPr>
          <w:trHeight w:val="300" w:hRule="atLeast"/>
        </w:trPr>
        <w:tc>
          <w:tcPr>
            <w:tcW w:w="1008"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4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580"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罗山县图书馆</w:t>
            </w:r>
          </w:p>
        </w:tc>
        <w:tc>
          <w:tcPr>
            <w:tcW w:w="3105" w:type="dxa"/>
            <w:gridSpan w:val="3"/>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2022年度</w:t>
            </w:r>
          </w:p>
        </w:tc>
        <w:tc>
          <w:tcPr>
            <w:tcW w:w="3375" w:type="dxa"/>
            <w:gridSpan w:val="4"/>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67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837"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7"/>
                <w:rFonts w:hint="default"/>
                <w:sz w:val="20"/>
                <w:szCs w:val="20"/>
                <w:lang w:bidi="ar"/>
              </w:rPr>
              <w:t xml:space="preserve">   </w:t>
            </w:r>
            <w:r>
              <w:rPr>
                <w:rStyle w:val="8"/>
                <w:rFonts w:hint="default"/>
                <w:sz w:val="20"/>
                <w:szCs w:val="20"/>
                <w:lang w:bidi="ar"/>
              </w:rPr>
              <w:t>目</w:t>
            </w:r>
          </w:p>
        </w:tc>
        <w:tc>
          <w:tcPr>
            <w:tcW w:w="10151" w:type="dxa"/>
            <w:gridSpan w:val="9"/>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257" w:type="dxa"/>
            <w:gridSpan w:val="4"/>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5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105"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375" w:type="dxa"/>
            <w:gridSpan w:val="4"/>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671" w:type="dxa"/>
            <w:gridSpan w:val="2"/>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257" w:type="dxa"/>
            <w:gridSpan w:val="4"/>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105"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375" w:type="dxa"/>
            <w:gridSpan w:val="4"/>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671" w:type="dxa"/>
            <w:gridSpan w:val="2"/>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105"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375" w:type="dxa"/>
            <w:gridSpan w:val="4"/>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671" w:type="dxa"/>
            <w:gridSpan w:val="2"/>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837" w:type="dxa"/>
            <w:gridSpan w:val="6"/>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837" w:type="dxa"/>
            <w:gridSpan w:val="6"/>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172.57</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172.57</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b/>
                <w:bCs/>
                <w:color w:val="000000"/>
                <w:sz w:val="20"/>
                <w:szCs w:val="20"/>
                <w:lang w:val="en-US" w:eastAsia="zh-CN"/>
              </w:rPr>
            </w:pPr>
            <w:r>
              <w:rPr>
                <w:rFonts w:hint="eastAsia" w:ascii="宋体" w:hAnsi="宋体" w:cs="宋体"/>
                <w:color w:val="000000"/>
                <w:sz w:val="20"/>
                <w:szCs w:val="20"/>
                <w:lang w:val="en-US" w:eastAsia="zh-CN"/>
              </w:rPr>
              <w:t>201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一般公共服务支出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7.16</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bCs/>
                <w:color w:val="000000"/>
                <w:sz w:val="20"/>
                <w:szCs w:val="20"/>
                <w:lang w:val="en-US" w:eastAsia="zh-CN"/>
              </w:rPr>
            </w:pPr>
            <w:r>
              <w:rPr>
                <w:rFonts w:hint="eastAsia" w:ascii="宋体" w:hAnsi="宋体" w:cs="宋体"/>
                <w:color w:val="000000"/>
                <w:sz w:val="20"/>
                <w:szCs w:val="20"/>
                <w:lang w:val="en-US" w:eastAsia="zh-CN"/>
              </w:rPr>
              <w:t>20199</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color w:val="000000"/>
                <w:sz w:val="20"/>
                <w:szCs w:val="20"/>
                <w:lang w:eastAsia="zh-CN"/>
              </w:rPr>
              <w:t>其他一般公共服务支出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7.16</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7.16</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bCs/>
                <w:color w:val="000000"/>
                <w:sz w:val="20"/>
                <w:szCs w:val="20"/>
                <w:lang w:val="en-US" w:eastAsia="zh-CN"/>
              </w:rPr>
            </w:pPr>
            <w:r>
              <w:rPr>
                <w:rFonts w:hint="eastAsia" w:ascii="宋体" w:hAnsi="宋体" w:cs="宋体"/>
                <w:color w:val="000000"/>
                <w:sz w:val="20"/>
                <w:szCs w:val="20"/>
                <w:lang w:val="en-US" w:eastAsia="zh-CN"/>
              </w:rPr>
              <w:t>2019999</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color w:val="000000"/>
                <w:sz w:val="20"/>
                <w:szCs w:val="20"/>
                <w:lang w:eastAsia="zh-CN"/>
              </w:rPr>
              <w:t>其他一般公共服务支出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7.16</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华文中宋" w:hAnsi="华文中宋" w:eastAsia="华文中宋" w:cs="华文中宋"/>
                <w:color w:val="000000"/>
                <w:sz w:val="20"/>
                <w:szCs w:val="20"/>
                <w:lang w:val="en-US" w:eastAsia="zh-CN"/>
              </w:rPr>
              <w:t>7.16</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bCs/>
                <w:color w:val="000000"/>
                <w:sz w:val="20"/>
                <w:szCs w:val="20"/>
                <w:lang w:val="en-US" w:eastAsia="zh-CN"/>
              </w:rPr>
            </w:pPr>
            <w:r>
              <w:rPr>
                <w:rFonts w:hint="eastAsia" w:ascii="宋体" w:hAnsi="宋体" w:cs="宋体"/>
                <w:b/>
                <w:bCs/>
                <w:color w:val="000000"/>
                <w:sz w:val="20"/>
                <w:szCs w:val="20"/>
                <w:lang w:val="en-US" w:eastAsia="zh-CN"/>
              </w:rPr>
              <w:t>207</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164.45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164.45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20701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文化和旅游</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164.45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164.45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2070104</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图书馆</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164.45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164.45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208</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0.2</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0.2</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20805</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0.2</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0.2</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2080505</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机关事业单位养老保险缴费支出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0.2</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210</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0.75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0.75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21011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0.75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0.75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ascii="宋体" w:hAnsi="宋体" w:cs="宋体"/>
                <w:color w:val="000000"/>
                <w:sz w:val="20"/>
                <w:szCs w:val="20"/>
                <w:lang w:val="en-US" w:eastAsia="zh-CN"/>
              </w:rPr>
              <w:t>2101102</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事业单位医疗</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0.75</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宋体" w:hAnsi="宋体" w:cs="宋体"/>
                <w:color w:val="000000"/>
                <w:sz w:val="20"/>
                <w:szCs w:val="20"/>
                <w:lang w:val="en-US"/>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221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0.01</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0.01</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22102</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lang w:eastAsia="zh-CN"/>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0.01</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0.01</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5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2210201</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lang w:eastAsia="zh-CN"/>
              </w:rPr>
              <w:t>住房公积金</w:t>
            </w:r>
          </w:p>
        </w:tc>
        <w:tc>
          <w:tcPr>
            <w:tcW w:w="31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33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0.01</w:t>
            </w:r>
          </w:p>
        </w:tc>
        <w:tc>
          <w:tcPr>
            <w:tcW w:w="36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15"/>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987"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35" w:type="dxa"/>
            <w:gridSpan w:val="3"/>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09"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86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3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8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49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796"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987" w:type="dxa"/>
            <w:gridSpan w:val="2"/>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p>
        </w:tc>
        <w:tc>
          <w:tcPr>
            <w:tcW w:w="2235" w:type="dxa"/>
            <w:gridSpan w:val="3"/>
            <w:tcBorders>
              <w:top w:val="nil"/>
              <w:left w:val="nil"/>
              <w:bottom w:val="nil"/>
              <w:right w:val="nil"/>
            </w:tcBorders>
            <w:noWrap/>
            <w:tcMar>
              <w:top w:w="15" w:type="dxa"/>
              <w:left w:w="15" w:type="dxa"/>
              <w:right w:w="15" w:type="dxa"/>
            </w:tcMar>
            <w:vAlign w:val="center"/>
          </w:tcPr>
          <w:p>
            <w:pPr>
              <w:rPr>
                <w:rFonts w:hint="eastAsia" w:ascii="Arial" w:hAnsi="Arial" w:eastAsia="宋体" w:cs="Arial"/>
                <w:color w:val="000000"/>
                <w:sz w:val="20"/>
                <w:szCs w:val="20"/>
                <w:lang w:eastAsia="zh-CN"/>
              </w:rPr>
            </w:pPr>
            <w:r>
              <w:rPr>
                <w:rFonts w:hint="eastAsia" w:ascii="宋体" w:hAnsi="宋体" w:cs="宋体"/>
                <w:color w:val="000000"/>
                <w:kern w:val="0"/>
                <w:sz w:val="20"/>
                <w:szCs w:val="20"/>
                <w:lang w:eastAsia="zh-CN" w:bidi="ar"/>
              </w:rPr>
              <w:t>罗山县图书馆</w:t>
            </w:r>
          </w:p>
        </w:tc>
        <w:tc>
          <w:tcPr>
            <w:tcW w:w="1509"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1866"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宋体" w:hAnsi="宋体" w:cs="宋体"/>
                <w:color w:val="000000"/>
                <w:sz w:val="20"/>
                <w:szCs w:val="20"/>
                <w:lang w:val="en-US" w:eastAsia="zh-CN"/>
              </w:rPr>
              <w:t>2022年度</w:t>
            </w:r>
          </w:p>
        </w:tc>
        <w:tc>
          <w:tcPr>
            <w:tcW w:w="135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8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490"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1796"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987" w:type="dxa"/>
            <w:gridSpan w:val="2"/>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235"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509"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1866"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5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8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490"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796"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83.72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9.09</w:t>
            </w: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21.13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0.99</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987"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2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222" w:type="dxa"/>
            <w:gridSpan w:val="5"/>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186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24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1796"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222" w:type="dxa"/>
            <w:gridSpan w:val="5"/>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150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149.81</w:t>
            </w:r>
          </w:p>
        </w:tc>
        <w:tc>
          <w:tcPr>
            <w:tcW w:w="7461" w:type="dxa"/>
            <w:gridSpan w:val="7"/>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公用经费合计</w:t>
            </w:r>
          </w:p>
        </w:tc>
        <w:tc>
          <w:tcPr>
            <w:tcW w:w="1796"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22.76</w:t>
            </w:r>
          </w:p>
        </w:tc>
      </w:tr>
      <w:tr>
        <w:tblPrEx>
          <w:tblCellMar>
            <w:top w:w="0" w:type="dxa"/>
            <w:left w:w="0" w:type="dxa"/>
            <w:bottom w:w="0" w:type="dxa"/>
            <w:right w:w="0" w:type="dxa"/>
          </w:tblCellMar>
        </w:tblPrEx>
        <w:trPr>
          <w:trHeight w:val="390"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299"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罗山县图书馆</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2022年度</w:t>
            </w: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0.99</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0.99</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9"/>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14018" w:type="dxa"/>
        <w:tblInd w:w="0" w:type="dxa"/>
        <w:tblLayout w:type="fixed"/>
        <w:tblCellMar>
          <w:top w:w="0" w:type="dxa"/>
          <w:left w:w="0" w:type="dxa"/>
          <w:bottom w:w="0" w:type="dxa"/>
          <w:right w:w="0" w:type="dxa"/>
        </w:tblCellMar>
      </w:tblPr>
      <w:tblGrid>
        <w:gridCol w:w="612"/>
        <w:gridCol w:w="516"/>
        <w:gridCol w:w="20"/>
        <w:gridCol w:w="30"/>
        <w:gridCol w:w="2074"/>
        <w:gridCol w:w="1128"/>
        <w:gridCol w:w="102"/>
        <w:gridCol w:w="1770"/>
        <w:gridCol w:w="54"/>
        <w:gridCol w:w="1746"/>
        <w:gridCol w:w="180"/>
        <w:gridCol w:w="1897"/>
        <w:gridCol w:w="30"/>
        <w:gridCol w:w="1896"/>
        <w:gridCol w:w="30"/>
        <w:gridCol w:w="1742"/>
        <w:gridCol w:w="191"/>
      </w:tblGrid>
      <w:tr>
        <w:tblPrEx>
          <w:tblCellMar>
            <w:top w:w="0" w:type="dxa"/>
            <w:left w:w="0" w:type="dxa"/>
            <w:bottom w:w="0" w:type="dxa"/>
            <w:right w:w="0" w:type="dxa"/>
          </w:tblCellMar>
        </w:tblPrEx>
        <w:trPr>
          <w:gridAfter w:val="1"/>
          <w:wAfter w:w="191" w:type="dxa"/>
          <w:trHeight w:val="600" w:hRule="atLeast"/>
        </w:trPr>
        <w:tc>
          <w:tcPr>
            <w:tcW w:w="13827" w:type="dxa"/>
            <w:gridSpan w:val="1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gridAfter w:val="1"/>
          <w:wAfter w:w="191"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3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7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80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7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772"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202"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eastAsia="zh-CN" w:bidi="ar"/>
              </w:rPr>
              <w:t>罗山县图书馆</w:t>
            </w:r>
          </w:p>
        </w:tc>
        <w:tc>
          <w:tcPr>
            <w:tcW w:w="1926" w:type="dxa"/>
            <w:gridSpan w:val="3"/>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2022年度</w:t>
            </w:r>
            <w:bookmarkStart w:id="0" w:name="_GoBack"/>
            <w:bookmarkEnd w:id="0"/>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191" w:type="dxa"/>
          <w:trHeight w:val="405" w:hRule="atLeast"/>
        </w:trPr>
        <w:tc>
          <w:tcPr>
            <w:tcW w:w="3252" w:type="dxa"/>
            <w:gridSpan w:val="5"/>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30" w:type="dxa"/>
            <w:gridSpan w:val="2"/>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770"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803"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772"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gridAfter w:val="1"/>
          <w:wAfter w:w="191" w:type="dxa"/>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10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30"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800"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207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772"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30"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80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7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2"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312"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30" w:type="dxa"/>
            <w:gridSpan w:val="2"/>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80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07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772"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3252"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lang w:val="en-US" w:eastAsia="zh-CN"/>
              </w:rPr>
            </w:pPr>
          </w:p>
        </w:tc>
        <w:tc>
          <w:tcPr>
            <w:tcW w:w="2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eastAsia="zh-CN"/>
              </w:rPr>
            </w:pPr>
          </w:p>
        </w:tc>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c>
          <w:tcPr>
            <w:tcW w:w="18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cs="宋体"/>
                <w:color w:val="000000"/>
                <w:sz w:val="20"/>
                <w:szCs w:val="20"/>
                <w:lang w:val="en-US" w:eastAsia="zh-CN"/>
              </w:rPr>
            </w:pPr>
          </w:p>
        </w:tc>
        <w:tc>
          <w:tcPr>
            <w:tcW w:w="1772"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91" w:type="dxa"/>
          <w:trHeight w:val="645" w:hRule="atLeast"/>
        </w:trPr>
        <w:tc>
          <w:tcPr>
            <w:tcW w:w="13827"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both"/>
              <w:textAlignment w:val="center"/>
              <w:rPr>
                <w:rFonts w:hint="eastAsia" w:ascii="宋体" w:hAnsi="宋体" w:cs="宋体"/>
                <w:color w:val="000000"/>
                <w:sz w:val="20"/>
                <w:szCs w:val="20"/>
              </w:rPr>
            </w:pP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eastAsia="zh-CN"/>
        </w:rPr>
        <w:t>三</w:t>
      </w:r>
      <w:r>
        <w:rPr>
          <w:rFonts w:hint="eastAsia" w:ascii="黑体" w:hAnsi="黑体" w:eastAsia="黑体" w:cs="黑体"/>
          <w:sz w:val="48"/>
          <w:szCs w:val="48"/>
        </w:rPr>
        <w:t>部分 202</w:t>
      </w:r>
      <w:r>
        <w:rPr>
          <w:rFonts w:hint="eastAsia" w:ascii="黑体" w:hAnsi="黑体" w:eastAsia="黑体" w:cs="黑体"/>
          <w:sz w:val="48"/>
          <w:szCs w:val="48"/>
          <w:lang w:val="en-US" w:eastAsia="zh-CN"/>
        </w:rPr>
        <w:t>2</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footerReference r:id="rId5" w:type="default"/>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万元。与上年度相比，收、支总计各</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4.73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2022年局拨经费减少</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万元。与上年度相比，财政拨款收、支总计各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6.44</w:t>
      </w:r>
      <w:r>
        <w:rPr>
          <w:rFonts w:hint="eastAsia" w:ascii="仿宋_GB2312" w:hAnsi="仿宋_GB2312" w:eastAsia="仿宋_GB2312" w:cs="仿宋_GB2312"/>
          <w:sz w:val="32"/>
          <w:szCs w:val="32"/>
        </w:rPr>
        <w:t>%。主要原因是主要原因是</w:t>
      </w:r>
      <w:r>
        <w:rPr>
          <w:rFonts w:hint="eastAsia" w:ascii="仿宋_GB2312" w:hAnsi="仿宋_GB2312" w:eastAsia="仿宋_GB2312" w:cs="仿宋_GB2312"/>
          <w:sz w:val="32"/>
          <w:szCs w:val="32"/>
          <w:lang w:eastAsia="zh-CN"/>
        </w:rPr>
        <w:t>增加招聘人员和</w:t>
      </w:r>
      <w:r>
        <w:rPr>
          <w:rFonts w:hint="eastAsia" w:ascii="仿宋_GB2312" w:hAnsi="仿宋_GB2312" w:eastAsia="仿宋_GB2312" w:cs="仿宋_GB2312"/>
          <w:sz w:val="32"/>
          <w:szCs w:val="32"/>
          <w:lang w:val="en-US" w:eastAsia="zh-CN"/>
        </w:rPr>
        <w:t>人员工资增加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%。与上年度相比，一般公共预算财政拨款支出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6.44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增加招聘人员和</w:t>
      </w:r>
      <w:r>
        <w:rPr>
          <w:rFonts w:hint="eastAsia" w:ascii="仿宋_GB2312" w:hAnsi="仿宋_GB2312" w:eastAsia="仿宋_GB2312" w:cs="仿宋_GB2312"/>
          <w:sz w:val="32"/>
          <w:szCs w:val="32"/>
          <w:lang w:val="en-US" w:eastAsia="zh-CN"/>
        </w:rPr>
        <w:t>人员工资增加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7.16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164.45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0.75万元，占0.44%；住房保障</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支出0.01万元，占0.01%</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一般公共服务（类）其他一般公共服务支出（款）其他一般公共服务支出（项）。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numPr>
          <w:ilvl w:val="0"/>
          <w:numId w:val="0"/>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文化旅游体育与传媒支出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文化和旅游</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图书馆</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164.451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164.45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numPr>
          <w:ilvl w:val="0"/>
          <w:numId w:val="0"/>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行政事业单位养老支出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机关事业单位养老保险缴费支出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lang w:val="en-US"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事业单位医疗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sz w:val="32"/>
          <w:szCs w:val="32"/>
          <w:lang w:val="en-US" w:eastAsia="zh-CN"/>
        </w:rPr>
        <w:t>住房保障支出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住房改革支出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住房公积金</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172.57</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149.81</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22.76</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年度“三公”经费财政拨款支出预算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年度“三公”经费支出决算数与预算数存在差异的主要原因是</w:t>
      </w:r>
      <w:r>
        <w:rPr>
          <w:rFonts w:hint="eastAsia" w:ascii="仿宋_GB2312" w:hAnsi="仿宋_GB2312" w:eastAsia="仿宋_GB2312" w:cs="仿宋_GB2312"/>
          <w:sz w:val="32"/>
          <w:szCs w:val="32"/>
          <w:lang w:eastAsia="zh-CN"/>
        </w:rPr>
        <w:t>严格按照中央八项规定要求，厉行节约，严格控制缩减招待费</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量。</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lang w:eastAsia="zh-CN"/>
        </w:rPr>
        <w:t>年初预算为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0.99</w:t>
      </w:r>
      <w:r>
        <w:rPr>
          <w:rFonts w:hint="eastAsia" w:ascii="仿宋_GB2312" w:hAnsi="仿宋_GB2312" w:eastAsia="仿宋_GB2312" w:cs="仿宋_GB2312"/>
          <w:sz w:val="32"/>
          <w:szCs w:val="32"/>
          <w:lang w:eastAsia="zh-CN"/>
        </w:rPr>
        <w:t>万元，完成年初预算的</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lang w:eastAsia="zh-CN"/>
        </w:rPr>
        <w:t>%。决算数与年初预算数存在差异的主要原因是严格按照中央八项规定要求，厉行节约，严格控制招待费。其中：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0.99</w:t>
      </w:r>
      <w:r>
        <w:rPr>
          <w:rFonts w:hint="eastAsia" w:ascii="仿宋_GB2312" w:hAnsi="仿宋_GB2312" w:eastAsia="仿宋_GB2312" w:cs="仿宋_GB2312"/>
          <w:sz w:val="32"/>
          <w:szCs w:val="32"/>
          <w:lang w:eastAsia="zh-CN"/>
        </w:rPr>
        <w:t>万元。主要用于日常公务、文化活动、检查接待。202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年共接待国内来访团组</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lang w:eastAsia="zh-CN"/>
        </w:rPr>
        <w:t>个、来宾</w:t>
      </w:r>
      <w:r>
        <w:rPr>
          <w:rFonts w:hint="eastAsia" w:ascii="仿宋_GB2312" w:hAnsi="仿宋_GB2312" w:eastAsia="仿宋_GB2312" w:cs="仿宋_GB2312"/>
          <w:sz w:val="32"/>
          <w:szCs w:val="32"/>
          <w:lang w:val="en-US" w:eastAsia="zh-CN"/>
        </w:rPr>
        <w:t>680</w:t>
      </w:r>
      <w:r>
        <w:rPr>
          <w:rFonts w:hint="eastAsia" w:ascii="仿宋_GB2312" w:hAnsi="仿宋_GB2312" w:eastAsia="仿宋_GB2312" w:cs="仿宋_GB2312"/>
          <w:sz w:val="32"/>
          <w:szCs w:val="32"/>
          <w:lang w:eastAsia="zh-CN"/>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2022年度政府性基金预算财政拨款支出年初预算为0万元，支出决算为0万元，</w:t>
      </w:r>
      <w:r>
        <w:rPr>
          <w:rFonts w:hint="default" w:ascii="仿宋_GB2312" w:hAnsi="仿宋_GB2312" w:eastAsia="仿宋_GB2312" w:cs="仿宋_GB2312"/>
          <w:sz w:val="32"/>
          <w:szCs w:val="32"/>
          <w:lang w:val="en-US" w:eastAsia="zh-CN"/>
        </w:rPr>
        <w:t>决算数</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年初预算数</w:t>
      </w:r>
      <w:r>
        <w:rPr>
          <w:rFonts w:hint="eastAsia" w:ascii="仿宋_GB2312" w:hAnsi="仿宋_GB2312" w:eastAsia="仿宋_GB2312" w:cs="仿宋_GB2312"/>
          <w:sz w:val="32"/>
          <w:szCs w:val="32"/>
          <w:lang w:val="en-US" w:eastAsia="zh-CN"/>
        </w:rPr>
        <w:t>不存在差异，我部门没有政府性基金收入，也没有使用政府性基金安排的支出。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2022年度单位运行经费年初预算为22.76万元，支出决算为22.76万元，完成年初预算的100%。决算数与年初预算数不存在差异。</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政府采购支出总额4.19万元，其中：政府采购货物支出4.19万元、政府采购工程支出0万元、政府采购服务支出0万元。授予中小企业合同金额4.19万元，占政府采购支出总额的100%，其中：授予小微企业合同金额4.19万元，占政府采购支出总额的100%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2022年，我部门（单位）纳入预算绩效管理的支出总额为172.57万元，其中人员经费支出149.81万元，公用经费支出22.76万元；</w:t>
      </w:r>
      <w:r>
        <w:rPr>
          <w:rFonts w:hint="eastAsia" w:ascii="仿宋_GB2312" w:hAnsi="仿宋_GB2312" w:eastAsia="仿宋_GB2312" w:cs="仿宋_GB2312"/>
          <w:sz w:val="32"/>
          <w:szCs w:val="32"/>
        </w:rPr>
        <w:t>支出项目共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个，支出金额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万元。其中，进行项目绩效自评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个，自评金额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万元；纳入重点绩效评价（部门评价或财政评价）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个，评价金额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严格按照上级项目自评要求进行了财政资金项目自评，2022年目标预算绩效均已完成，部门整体绩效自评为良好。</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kern w:val="2"/>
          <w:sz w:val="32"/>
          <w:szCs w:val="32"/>
          <w:lang w:val="en-US" w:eastAsia="zh-CN" w:bidi="ar-SA"/>
        </w:rPr>
        <w:t>重点绩效评价结果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sectPr>
          <w:pgSz w:w="11906" w:h="16838"/>
          <w:pgMar w:top="1440" w:right="1800" w:bottom="1440" w:left="1800" w:header="720" w:footer="720" w:gutter="0"/>
          <w:pgNumType w:fmt="numberInDash"/>
          <w:cols w:space="720" w:num="1"/>
          <w:docGrid w:type="lines" w:linePitch="312" w:charSpace="0"/>
        </w:sectPr>
      </w:pPr>
      <w:r>
        <w:rPr>
          <w:rFonts w:hint="eastAsia" w:ascii="仿宋" w:hAnsi="仿宋" w:eastAsia="仿宋" w:cs="仿宋"/>
          <w:color w:val="000000"/>
          <w:sz w:val="32"/>
          <w:szCs w:val="32"/>
          <w:shd w:val="clear" w:color="auto" w:fill="FFFFFF"/>
          <w:lang w:val="en-US" w:eastAsia="zh-CN"/>
        </w:rPr>
        <w:t>2</w:t>
      </w:r>
      <w:r>
        <w:rPr>
          <w:rFonts w:hint="eastAsia" w:ascii="仿宋_GB2312" w:hAnsi="仿宋_GB2312" w:eastAsia="仿宋_GB2312" w:cs="仿宋_GB2312"/>
          <w:kern w:val="2"/>
          <w:sz w:val="32"/>
          <w:szCs w:val="32"/>
          <w:lang w:val="en-US" w:eastAsia="zh-CN" w:bidi="ar-SA"/>
        </w:rPr>
        <w:t>022年罗山县图书馆没有重点项目。</w:t>
      </w: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48"/>
          <w:szCs w:val="48"/>
        </w:rPr>
        <w:t>第</w:t>
      </w:r>
      <w:r>
        <w:rPr>
          <w:rFonts w:hint="eastAsia" w:ascii="黑体" w:hAnsi="黑体" w:eastAsia="黑体" w:cs="黑体"/>
          <w:sz w:val="48"/>
          <w:szCs w:val="48"/>
          <w:lang w:eastAsia="zh-CN"/>
        </w:rPr>
        <w:t>四</w:t>
      </w:r>
      <w:r>
        <w:rPr>
          <w:rFonts w:hint="eastAsia" w:ascii="黑体" w:hAnsi="黑体" w:eastAsia="黑体" w:cs="黑体"/>
          <w:sz w:val="48"/>
          <w:szCs w:val="48"/>
        </w:rPr>
        <w:t>部分  名词解释</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YmYyNmVjZDlhNzhhZTU0MmQ0OGM2MTM2N2RmYWIifQ=="/>
  </w:docVars>
  <w:rsids>
    <w:rsidRoot w:val="38193761"/>
    <w:rsid w:val="067C6D90"/>
    <w:rsid w:val="18C85649"/>
    <w:rsid w:val="26F60F6A"/>
    <w:rsid w:val="351E5E1D"/>
    <w:rsid w:val="38193761"/>
    <w:rsid w:val="3C1C6CCF"/>
    <w:rsid w:val="464E5098"/>
    <w:rsid w:val="5119144D"/>
    <w:rsid w:val="581A4428"/>
    <w:rsid w:val="588C11F8"/>
    <w:rsid w:val="5C837D67"/>
    <w:rsid w:val="60D313F5"/>
    <w:rsid w:val="62FB30A8"/>
    <w:rsid w:val="641E432D"/>
    <w:rsid w:val="64531D65"/>
    <w:rsid w:val="68872950"/>
    <w:rsid w:val="69ED0FAE"/>
    <w:rsid w:val="6BE423F0"/>
    <w:rsid w:val="6CEA502F"/>
    <w:rsid w:val="6DD2046C"/>
    <w:rsid w:val="78114577"/>
    <w:rsid w:val="795D3D1D"/>
    <w:rsid w:val="7ACA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font11"/>
    <w:qFormat/>
    <w:uiPriority w:val="0"/>
    <w:rPr>
      <w:rFonts w:hint="eastAsia" w:ascii="宋体" w:hAnsi="宋体" w:eastAsia="宋体" w:cs="宋体"/>
      <w:color w:val="000000"/>
      <w:sz w:val="20"/>
      <w:szCs w:val="20"/>
      <w:u w:val="none"/>
    </w:rPr>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51"/>
    <w:qFormat/>
    <w:uiPriority w:val="0"/>
    <w:rPr>
      <w:rFonts w:hint="eastAsia" w:ascii="宋体" w:hAnsi="宋体" w:eastAsia="宋体" w:cs="宋体"/>
      <w:color w:val="000000"/>
      <w:sz w:val="24"/>
      <w:szCs w:val="24"/>
      <w:u w:val="none"/>
    </w:rPr>
  </w:style>
  <w:style w:type="character" w:customStyle="1" w:styleId="9">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2023-09-13T01:02:00Z</dcterms:created>
  <dc:creator>春天的故事</dc:creator>
  <cp:lastModifiedBy>春天的故事</cp:lastModifiedBy>
  <dcterms:modified xsi:type="dcterms:W3CDTF">2023-09-20T10:22:21Z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924126E0D3914D21A672ACBA4DDFBF3D_11</vt:lpwstr>
  </property>
</Properties>
</file>