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ind w:firstLine="643" w:firstLineChars="200"/>
        <w:jc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年罗山县中心苗圃部门预算公开</w:t>
      </w:r>
    </w:p>
    <w:p>
      <w:pPr>
        <w:widowControl/>
        <w:shd w:val="clear" w:color="auto" w:fill="FFFFFF"/>
        <w:spacing w:before="300" w:line="240" w:lineRule="atLeast"/>
        <w:ind w:firstLine="640" w:firstLineChars="200"/>
        <w:jc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240" w:lineRule="atLeast"/>
        <w:ind w:firstLine="643" w:firstLineChars="200"/>
        <w:jc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 录</w:t>
      </w:r>
    </w:p>
    <w:p>
      <w:pPr>
        <w:widowControl/>
        <w:shd w:val="clear" w:color="auto" w:fill="FFFFFF"/>
        <w:spacing w:line="240" w:lineRule="atLeast"/>
        <w:jc w:val="left"/>
        <w:rPr>
          <w:rStyle w:val="8"/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第一部分 罗山县中心苗圃概况 </w:t>
      </w:r>
    </w:p>
    <w:p>
      <w:pPr>
        <w:numPr>
          <w:ilvl w:val="0"/>
          <w:numId w:val="1"/>
        </w:numPr>
        <w:ind w:left="958" w:leftChars="304" w:hanging="320" w:hangingChars="100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主要职能</w:t>
      </w:r>
    </w:p>
    <w:p>
      <w:pPr>
        <w:numPr>
          <w:ilvl w:val="0"/>
          <w:numId w:val="1"/>
        </w:numPr>
        <w:ind w:left="958" w:leftChars="304" w:hanging="320" w:hangingChars="100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部门预算构成</w:t>
      </w:r>
    </w:p>
    <w:p>
      <w:pPr>
        <w:pStyle w:val="2"/>
        <w:numPr>
          <w:ilvl w:val="0"/>
          <w:numId w:val="2"/>
        </w:numPr>
        <w:rPr>
          <w:rStyle w:val="8"/>
          <w:rFonts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罗山县中心苗圃202</w:t>
      </w:r>
      <w:r>
        <w:rPr>
          <w:rStyle w:val="8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年度部门预算情况说明 </w:t>
      </w:r>
      <w:r>
        <w:rPr>
          <w:rFonts w:hint="eastAsia" w:ascii="宋体" w:hAnsi="宋体" w:eastAsia="宋体" w:cs="宋体"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第三部分 名词解释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附件：罗山县中心苗圃202</w:t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年度部门预算表</w:t>
      </w:r>
    </w:p>
    <w:p>
      <w:pPr>
        <w:ind w:left="638" w:leftChars="304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一、部门收支预算表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二、部门收入预算表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三、部门支出预算表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四、财政拨款收支预算表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五、一般公共预算支出预算表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六、一般公共预算基本支出预算表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七、支出经济分类汇总表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八、一般公共预算“三公”经费预算表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九、政府性基金支出预算表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十、项目支出预算表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十一、部门整体绩效目标表</w:t>
      </w:r>
    </w:p>
    <w:p>
      <w:pPr>
        <w:autoSpaceDE w:val="0"/>
        <w:autoSpaceDN w:val="0"/>
        <w:spacing w:line="240" w:lineRule="atLeast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十二、部门预算项目绩效目标表</w:t>
      </w:r>
    </w:p>
    <w:p>
      <w:pPr>
        <w:widowControl/>
        <w:spacing w:before="300" w:line="240" w:lineRule="atLeast"/>
        <w:ind w:firstLine="643" w:firstLineChars="200"/>
        <w:jc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罗山县中心苗圃概况</w:t>
      </w:r>
    </w:p>
    <w:p>
      <w:pPr>
        <w:spacing w:line="240" w:lineRule="atLeast"/>
        <w:ind w:firstLine="640" w:firstLineChars="200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一、罗山县中心苗圃主要职责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1、为管理国有苗圃，促进林业发展服务。</w:t>
      </w:r>
    </w:p>
    <w:p>
      <w:pPr>
        <w:spacing w:line="240" w:lineRule="atLeast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2、国有苗圃规划计划编制。</w:t>
      </w:r>
    </w:p>
    <w:p>
      <w:pPr>
        <w:spacing w:line="240" w:lineRule="atLeast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3、林木种苗生产与供应，林木良种选育与技术推广，林木种苗调剂，林业信息服务，林木种苗产品质量检验与执法监督。</w:t>
      </w:r>
    </w:p>
    <w:p>
      <w:pPr>
        <w:spacing w:line="240" w:lineRule="atLeast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4、完成县委、县政府交办的其他任务。</w:t>
      </w:r>
    </w:p>
    <w:p>
      <w:pPr>
        <w:spacing w:line="240" w:lineRule="atLeast"/>
        <w:ind w:firstLine="640" w:firstLineChars="200"/>
        <w:jc w:val="center"/>
        <w:rPr>
          <w:rFonts w:ascii="宋体" w:hAnsi="宋体" w:eastAsia="宋体" w:cs="宋体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年度中心苗圃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预算公开编制</w:t>
      </w:r>
    </w:p>
    <w:p>
      <w:pPr>
        <w:widowControl/>
        <w:shd w:val="clear" w:color="auto" w:fill="FFFFFF"/>
        <w:spacing w:line="240" w:lineRule="atLeast"/>
        <w:ind w:firstLine="643" w:firstLineChars="200"/>
        <w:jc w:val="center"/>
        <w:rPr>
          <w:rStyle w:val="8"/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240" w:lineRule="atLeast"/>
        <w:ind w:firstLine="643" w:firstLineChars="200"/>
        <w:jc w:val="center"/>
        <w:rPr>
          <w:rStyle w:val="8"/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第二部分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罗山县中心苗圃202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年度部门预算情况说明</w:t>
      </w:r>
    </w:p>
    <w:p>
      <w:pPr>
        <w:widowControl/>
        <w:shd w:val="clear" w:color="auto" w:fill="FFFFFF"/>
        <w:spacing w:line="240" w:lineRule="atLeast"/>
        <w:ind w:firstLine="643" w:firstLineChars="200"/>
        <w:jc w:val="center"/>
        <w:rPr>
          <w:rStyle w:val="8"/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240" w:lineRule="atLeast"/>
        <w:jc w:val="left"/>
        <w:rPr>
          <w:rStyle w:val="8"/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一、收入支出预算总体情况说明</w:t>
      </w:r>
    </w:p>
    <w:p>
      <w:pPr>
        <w:shd w:val="clear" w:color="auto" w:fill="FFFFFF"/>
        <w:spacing w:line="240" w:lineRule="atLeast"/>
        <w:ind w:firstLine="640" w:firstLineChars="200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罗山县中心苗圃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年收入、支出预算总计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37.10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万元。预算收入与202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收入、支出总计无差异。</w:t>
      </w:r>
    </w:p>
    <w:p>
      <w:pPr>
        <w:shd w:val="clear" w:color="auto" w:fill="FFFFFF"/>
        <w:spacing w:line="240" w:lineRule="atLeast"/>
        <w:ind w:left="630" w:right="640" w:hanging="630" w:hangingChars="196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二、收入预算总体情况说明</w:t>
      </w:r>
    </w:p>
    <w:p>
      <w:pPr>
        <w:shd w:val="clear" w:color="auto" w:fill="FFFFFF"/>
        <w:spacing w:line="240" w:lineRule="atLeast"/>
        <w:ind w:right="640" w:firstLine="640" w:firstLineChars="200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年收入合计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37.10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万元，其中：一般公共预算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37.10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万元; 政府性基金收入0万元；专户管理的教育收费0万元。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年支出合计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37.10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37.10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100%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；项目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四、财政拨款收入支出预算总体情况说明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年一般公共预算收支预算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37.10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万元，政府性基金收支预算0万元，与202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</w:p>
    <w:p>
      <w:pPr>
        <w:shd w:val="clear" w:color="auto" w:fill="FFFFFF"/>
        <w:spacing w:line="240" w:lineRule="atLeast"/>
        <w:jc w:val="left"/>
        <w:rPr>
          <w:rStyle w:val="8"/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五、一般公共预算支出预算情况说明</w:t>
      </w:r>
      <w:bookmarkStart w:id="0" w:name="_GoBack"/>
      <w:bookmarkEnd w:id="0"/>
    </w:p>
    <w:p>
      <w:pPr>
        <w:shd w:val="clear" w:color="auto" w:fill="FFFFFF"/>
        <w:spacing w:line="24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b w:val="0"/>
          <w:bCs/>
          <w:kern w:val="0"/>
          <w:sz w:val="32"/>
          <w:szCs w:val="32"/>
          <w:shd w:val="clear" w:color="auto" w:fill="FFFFFF"/>
        </w:rPr>
        <w:t>中心苗圃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年一般公共预算支出年初预算为37.10万元，主要用于人员工资福利支出。</w:t>
      </w:r>
    </w:p>
    <w:p>
      <w:pPr>
        <w:shd w:val="clear" w:color="auto" w:fill="FFFFFF"/>
        <w:spacing w:line="240" w:lineRule="atLeast"/>
        <w:jc w:val="left"/>
        <w:rPr>
          <w:rStyle w:val="8"/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六、一般公共预算基本支出预算情况说明</w:t>
      </w:r>
    </w:p>
    <w:p>
      <w:pPr>
        <w:autoSpaceDE w:val="0"/>
        <w:autoSpaceDN w:val="0"/>
        <w:spacing w:line="640" w:lineRule="exact"/>
        <w:ind w:left="60" w:firstLine="640" w:firstLineChars="200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年一般公共预算基本支出37.10万元，其中：人员经费32.58万元，</w:t>
      </w:r>
      <w:r>
        <w:rPr>
          <w:rFonts w:hint="eastAsia" w:ascii="宋体" w:hAnsi="宋体" w:eastAsia="宋体" w:cs="宋体"/>
          <w:sz w:val="32"/>
          <w:szCs w:val="32"/>
        </w:rPr>
        <w:t>占87.82%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主要包括：基本工资、津贴补贴、奖金、社会保障缴费、绩效工资、离休费、退休费、遗属补助、住房公积金等；公用经费4.52万元，</w:t>
      </w:r>
      <w:r>
        <w:rPr>
          <w:rFonts w:hint="eastAsia" w:ascii="宋体" w:hAnsi="宋体" w:eastAsia="宋体" w:cs="宋体"/>
          <w:sz w:val="32"/>
          <w:szCs w:val="32"/>
        </w:rPr>
        <w:t>占12.18%，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七、 “三公”经费支出预算情况说明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年“三公”经费预算为0万元,与202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年“三公”经费支出预算数相同，没有增减。</w:t>
      </w:r>
    </w:p>
    <w:p>
      <w:pPr>
        <w:shd w:val="clear" w:color="auto" w:fill="FFFFFF"/>
        <w:spacing w:line="240" w:lineRule="atLeast"/>
        <w:ind w:left="640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3"/>
        </w:numPr>
        <w:shd w:val="clear" w:color="auto" w:fill="FFFFFF"/>
        <w:spacing w:line="240" w:lineRule="atLeast"/>
        <w:ind w:firstLineChars="0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政府性基金预算支出预算情况说明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年无使用政府性基金预算拨款安排的支出。</w:t>
      </w:r>
    </w:p>
    <w:p>
      <w:pPr>
        <w:pStyle w:val="11"/>
        <w:numPr>
          <w:ilvl w:val="0"/>
          <w:numId w:val="3"/>
        </w:numPr>
        <w:shd w:val="clear" w:color="auto" w:fill="FFFFFF"/>
        <w:spacing w:line="240" w:lineRule="atLeast"/>
        <w:ind w:firstLineChars="0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其他重要事项情况说明</w:t>
      </w:r>
    </w:p>
    <w:p>
      <w:pPr>
        <w:pStyle w:val="11"/>
        <w:numPr>
          <w:ilvl w:val="0"/>
          <w:numId w:val="4"/>
        </w:numPr>
        <w:shd w:val="clear" w:color="auto" w:fill="FFFFFF"/>
        <w:spacing w:line="240" w:lineRule="atLeast"/>
        <w:ind w:firstLineChars="0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运行经费支出情况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年运行经费支出预算37.10万元， 要</w:t>
      </w:r>
    </w:p>
    <w:p>
      <w:pPr>
        <w:shd w:val="clear" w:color="auto" w:fill="FFFFFF"/>
        <w:spacing w:line="240" w:lineRule="atLeas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保障机构正常运转及正常履职需要，完成预算年度主要工作任务需要。</w:t>
      </w:r>
    </w:p>
    <w:p>
      <w:pPr>
        <w:shd w:val="clear" w:color="auto" w:fill="FFFFFF"/>
        <w:spacing w:line="240" w:lineRule="atLeast"/>
        <w:ind w:left="1108" w:hanging="1108" w:hangingChars="345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（二）政府采购支出情况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罗山县中心苗圃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年政府采购预算支出0万元</w:t>
      </w:r>
    </w:p>
    <w:p>
      <w:pPr>
        <w:shd w:val="clear" w:color="auto" w:fill="FFFFFF"/>
        <w:spacing w:line="240" w:lineRule="atLeast"/>
        <w:ind w:left="1076" w:leftChars="61" w:hanging="948" w:hangingChars="295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（三）效目标设置情况</w:t>
      </w:r>
    </w:p>
    <w:p>
      <w:pPr>
        <w:shd w:val="clear" w:color="auto" w:fill="FFFFFF"/>
        <w:spacing w:line="240" w:lineRule="atLeast"/>
        <w:ind w:firstLine="1120" w:firstLineChars="350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罗山县中心苗圃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pStyle w:val="11"/>
        <w:shd w:val="clear" w:color="auto" w:fill="FFFFFF"/>
        <w:spacing w:line="240" w:lineRule="atLeast"/>
        <w:ind w:left="1500" w:firstLine="0" w:firstLineChars="0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40" w:lineRule="exact"/>
        <w:ind w:left="358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autoSpaceDE w:val="0"/>
        <w:autoSpaceDN w:val="0"/>
        <w:spacing w:line="640" w:lineRule="exact"/>
        <w:ind w:left="358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名词解释</w:t>
      </w:r>
    </w:p>
    <w:p>
      <w:pPr>
        <w:autoSpaceDE w:val="0"/>
        <w:autoSpaceDN w:val="0"/>
        <w:spacing w:line="620" w:lineRule="exact"/>
        <w:ind w:left="7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一、财政拨款收入：是指省级财政当年拨付的资金；包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括一般公共预算拨款、政府性基金预算拨款、国有资本经营预算拨款。</w:t>
      </w:r>
    </w:p>
    <w:p>
      <w:pPr>
        <w:autoSpaceDE w:val="0"/>
        <w:autoSpaceDN w:val="0"/>
        <w:spacing w:line="620" w:lineRule="exact"/>
        <w:ind w:left="7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二、财政专户管理资金：是指缴入财政专户、实行专项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管理的高中以上学费、住宿费、高校委托培养费、函大、电大、夜大及短训班培训费等教育收费。</w:t>
      </w:r>
    </w:p>
    <w:p>
      <w:pPr>
        <w:autoSpaceDE w:val="0"/>
        <w:autoSpaceDN w:val="0"/>
        <w:spacing w:line="620" w:lineRule="exact"/>
        <w:ind w:left="7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三、事业收入：是指事业单位开展专业活动及辅助活动</w:t>
      </w:r>
    </w:p>
    <w:p>
      <w:pPr>
        <w:autoSpaceDE w:val="0"/>
        <w:autoSpaceDN w:val="0"/>
        <w:spacing w:line="64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所取得的收入，不包括教育收费。</w:t>
      </w:r>
    </w:p>
    <w:p>
      <w:pPr>
        <w:autoSpaceDE w:val="0"/>
        <w:autoSpaceDN w:val="0"/>
        <w:spacing w:line="620" w:lineRule="exact"/>
        <w:ind w:left="7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四、事业单位经营收入：是指事业单位在专业业务活动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及其辅助活动之外开展非独立核算经营活动取得的收入。</w:t>
      </w:r>
    </w:p>
    <w:p>
      <w:pPr>
        <w:autoSpaceDE w:val="0"/>
        <w:autoSpaceDN w:val="0"/>
        <w:spacing w:line="620" w:lineRule="exact"/>
        <w:ind w:left="7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五、其他收入：是指部门取得的除“财政拨款”、“事业收入”、“事业单位经营收入”等以外的收入。</w:t>
      </w:r>
    </w:p>
    <w:p>
      <w:pPr>
        <w:autoSpaceDE w:val="0"/>
        <w:autoSpaceDN w:val="0"/>
        <w:spacing w:line="620" w:lineRule="exact"/>
        <w:ind w:left="7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六、用事业基金弥补收支差额：是指事业单位在当年的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autoSpaceDE w:val="0"/>
        <w:autoSpaceDN w:val="0"/>
        <w:spacing w:line="620" w:lineRule="exact"/>
        <w:ind w:left="72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七、基本支出：是指为保障机构正常运转、完成日常工</w:t>
      </w:r>
    </w:p>
    <w:p>
      <w:pPr>
        <w:autoSpaceDE w:val="0"/>
        <w:autoSpaceDN w:val="0"/>
        <w:spacing w:line="56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作任务所必需的开支，其内容包括人员经费和日常公用经费两部分。</w:t>
      </w:r>
    </w:p>
    <w:p>
      <w:pPr>
        <w:autoSpaceDE w:val="0"/>
        <w:autoSpaceDN w:val="0"/>
        <w:spacing w:line="640" w:lineRule="exact"/>
        <w:ind w:left="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八、项目支出：是指在基本支出之外，为完成特定的行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政工作任务或事业发展目标所发生的支出。</w:t>
      </w:r>
    </w:p>
    <w:p>
      <w:pPr>
        <w:autoSpaceDE w:val="0"/>
        <w:autoSpaceDN w:val="0"/>
        <w:spacing w:line="620" w:lineRule="exact"/>
        <w:ind w:left="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九、“三公”经费：是指纳入省级财政预算管理，部门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utoSpaceDE w:val="0"/>
        <w:autoSpaceDN w:val="0"/>
        <w:spacing w:line="620" w:lineRule="exact"/>
        <w:ind w:left="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十、行政（事业）单位机构运转经费情况：是指为保障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sz w:val="32"/>
          <w:szCs w:val="32"/>
        </w:rPr>
      </w:pPr>
    </w:p>
    <w:p>
      <w:pPr>
        <w:autoSpaceDE w:val="0"/>
        <w:autoSpaceDN w:val="0"/>
        <w:spacing w:line="620" w:lineRule="exact"/>
        <w:ind w:left="6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附件: </w:t>
      </w:r>
    </w:p>
    <w:tbl>
      <w:tblPr>
        <w:tblStyle w:val="6"/>
        <w:tblW w:w="822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640" w:firstLineChars="20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1450" cy="171450"/>
                  <wp:effectExtent l="0" t="0" r="0" b="0"/>
                  <wp:docPr id="1" name="图片 1" descr="IMG_25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"http://czj.xinyang.gov.cn/uploads/soft/210707/6-210FG53600.xlsx" \t "http://czj.xinyang.gov.cn/c/392/2021/0707/_blank"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年罗山县中心苗圃预算公开表</w:t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widowControl/>
        <w:spacing w:before="300" w:line="240" w:lineRule="atLeast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791B0"/>
    <w:multiLevelType w:val="singleLevel"/>
    <w:tmpl w:val="F83791B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1D2490B"/>
    <w:multiLevelType w:val="multilevel"/>
    <w:tmpl w:val="11D2490B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E14A9D"/>
    <w:multiLevelType w:val="multilevel"/>
    <w:tmpl w:val="34E14A9D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EEDE91"/>
    <w:multiLevelType w:val="singleLevel"/>
    <w:tmpl w:val="4FEED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MDA4NTU3M2FiMjM3MGNiZjRjOWE2MzkzNGIyOWUifQ=="/>
  </w:docVars>
  <w:rsids>
    <w:rsidRoot w:val="58914A84"/>
    <w:rsid w:val="00162123"/>
    <w:rsid w:val="00253068"/>
    <w:rsid w:val="00262FD9"/>
    <w:rsid w:val="002A1DBF"/>
    <w:rsid w:val="00330ADB"/>
    <w:rsid w:val="003710DA"/>
    <w:rsid w:val="003D552D"/>
    <w:rsid w:val="004C410D"/>
    <w:rsid w:val="005956C0"/>
    <w:rsid w:val="006679CC"/>
    <w:rsid w:val="006973BC"/>
    <w:rsid w:val="0072464C"/>
    <w:rsid w:val="008C4140"/>
    <w:rsid w:val="008C710F"/>
    <w:rsid w:val="00991703"/>
    <w:rsid w:val="00A415FD"/>
    <w:rsid w:val="00A91FDB"/>
    <w:rsid w:val="00B93072"/>
    <w:rsid w:val="00D15CD2"/>
    <w:rsid w:val="00D202D5"/>
    <w:rsid w:val="00D429E1"/>
    <w:rsid w:val="00F03E98"/>
    <w:rsid w:val="00F90979"/>
    <w:rsid w:val="018B7635"/>
    <w:rsid w:val="041F0252"/>
    <w:rsid w:val="05B30F86"/>
    <w:rsid w:val="06CF0375"/>
    <w:rsid w:val="07DA5B87"/>
    <w:rsid w:val="0F7B6853"/>
    <w:rsid w:val="11734355"/>
    <w:rsid w:val="13642BF3"/>
    <w:rsid w:val="146039CD"/>
    <w:rsid w:val="197F32EF"/>
    <w:rsid w:val="198A56E2"/>
    <w:rsid w:val="1A811B16"/>
    <w:rsid w:val="343C0CC1"/>
    <w:rsid w:val="35494905"/>
    <w:rsid w:val="37A335F3"/>
    <w:rsid w:val="392B5CFA"/>
    <w:rsid w:val="3A746EF2"/>
    <w:rsid w:val="3DA1291D"/>
    <w:rsid w:val="3F597F31"/>
    <w:rsid w:val="4F4618A1"/>
    <w:rsid w:val="4F6F66B2"/>
    <w:rsid w:val="53E14E75"/>
    <w:rsid w:val="58914A84"/>
    <w:rsid w:val="59863BEA"/>
    <w:rsid w:val="5ECB4DC8"/>
    <w:rsid w:val="5EFF6FE8"/>
    <w:rsid w:val="690B6848"/>
    <w:rsid w:val="70E3276D"/>
    <w:rsid w:val="724D0AFE"/>
    <w:rsid w:val="77CC4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czj.xinyang.gov.cn/uploads/soft/210707/6-210FG53600.xlsx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357</Words>
  <Characters>2040</Characters>
  <Lines>17</Lines>
  <Paragraphs>4</Paragraphs>
  <TotalTime>17</TotalTime>
  <ScaleCrop>false</ScaleCrop>
  <LinksUpToDate>false</LinksUpToDate>
  <CharactersWithSpaces>2393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2023-03-09T10:59:00Z</dcterms:created>
  <dc:creator>LENOVO</dc:creator>
  <cp:lastModifiedBy>Administrator</cp:lastModifiedBy>
  <cp:lastPrinted>2022-05-23T02:49:00Z</cp:lastPrinted>
  <dcterms:modified xsi:type="dcterms:W3CDTF">2024-03-11T09:19:02Z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98F825103FA34A4C90F64F423CE6B5C4_13</vt:lpwstr>
  </property>
</Properties>
</file>