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复合肥料</w:t>
      </w:r>
      <w:r>
        <w:rPr>
          <w:rFonts w:hint="eastAsia" w:ascii="方正小标宋简体" w:hAnsi="方正小标宋简体" w:eastAsia="方正小标宋简体" w:cs="方正小标宋简体"/>
          <w:color w:val="000000"/>
          <w:sz w:val="44"/>
          <w:szCs w:val="44"/>
        </w:rPr>
        <w:t>产品质量监督抽查</w:t>
      </w:r>
    </w:p>
    <w:p>
      <w:pPr>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实施细则</w:t>
      </w:r>
    </w:p>
    <w:p>
      <w:pPr>
        <w:spacing w:line="560" w:lineRule="exact"/>
        <w:ind w:firstLine="628" w:firstLineChars="200"/>
        <w:rPr>
          <w:rFonts w:ascii="仿宋_GB2312" w:hAnsi="方正仿宋_GBK" w:eastAsia="仿宋_GB2312" w:cs="方正仿宋_GBK"/>
          <w:sz w:val="32"/>
          <w:szCs w:val="32"/>
        </w:rPr>
      </w:pPr>
    </w:p>
    <w:p>
      <w:pPr>
        <w:spacing w:line="560" w:lineRule="exact"/>
        <w:ind w:firstLine="628"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本细则适用罗山县市场监督管理局组织的</w:t>
      </w:r>
      <w:r>
        <w:rPr>
          <w:rFonts w:hint="eastAsia" w:ascii="仿宋_GB2312" w:hAnsi="方正仿宋_GBK" w:eastAsia="仿宋_GB2312" w:cs="方正仿宋_GBK"/>
          <w:sz w:val="32"/>
          <w:szCs w:val="32"/>
          <w:lang w:val="en-US" w:eastAsia="zh-CN"/>
        </w:rPr>
        <w:t>复合肥料</w:t>
      </w:r>
      <w:r>
        <w:rPr>
          <w:rFonts w:hint="eastAsia" w:ascii="仿宋_GB2312" w:hAnsi="方正仿宋_GBK" w:eastAsia="仿宋_GB2312" w:cs="方正仿宋_GBK"/>
          <w:sz w:val="32"/>
          <w:szCs w:val="32"/>
        </w:rPr>
        <w:t>产品质量监督抽查。本细则规定了此产品的抽样方法、检验依据、检验项目、检验方法、判定原则等。</w:t>
      </w:r>
    </w:p>
    <w:p>
      <w:pPr>
        <w:adjustRightInd w:val="0"/>
        <w:snapToGrid w:val="0"/>
        <w:spacing w:before="149" w:beforeLines="50" w:line="560" w:lineRule="exact"/>
        <w:ind w:firstLine="628" w:firstLineChars="200"/>
        <w:rPr>
          <w:rFonts w:ascii="黑体" w:hAnsi="黑体" w:eastAsia="黑体" w:cs="Times New Roman"/>
          <w:color w:val="000000"/>
          <w:sz w:val="32"/>
          <w:szCs w:val="32"/>
        </w:rPr>
      </w:pPr>
      <w:r>
        <w:rPr>
          <w:rFonts w:ascii="黑体" w:hAnsi="黑体" w:eastAsia="黑体" w:cs="Times New Roman"/>
          <w:color w:val="000000"/>
          <w:sz w:val="32"/>
          <w:szCs w:val="32"/>
        </w:rPr>
        <w:t>1</w:t>
      </w:r>
      <w:r>
        <w:rPr>
          <w:rFonts w:hint="eastAsia" w:ascii="黑体" w:hAnsi="黑体" w:eastAsia="黑体" w:cs="Times New Roman"/>
          <w:color w:val="000000"/>
          <w:sz w:val="32"/>
          <w:szCs w:val="32"/>
        </w:rPr>
        <w:t xml:space="preserve"> 抽样方法</w:t>
      </w:r>
    </w:p>
    <w:p>
      <w:pPr>
        <w:adjustRightInd w:val="0"/>
        <w:snapToGrid w:val="0"/>
        <w:spacing w:line="560" w:lineRule="exact"/>
        <w:ind w:firstLine="628" w:firstLineChars="200"/>
        <w:rPr>
          <w:rFonts w:ascii="Times New Roman" w:hAnsi="Times New Roman" w:eastAsia="仿宋_GB2312" w:cs="Times New Roman"/>
          <w:color w:val="000000"/>
          <w:spacing w:val="-6"/>
          <w:sz w:val="32"/>
          <w:szCs w:val="32"/>
        </w:rPr>
      </w:pPr>
      <w:r>
        <w:rPr>
          <w:rFonts w:hint="eastAsia" w:ascii="仿宋_GB2312" w:hAnsi="Times New Roman" w:eastAsia="仿宋_GB2312" w:cs="Times New Roman"/>
          <w:color w:val="000000"/>
          <w:sz w:val="32"/>
          <w:szCs w:val="32"/>
        </w:rPr>
        <w:t>以随机抽样方式在被抽样生产者、销售者的待销产品中抽取。</w:t>
      </w:r>
      <w:r>
        <w:rPr>
          <w:rFonts w:ascii="Times New Roman" w:hAnsi="Times New Roman" w:eastAsia="仿宋_GB2312" w:cs="Times New Roman"/>
          <w:color w:val="000000"/>
          <w:sz w:val="32"/>
          <w:szCs w:val="32"/>
        </w:rPr>
        <w:t>随</w:t>
      </w:r>
      <w:r>
        <w:rPr>
          <w:rFonts w:ascii="Times New Roman" w:hAnsi="Times New Roman" w:eastAsia="仿宋_GB2312" w:cs="Times New Roman"/>
          <w:color w:val="000000"/>
          <w:spacing w:val="-6"/>
          <w:sz w:val="32"/>
          <w:szCs w:val="32"/>
        </w:rPr>
        <w:t>机数一般可使用随机数表、随机数骰子或扑克牌等方法产生。</w:t>
      </w:r>
    </w:p>
    <w:p>
      <w:pPr>
        <w:adjustRightInd w:val="0"/>
        <w:snapToGrid w:val="0"/>
        <w:spacing w:after="149" w:afterLines="50" w:line="560" w:lineRule="exact"/>
        <w:ind w:firstLine="628" w:firstLineChars="200"/>
        <w:jc w:val="center"/>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黑体"/>
          <w:b/>
          <w:sz w:val="32"/>
          <w:szCs w:val="32"/>
        </w:rPr>
        <w:t>表1抽取样品数量</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072"/>
        <w:gridCol w:w="2268"/>
        <w:gridCol w:w="170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序号</w:t>
            </w:r>
          </w:p>
        </w:tc>
        <w:tc>
          <w:tcPr>
            <w:tcW w:w="2072"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产品种类</w:t>
            </w:r>
          </w:p>
        </w:tc>
        <w:tc>
          <w:tcPr>
            <w:tcW w:w="2268"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抽样数量</w:t>
            </w:r>
          </w:p>
        </w:tc>
        <w:tc>
          <w:tcPr>
            <w:tcW w:w="1701"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检验样品数量</w:t>
            </w:r>
            <w:bookmarkStart w:id="0" w:name="_GoBack"/>
            <w:bookmarkEnd w:id="0"/>
          </w:p>
        </w:tc>
        <w:tc>
          <w:tcPr>
            <w:tcW w:w="1751"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1</w:t>
            </w:r>
          </w:p>
        </w:tc>
        <w:tc>
          <w:tcPr>
            <w:tcW w:w="2072" w:type="dxa"/>
            <w:vAlign w:val="center"/>
          </w:tcPr>
          <w:p>
            <w:pPr>
              <w:adjustRightInd w:val="0"/>
              <w:jc w:val="center"/>
              <w:rPr>
                <w:rFonts w:hint="default" w:ascii="仿宋_GB2312" w:hAnsi="Times New Roman" w:eastAsia="仿宋_GB2312" w:cs="Times New Roman"/>
                <w:color w:val="000000"/>
                <w:kern w:val="0"/>
                <w:sz w:val="24"/>
                <w:szCs w:val="32"/>
                <w:lang w:val="en-US" w:eastAsia="zh-CN"/>
              </w:rPr>
            </w:pPr>
            <w:r>
              <w:rPr>
                <w:rFonts w:hint="eastAsia" w:ascii="仿宋_GB2312" w:hAnsi="Times New Roman" w:eastAsia="仿宋_GB2312" w:cs="Times New Roman"/>
                <w:color w:val="000000"/>
                <w:kern w:val="0"/>
                <w:sz w:val="24"/>
                <w:szCs w:val="32"/>
                <w:lang w:val="en-US" w:eastAsia="zh-CN"/>
              </w:rPr>
              <w:t>复合肥料</w:t>
            </w:r>
          </w:p>
        </w:tc>
        <w:tc>
          <w:tcPr>
            <w:tcW w:w="2268" w:type="dxa"/>
            <w:vAlign w:val="center"/>
          </w:tcPr>
          <w:p>
            <w:pPr>
              <w:jc w:val="center"/>
              <w:rPr>
                <w:rFonts w:hint="default" w:ascii="仿宋_GB2312" w:hAnsi="Times New Roman" w:eastAsia="仿宋_GB2312" w:cs="Times New Roman"/>
                <w:color w:val="000000"/>
                <w:kern w:val="0"/>
                <w:sz w:val="24"/>
                <w:szCs w:val="32"/>
                <w:lang w:val="en-US" w:eastAsia="zh-CN"/>
              </w:rPr>
            </w:pPr>
            <w:r>
              <w:rPr>
                <w:rFonts w:hint="eastAsia" w:ascii="仿宋_GB2312" w:hAnsi="Times New Roman" w:eastAsia="仿宋_GB2312" w:cs="Times New Roman"/>
                <w:color w:val="000000"/>
                <w:kern w:val="0"/>
                <w:sz w:val="24"/>
                <w:szCs w:val="32"/>
                <w:lang w:val="en-US" w:eastAsia="zh-CN"/>
              </w:rPr>
              <w:t>1000</w:t>
            </w:r>
            <w:r>
              <w:rPr>
                <w:rFonts w:hint="eastAsia" w:ascii="仿宋_GB2312" w:hAnsi="Times New Roman" w:eastAsia="仿宋_GB2312"/>
                <w:color w:val="000000"/>
                <w:sz w:val="24"/>
                <w:szCs w:val="32"/>
              </w:rPr>
              <w:t>（</w:t>
            </w:r>
            <w:r>
              <w:rPr>
                <w:rFonts w:hint="eastAsia" w:ascii="仿宋_GB2312" w:hAnsi="Times New Roman" w:eastAsia="仿宋_GB2312"/>
                <w:color w:val="000000"/>
                <w:sz w:val="24"/>
                <w:szCs w:val="32"/>
                <w:lang w:val="en-US" w:eastAsia="zh-CN"/>
              </w:rPr>
              <w:t>克</w:t>
            </w:r>
            <w:r>
              <w:rPr>
                <w:rFonts w:hint="eastAsia" w:ascii="仿宋_GB2312" w:hAnsi="Times New Roman" w:eastAsia="仿宋_GB2312"/>
                <w:color w:val="000000"/>
                <w:sz w:val="24"/>
                <w:szCs w:val="32"/>
              </w:rPr>
              <w:t>）</w:t>
            </w:r>
          </w:p>
        </w:tc>
        <w:tc>
          <w:tcPr>
            <w:tcW w:w="1701" w:type="dxa"/>
            <w:vAlign w:val="center"/>
          </w:tcPr>
          <w:p>
            <w:pPr>
              <w:jc w:val="center"/>
              <w:rPr>
                <w:rFonts w:hint="default" w:ascii="仿宋_GB2312" w:hAnsi="Times New Roman" w:eastAsia="仿宋_GB2312" w:cs="Times New Roman"/>
                <w:color w:val="000000"/>
                <w:kern w:val="0"/>
                <w:sz w:val="24"/>
                <w:szCs w:val="32"/>
                <w:lang w:val="en-US" w:eastAsia="zh-CN"/>
              </w:rPr>
            </w:pPr>
            <w:r>
              <w:rPr>
                <w:rFonts w:hint="eastAsia" w:ascii="仿宋_GB2312" w:hAnsi="Times New Roman" w:eastAsia="仿宋_GB2312"/>
                <w:color w:val="000000"/>
                <w:kern w:val="0"/>
                <w:sz w:val="24"/>
                <w:szCs w:val="32"/>
                <w:lang w:val="en-US" w:eastAsia="zh-CN"/>
              </w:rPr>
              <w:t>500</w:t>
            </w:r>
            <w:r>
              <w:rPr>
                <w:rFonts w:hint="eastAsia" w:ascii="仿宋_GB2312" w:hAnsi="Times New Roman" w:eastAsia="仿宋_GB2312"/>
                <w:color w:val="000000"/>
                <w:sz w:val="24"/>
                <w:szCs w:val="32"/>
              </w:rPr>
              <w:t>（</w:t>
            </w:r>
            <w:r>
              <w:rPr>
                <w:rFonts w:hint="eastAsia" w:ascii="仿宋_GB2312" w:hAnsi="Times New Roman" w:eastAsia="仿宋_GB2312"/>
                <w:color w:val="000000"/>
                <w:sz w:val="24"/>
                <w:szCs w:val="32"/>
                <w:lang w:val="en-US" w:eastAsia="zh-CN"/>
              </w:rPr>
              <w:t>克</w:t>
            </w:r>
            <w:r>
              <w:rPr>
                <w:rFonts w:hint="eastAsia" w:ascii="仿宋_GB2312" w:hAnsi="Times New Roman" w:eastAsia="仿宋_GB2312"/>
                <w:color w:val="000000"/>
                <w:sz w:val="24"/>
                <w:szCs w:val="32"/>
              </w:rPr>
              <w:t>）</w:t>
            </w:r>
          </w:p>
        </w:tc>
        <w:tc>
          <w:tcPr>
            <w:tcW w:w="1751" w:type="dxa"/>
            <w:vAlign w:val="center"/>
          </w:tcPr>
          <w:p>
            <w:pPr>
              <w:jc w:val="center"/>
              <w:rPr>
                <w:rFonts w:hint="default" w:ascii="仿宋_GB2312" w:hAnsi="Times New Roman" w:eastAsia="仿宋_GB2312" w:cs="Times New Roman"/>
                <w:color w:val="000000"/>
                <w:kern w:val="0"/>
                <w:sz w:val="24"/>
                <w:szCs w:val="32"/>
                <w:lang w:val="en-US" w:eastAsia="zh-CN"/>
              </w:rPr>
            </w:pPr>
            <w:r>
              <w:rPr>
                <w:rFonts w:hint="eastAsia" w:ascii="仿宋_GB2312" w:hAnsi="Times New Roman" w:eastAsia="仿宋_GB2312" w:cs="Times New Roman"/>
                <w:color w:val="000000"/>
                <w:kern w:val="0"/>
                <w:sz w:val="24"/>
                <w:szCs w:val="32"/>
                <w:lang w:val="en-US" w:eastAsia="zh-CN"/>
              </w:rPr>
              <w:t>500</w:t>
            </w:r>
            <w:r>
              <w:rPr>
                <w:rFonts w:hint="eastAsia" w:ascii="仿宋_GB2312" w:hAnsi="Times New Roman" w:eastAsia="仿宋_GB2312"/>
                <w:color w:val="000000"/>
                <w:sz w:val="24"/>
                <w:szCs w:val="32"/>
              </w:rPr>
              <w:t>（</w:t>
            </w:r>
            <w:r>
              <w:rPr>
                <w:rFonts w:hint="eastAsia" w:ascii="仿宋_GB2312" w:hAnsi="Times New Roman" w:eastAsia="仿宋_GB2312"/>
                <w:color w:val="000000"/>
                <w:sz w:val="24"/>
                <w:szCs w:val="32"/>
                <w:lang w:val="en-US" w:eastAsia="zh-CN"/>
              </w:rPr>
              <w:t>克</w:t>
            </w:r>
            <w:r>
              <w:rPr>
                <w:rFonts w:hint="eastAsia" w:ascii="仿宋_GB2312" w:hAnsi="Times New Roman" w:eastAsia="仿宋_GB2312"/>
                <w:color w:val="000000"/>
                <w:sz w:val="24"/>
                <w:szCs w:val="32"/>
              </w:rPr>
              <w:t>）</w:t>
            </w:r>
          </w:p>
        </w:tc>
      </w:tr>
    </w:tbl>
    <w:p>
      <w:pPr>
        <w:adjustRightInd w:val="0"/>
        <w:snapToGrid w:val="0"/>
        <w:spacing w:before="149" w:beforeLines="50" w:line="560" w:lineRule="exact"/>
        <w:ind w:firstLine="628" w:firstLineChars="200"/>
        <w:rPr>
          <w:rFonts w:ascii="黑体" w:hAnsi="黑体" w:eastAsia="黑体" w:cs="Times New Roman"/>
          <w:color w:val="000000"/>
          <w:sz w:val="32"/>
          <w:szCs w:val="32"/>
        </w:rPr>
      </w:pPr>
      <w:r>
        <w:rPr>
          <w:rFonts w:ascii="黑体" w:hAnsi="黑体" w:eastAsia="黑体" w:cs="Times New Roman"/>
          <w:color w:val="000000"/>
          <w:sz w:val="32"/>
          <w:szCs w:val="32"/>
        </w:rPr>
        <w:t>2</w:t>
      </w:r>
      <w:r>
        <w:rPr>
          <w:rFonts w:hint="eastAsia" w:ascii="黑体" w:hAnsi="黑体" w:eastAsia="黑体" w:cs="Times New Roman"/>
          <w:color w:val="000000"/>
          <w:sz w:val="32"/>
          <w:szCs w:val="32"/>
        </w:rPr>
        <w:t xml:space="preserve"> 检验依据</w:t>
      </w:r>
    </w:p>
    <w:p>
      <w:pPr>
        <w:pStyle w:val="7"/>
        <w:widowControl w:val="0"/>
        <w:adjustRightInd w:val="0"/>
        <w:snapToGrid w:val="0"/>
        <w:spacing w:before="149" w:beforeLines="50" w:beforeAutospacing="0" w:after="149" w:afterLines="50" w:afterAutospacing="0" w:line="560" w:lineRule="exact"/>
        <w:ind w:firstLine="198"/>
        <w:contextualSpacing/>
        <w:jc w:val="center"/>
        <w:rPr>
          <w:rFonts w:hint="default" w:ascii="仿宋_GB2312" w:hAnsi="Times New Roman" w:eastAsia="仿宋_GB2312" w:cs="黑体"/>
          <w:b/>
          <w:kern w:val="2"/>
          <w:sz w:val="32"/>
          <w:szCs w:val="32"/>
          <w:lang w:val="en-US" w:eastAsia="zh-CN"/>
        </w:rPr>
      </w:pPr>
      <w:r>
        <w:rPr>
          <w:rFonts w:ascii="仿宋_GB2312" w:hAnsi="Times New Roman" w:eastAsia="仿宋_GB2312" w:cs="黑体"/>
          <w:b/>
          <w:kern w:val="2"/>
          <w:sz w:val="32"/>
          <w:szCs w:val="32"/>
        </w:rPr>
        <w:t xml:space="preserve">表2 </w:t>
      </w:r>
      <w:r>
        <w:rPr>
          <w:rFonts w:hint="eastAsia" w:ascii="仿宋_GB2312" w:hAnsi="Times New Roman" w:eastAsia="仿宋_GB2312" w:cs="黑体"/>
          <w:b/>
          <w:kern w:val="2"/>
          <w:sz w:val="32"/>
          <w:szCs w:val="32"/>
          <w:lang w:val="en-US" w:eastAsia="zh-CN"/>
        </w:rPr>
        <w:t>复合肥料</w:t>
      </w:r>
    </w:p>
    <w:tbl>
      <w:tblPr>
        <w:tblStyle w:val="8"/>
        <w:tblW w:w="863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538"/>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990" w:type="dxa"/>
          </w:tcPr>
          <w:p>
            <w:pPr>
              <w:snapToGrid w:val="0"/>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序号</w:t>
            </w:r>
          </w:p>
        </w:tc>
        <w:tc>
          <w:tcPr>
            <w:tcW w:w="3538" w:type="dxa"/>
          </w:tcPr>
          <w:p>
            <w:pPr>
              <w:snapToGrid w:val="0"/>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检验项目</w:t>
            </w:r>
          </w:p>
        </w:tc>
        <w:tc>
          <w:tcPr>
            <w:tcW w:w="4104" w:type="dxa"/>
          </w:tcPr>
          <w:p>
            <w:pPr>
              <w:snapToGrid w:val="0"/>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ascii="仿宋_GB2312" w:hAnsi="Times New Roman" w:eastAsia="仿宋_GB2312" w:cs="仿宋_GB2312"/>
                <w:color w:val="000000" w:themeColor="text1"/>
                <w:sz w:val="24"/>
                <w:szCs w:val="24"/>
                <w14:textFill>
                  <w14:solidFill>
                    <w14:schemeClr w14:val="tx1"/>
                  </w14:solidFill>
                </w14:textFill>
              </w:rPr>
              <w:t>1</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总养分（N+P2O5+K2O）</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2</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总氮含量</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GB/T8572-2010</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GB/T22923-2008</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NY/T1977-2010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3</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有效磷含量</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GB/T15063-2020</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GB/T8573-2017</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GB/T22923-2008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4</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钾含量</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GB/T8574-2010</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GB/T22923-2008</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NY/T2540-2014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5</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水溶性磷占有效磷百分率</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GB/T15063-2020</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GB/T8573-2017</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GB/T22923-2008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6</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水分</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GB/T8577-2010</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GB/T8576-2010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7</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氯离子</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GB/T24890-2010</w:t>
            </w:r>
          </w:p>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8</w:t>
            </w:r>
          </w:p>
        </w:tc>
        <w:tc>
          <w:tcPr>
            <w:tcW w:w="3538"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粒度</w:t>
            </w:r>
          </w:p>
        </w:tc>
        <w:tc>
          <w:tcPr>
            <w:tcW w:w="4104" w:type="dxa"/>
            <w:vAlign w:val="center"/>
          </w:tcPr>
          <w:p>
            <w:pPr>
              <w:pStyle w:val="22"/>
              <w:adjustRightInd w:val="0"/>
              <w:snapToGrid w:val="0"/>
              <w:jc w:val="center"/>
              <w:rPr>
                <w:rFonts w:hint="eastAsia" w:ascii="仿宋_GB2312" w:hAnsi="Times New Roman" w:eastAsia="仿宋_GB2312" w:cs="Times New Roman"/>
                <w:color w:val="000000"/>
                <w:kern w:val="2"/>
                <w:sz w:val="24"/>
                <w:szCs w:val="32"/>
                <w:lang w:val="en-US" w:eastAsia="zh-CN" w:bidi="ar-SA"/>
              </w:rPr>
            </w:pPr>
            <w:r>
              <w:rPr>
                <w:rFonts w:hint="eastAsia" w:ascii="仿宋_GB2312" w:hAnsi="Times New Roman" w:eastAsia="仿宋_GB2312" w:cs="Times New Roman"/>
                <w:color w:val="000000"/>
                <w:kern w:val="2"/>
                <w:sz w:val="24"/>
                <w:szCs w:val="32"/>
                <w:lang w:val="en-US" w:eastAsia="zh-CN" w:bidi="ar-SA"/>
              </w:rPr>
              <w:t>GB/T24891-2010</w:t>
            </w:r>
          </w:p>
        </w:tc>
      </w:tr>
    </w:tbl>
    <w:p>
      <w:pPr>
        <w:adjustRightInd w:val="0"/>
        <w:snapToGrid w:val="0"/>
        <w:spacing w:line="560" w:lineRule="exact"/>
        <w:ind w:firstLine="628" w:firstLineChars="200"/>
        <w:rPr>
          <w:rFonts w:hint="eastAsia" w:ascii="仿宋_GB2312" w:hAnsi="Times New Roman" w:eastAsia="仿宋_GB2312" w:cs="Times New Roman"/>
          <w:color w:val="000000"/>
          <w:sz w:val="32"/>
          <w:szCs w:val="32"/>
        </w:rPr>
      </w:pPr>
    </w:p>
    <w:p>
      <w:pPr>
        <w:adjustRightInd w:val="0"/>
        <w:snapToGrid w:val="0"/>
        <w:spacing w:line="560" w:lineRule="exact"/>
        <w:ind w:firstLine="628" w:firstLineChars="200"/>
        <w:rPr>
          <w:rFonts w:ascii="仿宋_GB2312" w:hAnsi="Times New Roman" w:eastAsia="仿宋_GB2312"/>
          <w:color w:val="000000"/>
          <w:sz w:val="32"/>
          <w:szCs w:val="32"/>
        </w:rPr>
      </w:pPr>
      <w:r>
        <w:rPr>
          <w:rFonts w:hint="eastAsia" w:ascii="仿宋_GB2312" w:hAnsi="Times New Roman" w:eastAsia="仿宋_GB2312" w:cs="Times New Roman"/>
          <w:color w:val="000000"/>
          <w:sz w:val="32"/>
          <w:szCs w:val="32"/>
        </w:rPr>
        <w:t>凡是注日期的文件，其随后所有的修改单（不包括勘误的内容）或修订版不适用于本细则。凡是不注日期的文件，其最新版本适用于本细则。</w:t>
      </w:r>
    </w:p>
    <w:p>
      <w:pPr>
        <w:adjustRightInd w:val="0"/>
        <w:snapToGrid w:val="0"/>
        <w:spacing w:before="149" w:beforeLines="50" w:line="560" w:lineRule="exact"/>
        <w:ind w:firstLine="628" w:firstLineChars="200"/>
        <w:rPr>
          <w:rFonts w:ascii="黑体" w:hAnsi="黑体" w:eastAsia="黑体" w:cs="Times New Roman"/>
          <w:color w:val="000000"/>
          <w:sz w:val="32"/>
          <w:szCs w:val="32"/>
        </w:rPr>
      </w:pPr>
      <w:r>
        <w:rPr>
          <w:rFonts w:ascii="黑体" w:hAnsi="黑体" w:eastAsia="黑体" w:cs="Times New Roman"/>
          <w:color w:val="000000"/>
          <w:sz w:val="32"/>
          <w:szCs w:val="32"/>
        </w:rPr>
        <w:t>3</w:t>
      </w:r>
      <w:r>
        <w:rPr>
          <w:rFonts w:hint="eastAsia" w:ascii="黑体" w:hAnsi="黑体" w:eastAsia="黑体" w:cs="Times New Roman"/>
          <w:color w:val="000000"/>
          <w:sz w:val="32"/>
          <w:szCs w:val="32"/>
        </w:rPr>
        <w:t xml:space="preserve"> 判定规则</w:t>
      </w:r>
    </w:p>
    <w:p>
      <w:pPr>
        <w:adjustRightInd w:val="0"/>
        <w:snapToGrid w:val="0"/>
        <w:spacing w:line="560" w:lineRule="exact"/>
        <w:ind w:firstLine="628" w:firstLineChars="200"/>
        <w:rPr>
          <w:rFonts w:ascii="楷体_GB2312" w:hAnsi="Times New Roman" w:eastAsia="楷体_GB2312" w:cs="Times New Roman"/>
          <w:b/>
          <w:color w:val="000000"/>
          <w:sz w:val="32"/>
          <w:szCs w:val="32"/>
        </w:rPr>
      </w:pPr>
      <w:r>
        <w:rPr>
          <w:rFonts w:hint="eastAsia" w:ascii="楷体_GB2312" w:hAnsi="Times New Roman" w:eastAsia="楷体_GB2312" w:cs="Times New Roman"/>
          <w:b/>
          <w:color w:val="000000"/>
          <w:sz w:val="32"/>
          <w:szCs w:val="32"/>
        </w:rPr>
        <w:t>3.1依据标准</w:t>
      </w:r>
    </w:p>
    <w:p>
      <w:pPr>
        <w:adjustRightInd w:val="0"/>
        <w:snapToGrid w:val="0"/>
        <w:spacing w:line="560" w:lineRule="exact"/>
        <w:ind w:firstLine="628" w:firstLineChars="200"/>
        <w:rPr>
          <w:rFonts w:hint="default" w:ascii="仿宋_GB2312" w:hAnsi="Times New Roman" w:eastAsia="仿宋_GB2312" w:cs="宋体"/>
          <w:sz w:val="32"/>
          <w:szCs w:val="32"/>
          <w:lang w:val="en-US" w:eastAsia="zh-CN"/>
        </w:rPr>
      </w:pPr>
      <w:r>
        <w:rPr>
          <w:rFonts w:hint="eastAsia" w:ascii="仿宋_GB2312" w:hAnsi="Times New Roman" w:eastAsia="仿宋_GB2312" w:cs="宋体"/>
          <w:sz w:val="32"/>
          <w:szCs w:val="32"/>
          <w:lang w:val="en-US" w:eastAsia="zh-CN"/>
        </w:rPr>
        <w:t>GB/T15063-2020 复合肥料</w:t>
      </w:r>
    </w:p>
    <w:p>
      <w:pPr>
        <w:adjustRightInd w:val="0"/>
        <w:snapToGrid w:val="0"/>
        <w:spacing w:line="560" w:lineRule="exact"/>
        <w:ind w:firstLine="628" w:firstLineChars="200"/>
        <w:rPr>
          <w:rFonts w:ascii="楷体_GB2312" w:hAnsi="楷体" w:eastAsia="楷体_GB2312" w:cs="Times New Roman"/>
          <w:b/>
          <w:color w:val="000000"/>
          <w:sz w:val="32"/>
          <w:szCs w:val="32"/>
        </w:rPr>
      </w:pPr>
      <w:r>
        <w:rPr>
          <w:rFonts w:hint="eastAsia" w:ascii="楷体_GB2312" w:hAnsi="楷体" w:eastAsia="楷体_GB2312" w:cs="Times New Roman"/>
          <w:b/>
          <w:color w:val="000000"/>
          <w:sz w:val="32"/>
          <w:szCs w:val="32"/>
        </w:rPr>
        <w:t>3.2判定原则</w:t>
      </w:r>
    </w:p>
    <w:p>
      <w:pPr>
        <w:adjustRightInd w:val="0"/>
        <w:snapToGrid w:val="0"/>
        <w:spacing w:line="560" w:lineRule="exact"/>
        <w:ind w:firstLine="628"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经检验，检验项目全部合格，判定为被抽查产品合格；检验项目中任一项或一项以上不合格，判定为被抽查产品不合格。</w:t>
      </w:r>
    </w:p>
    <w:p>
      <w:pPr>
        <w:adjustRightInd w:val="0"/>
        <w:snapToGrid w:val="0"/>
        <w:spacing w:line="560" w:lineRule="exact"/>
        <w:ind w:firstLine="625"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若被检产品明示的质量要求高于本细则中检验项目依据的标准要求时，应按被检产品明示的质量要求判定。</w:t>
      </w:r>
    </w:p>
    <w:p>
      <w:pPr>
        <w:adjustRightInd w:val="0"/>
        <w:snapToGrid w:val="0"/>
        <w:spacing w:line="560" w:lineRule="exact"/>
        <w:ind w:firstLine="625"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若被检产品明示的质量要求低于本细则中检验项目依据的强制性标准要求时，应按照强制性标准要求判定。</w:t>
      </w:r>
    </w:p>
    <w:p>
      <w:pPr>
        <w:adjustRightInd w:val="0"/>
        <w:snapToGrid w:val="0"/>
        <w:spacing w:line="560" w:lineRule="exact"/>
        <w:ind w:firstLine="625"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若被检产品明示的质量要求低于或包含本细则中检验项目依据的推荐性标准要求时，应以被检产品明示的质量要求判定。</w:t>
      </w:r>
    </w:p>
    <w:p>
      <w:pPr>
        <w:adjustRightInd w:val="0"/>
        <w:snapToGrid w:val="0"/>
        <w:spacing w:line="560" w:lineRule="exact"/>
        <w:ind w:firstLine="625"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若被检产品明示的质量要求缺少本细则中检验项目依据的强制性标准要求时，应按照强制性标准要求判定。</w:t>
      </w:r>
    </w:p>
    <w:p>
      <w:pPr>
        <w:snapToGrid w:val="0"/>
        <w:spacing w:line="594" w:lineRule="exact"/>
        <w:ind w:firstLine="628" w:firstLineChars="200"/>
        <w:rPr>
          <w:rFonts w:ascii="Times New Roman"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若被检产品明示的质量要求缺少本细则中检验项目依据的推荐性标准要求时，该项目不参与判定。</w:t>
      </w:r>
    </w:p>
    <w:sectPr>
      <w:headerReference r:id="rId3" w:type="default"/>
      <w:footerReference r:id="rId4" w:type="default"/>
      <w:pgSz w:w="11906" w:h="16838"/>
      <w:pgMar w:top="1984" w:right="1474" w:bottom="1361" w:left="1474" w:header="851" w:footer="1361" w:gutter="0"/>
      <w:cols w:space="0" w:num="1"/>
      <w:docGrid w:type="linesAndChars" w:linePitch="298"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posOffset>2769235</wp:posOffset>
              </wp:positionH>
              <wp:positionV relativeFrom="paragraph">
                <wp:posOffset>39370</wp:posOffset>
              </wp:positionV>
              <wp:extent cx="289560" cy="4610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hint="eastAsia" w:ascii="仿宋_GB2312" w:hAnsi="仿宋_GB2312" w:eastAsia="仿宋_GB2312" w:cs="仿宋_GB2312"/>
                              <w:sz w:val="28"/>
                              <w:szCs w:val="28"/>
                            </w:rPr>
                            <w:id w:val="-1261989823"/>
                          </w:sdtPr>
                          <w:sdtEndPr>
                            <w:rPr>
                              <w:rFonts w:hint="eastAsia" w:ascii="仿宋_GB2312" w:hAnsi="仿宋_GB2312" w:eastAsia="仿宋_GB2312" w:cs="仿宋_GB2312"/>
                              <w:sz w:val="28"/>
                              <w:szCs w:val="28"/>
                            </w:rPr>
                          </w:sdtEndPr>
                          <w:sdtContent>
                            <w:p>
                              <w:pPr>
                                <w:pStyle w:val="3"/>
                                <w:ind w:right="315" w:rightChars="15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sdtContent>
                        </w:sdt>
                        <w:p>
                          <w:pPr>
                            <w:rPr>
                              <w:rFonts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05pt;margin-top:3.1pt;height:36.3pt;width:22.8pt;mso-position-horizontal-relative:margin;mso-wrap-style:none;z-index:251659264;mso-width-relative:page;mso-height-relative:page;" filled="f" stroked="f" coordsize="21600,21600" o:gfxdata="UEsDBAoAAAAAAIdO4kAAAAAAAAAAAAAAAAAEAAAAZHJzL1BLAwQUAAAACACHTuJAZ6k2uNYAAAAI&#10;AQAADwAAAGRycy9kb3ducmV2LnhtbE2PMU/DMBSEdyT+g/WQ2KiTNkqjEKcSFWFEounA6MavSYr9&#10;HNluGv49ZoLxdKe776rdYjSb0fnRkoB0lQBD6qwaqRdwbJunApgPkpTUllDAN3rY1fd3lSyVvdEH&#10;zofQs1hCvpQChhCmknPfDWikX9kJKXpn64wMUbqeKydvsdxovk6SnBs5UlwY5IT7Abuvw9UI2Ddt&#10;62b0Tn/iW7O5vL9k+LoI8fiQJs/AAi7hLwy/+BEd6sh0sldSnmkB2SZPY1RAvgYW/axIt8BOArZF&#10;Abyu+P8D9Q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6k2uNYAAAAI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1261989823"/>
                    </w:sdtPr>
                    <w:sdtEndPr>
                      <w:rPr>
                        <w:rFonts w:hint="eastAsia" w:ascii="仿宋_GB2312" w:hAnsi="仿宋_GB2312" w:eastAsia="仿宋_GB2312" w:cs="仿宋_GB2312"/>
                        <w:sz w:val="28"/>
                        <w:szCs w:val="28"/>
                      </w:rPr>
                    </w:sdtEndPr>
                    <w:sdtContent>
                      <w:p>
                        <w:pPr>
                          <w:pStyle w:val="3"/>
                          <w:ind w:right="315" w:rightChars="15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sdtContent>
                  </w:sdt>
                  <w:p>
                    <w:pPr>
                      <w:rPr>
                        <w:rFonts w:ascii="仿宋_GB2312" w:hAnsi="仿宋_GB2312" w:eastAsia="仿宋_GB2312" w:cs="仿宋_GB2312"/>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2"/>
  <w:drawingGridVerticalSpacing w:val="14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ZTc3OTdkZDE1N2Q5MzM5ZDkwNWFiMDdmNTI3NDcifQ=="/>
  </w:docVars>
  <w:rsids>
    <w:rsidRoot w:val="002720F8"/>
    <w:rsid w:val="000049CE"/>
    <w:rsid w:val="00013890"/>
    <w:rsid w:val="000232F9"/>
    <w:rsid w:val="0004524E"/>
    <w:rsid w:val="000500E0"/>
    <w:rsid w:val="000731C9"/>
    <w:rsid w:val="0009708F"/>
    <w:rsid w:val="000A67A7"/>
    <w:rsid w:val="000C5CBE"/>
    <w:rsid w:val="000E21AE"/>
    <w:rsid w:val="000E741B"/>
    <w:rsid w:val="0010665E"/>
    <w:rsid w:val="00110586"/>
    <w:rsid w:val="00111EBD"/>
    <w:rsid w:val="001221A0"/>
    <w:rsid w:val="00125353"/>
    <w:rsid w:val="00174C75"/>
    <w:rsid w:val="001850A2"/>
    <w:rsid w:val="001C2564"/>
    <w:rsid w:val="001C71EA"/>
    <w:rsid w:val="001D4E92"/>
    <w:rsid w:val="001E0F6D"/>
    <w:rsid w:val="001E552C"/>
    <w:rsid w:val="001E79D2"/>
    <w:rsid w:val="00200404"/>
    <w:rsid w:val="002039FE"/>
    <w:rsid w:val="00206D31"/>
    <w:rsid w:val="00224E34"/>
    <w:rsid w:val="0022586F"/>
    <w:rsid w:val="0023233E"/>
    <w:rsid w:val="002455DC"/>
    <w:rsid w:val="00266EA3"/>
    <w:rsid w:val="00271EB5"/>
    <w:rsid w:val="002720F8"/>
    <w:rsid w:val="00282A92"/>
    <w:rsid w:val="002A3AAD"/>
    <w:rsid w:val="002B21AB"/>
    <w:rsid w:val="002C7FF9"/>
    <w:rsid w:val="002D31C1"/>
    <w:rsid w:val="002E3C81"/>
    <w:rsid w:val="002F6A10"/>
    <w:rsid w:val="003028AE"/>
    <w:rsid w:val="0032196E"/>
    <w:rsid w:val="003334B6"/>
    <w:rsid w:val="00333D9B"/>
    <w:rsid w:val="00366169"/>
    <w:rsid w:val="00371DAD"/>
    <w:rsid w:val="00377A6C"/>
    <w:rsid w:val="003A1AFF"/>
    <w:rsid w:val="003C1C3F"/>
    <w:rsid w:val="003C52B9"/>
    <w:rsid w:val="003D605A"/>
    <w:rsid w:val="00405F99"/>
    <w:rsid w:val="0041111B"/>
    <w:rsid w:val="004148E2"/>
    <w:rsid w:val="00431016"/>
    <w:rsid w:val="004329AE"/>
    <w:rsid w:val="00432EB7"/>
    <w:rsid w:val="004356B1"/>
    <w:rsid w:val="00442AF4"/>
    <w:rsid w:val="00460019"/>
    <w:rsid w:val="004601FD"/>
    <w:rsid w:val="00466DFC"/>
    <w:rsid w:val="00492560"/>
    <w:rsid w:val="00493CF3"/>
    <w:rsid w:val="004B2648"/>
    <w:rsid w:val="004B43A2"/>
    <w:rsid w:val="004B5426"/>
    <w:rsid w:val="004B7761"/>
    <w:rsid w:val="004E70B3"/>
    <w:rsid w:val="004E7BBF"/>
    <w:rsid w:val="004F1DF6"/>
    <w:rsid w:val="00514D35"/>
    <w:rsid w:val="00516F39"/>
    <w:rsid w:val="00542CED"/>
    <w:rsid w:val="00544714"/>
    <w:rsid w:val="00563F32"/>
    <w:rsid w:val="00580BA8"/>
    <w:rsid w:val="00581201"/>
    <w:rsid w:val="005951ED"/>
    <w:rsid w:val="005A6E49"/>
    <w:rsid w:val="005C153D"/>
    <w:rsid w:val="005E2062"/>
    <w:rsid w:val="005F5CF2"/>
    <w:rsid w:val="005F6F84"/>
    <w:rsid w:val="00602393"/>
    <w:rsid w:val="006049ED"/>
    <w:rsid w:val="00611970"/>
    <w:rsid w:val="0062664D"/>
    <w:rsid w:val="00626EBF"/>
    <w:rsid w:val="006366BD"/>
    <w:rsid w:val="00640128"/>
    <w:rsid w:val="00645A0E"/>
    <w:rsid w:val="00646D0C"/>
    <w:rsid w:val="006529B5"/>
    <w:rsid w:val="00665A4B"/>
    <w:rsid w:val="00677A07"/>
    <w:rsid w:val="006861DD"/>
    <w:rsid w:val="00690D3D"/>
    <w:rsid w:val="00697C39"/>
    <w:rsid w:val="006B5372"/>
    <w:rsid w:val="006C1431"/>
    <w:rsid w:val="006D0D07"/>
    <w:rsid w:val="006D0E89"/>
    <w:rsid w:val="006D11C9"/>
    <w:rsid w:val="006F18D6"/>
    <w:rsid w:val="00714FAA"/>
    <w:rsid w:val="007243A5"/>
    <w:rsid w:val="007504BE"/>
    <w:rsid w:val="00762AAE"/>
    <w:rsid w:val="00767D4B"/>
    <w:rsid w:val="0078505F"/>
    <w:rsid w:val="00786089"/>
    <w:rsid w:val="00795BCF"/>
    <w:rsid w:val="007A2B31"/>
    <w:rsid w:val="007B216C"/>
    <w:rsid w:val="007B54E3"/>
    <w:rsid w:val="007D1A30"/>
    <w:rsid w:val="007D3664"/>
    <w:rsid w:val="007D548E"/>
    <w:rsid w:val="007E2777"/>
    <w:rsid w:val="007E39FB"/>
    <w:rsid w:val="008479E9"/>
    <w:rsid w:val="0086138B"/>
    <w:rsid w:val="00877622"/>
    <w:rsid w:val="00894008"/>
    <w:rsid w:val="00896DB8"/>
    <w:rsid w:val="008A724A"/>
    <w:rsid w:val="008C5CD4"/>
    <w:rsid w:val="008D25FF"/>
    <w:rsid w:val="008D4A95"/>
    <w:rsid w:val="00903196"/>
    <w:rsid w:val="00924F0B"/>
    <w:rsid w:val="009305AB"/>
    <w:rsid w:val="00966F02"/>
    <w:rsid w:val="00992192"/>
    <w:rsid w:val="009941C0"/>
    <w:rsid w:val="009A6CC2"/>
    <w:rsid w:val="009D0B18"/>
    <w:rsid w:val="00A17F81"/>
    <w:rsid w:val="00A323F1"/>
    <w:rsid w:val="00A42A73"/>
    <w:rsid w:val="00A53AB1"/>
    <w:rsid w:val="00AA0166"/>
    <w:rsid w:val="00AA79BD"/>
    <w:rsid w:val="00AD06A8"/>
    <w:rsid w:val="00AF2839"/>
    <w:rsid w:val="00B13F17"/>
    <w:rsid w:val="00B250D4"/>
    <w:rsid w:val="00B30457"/>
    <w:rsid w:val="00B338E2"/>
    <w:rsid w:val="00B64378"/>
    <w:rsid w:val="00B720CC"/>
    <w:rsid w:val="00B73C3B"/>
    <w:rsid w:val="00BA52A2"/>
    <w:rsid w:val="00BA6009"/>
    <w:rsid w:val="00BE277C"/>
    <w:rsid w:val="00C06925"/>
    <w:rsid w:val="00C15475"/>
    <w:rsid w:val="00C30EF2"/>
    <w:rsid w:val="00C34866"/>
    <w:rsid w:val="00C54039"/>
    <w:rsid w:val="00C65D36"/>
    <w:rsid w:val="00C70720"/>
    <w:rsid w:val="00C73374"/>
    <w:rsid w:val="00C802EA"/>
    <w:rsid w:val="00CA5320"/>
    <w:rsid w:val="00CB0512"/>
    <w:rsid w:val="00CE1036"/>
    <w:rsid w:val="00CE723C"/>
    <w:rsid w:val="00CF2F09"/>
    <w:rsid w:val="00CF6AF3"/>
    <w:rsid w:val="00D10A00"/>
    <w:rsid w:val="00D134B3"/>
    <w:rsid w:val="00D141DE"/>
    <w:rsid w:val="00D20C61"/>
    <w:rsid w:val="00D21ADA"/>
    <w:rsid w:val="00D36E9D"/>
    <w:rsid w:val="00D523B8"/>
    <w:rsid w:val="00D843CC"/>
    <w:rsid w:val="00D95BA9"/>
    <w:rsid w:val="00DC2C32"/>
    <w:rsid w:val="00DD068E"/>
    <w:rsid w:val="00DE183D"/>
    <w:rsid w:val="00DE7E0F"/>
    <w:rsid w:val="00DF1C3D"/>
    <w:rsid w:val="00DF2639"/>
    <w:rsid w:val="00E10A0A"/>
    <w:rsid w:val="00E13B99"/>
    <w:rsid w:val="00E167CA"/>
    <w:rsid w:val="00E32F4F"/>
    <w:rsid w:val="00E44968"/>
    <w:rsid w:val="00E54B07"/>
    <w:rsid w:val="00E56919"/>
    <w:rsid w:val="00E73DDF"/>
    <w:rsid w:val="00E80840"/>
    <w:rsid w:val="00E80D03"/>
    <w:rsid w:val="00E81F24"/>
    <w:rsid w:val="00E82929"/>
    <w:rsid w:val="00E84038"/>
    <w:rsid w:val="00EB737E"/>
    <w:rsid w:val="00EC42EC"/>
    <w:rsid w:val="00EC63B4"/>
    <w:rsid w:val="00EC7CD0"/>
    <w:rsid w:val="00ED1658"/>
    <w:rsid w:val="00ED7784"/>
    <w:rsid w:val="00EE5575"/>
    <w:rsid w:val="00EF0FF9"/>
    <w:rsid w:val="00F01B8D"/>
    <w:rsid w:val="00F03212"/>
    <w:rsid w:val="00F04334"/>
    <w:rsid w:val="00F1388B"/>
    <w:rsid w:val="00F13972"/>
    <w:rsid w:val="00F21862"/>
    <w:rsid w:val="00F4297A"/>
    <w:rsid w:val="00F44B76"/>
    <w:rsid w:val="00F60209"/>
    <w:rsid w:val="00F7461A"/>
    <w:rsid w:val="00F77810"/>
    <w:rsid w:val="00F87FA7"/>
    <w:rsid w:val="00F932AA"/>
    <w:rsid w:val="00FB687D"/>
    <w:rsid w:val="00FC189A"/>
    <w:rsid w:val="00FC4FE1"/>
    <w:rsid w:val="00FD2FD0"/>
    <w:rsid w:val="00FE7884"/>
    <w:rsid w:val="00FF01AF"/>
    <w:rsid w:val="03633CE8"/>
    <w:rsid w:val="04AD267B"/>
    <w:rsid w:val="06A43FD8"/>
    <w:rsid w:val="09B802FA"/>
    <w:rsid w:val="0C090135"/>
    <w:rsid w:val="18600DA4"/>
    <w:rsid w:val="1A700323"/>
    <w:rsid w:val="1A730087"/>
    <w:rsid w:val="21AE27D6"/>
    <w:rsid w:val="22B51B96"/>
    <w:rsid w:val="24307F76"/>
    <w:rsid w:val="28322380"/>
    <w:rsid w:val="2AF62AC9"/>
    <w:rsid w:val="2B2B4536"/>
    <w:rsid w:val="2B3B13B8"/>
    <w:rsid w:val="2CCF54E4"/>
    <w:rsid w:val="2E191F4D"/>
    <w:rsid w:val="2E5A49E9"/>
    <w:rsid w:val="303C557E"/>
    <w:rsid w:val="31567C67"/>
    <w:rsid w:val="31781EF3"/>
    <w:rsid w:val="32337CF4"/>
    <w:rsid w:val="32670304"/>
    <w:rsid w:val="33515BAE"/>
    <w:rsid w:val="34072AD9"/>
    <w:rsid w:val="341541FE"/>
    <w:rsid w:val="36AB4F56"/>
    <w:rsid w:val="3899266B"/>
    <w:rsid w:val="392C2202"/>
    <w:rsid w:val="3A0850D6"/>
    <w:rsid w:val="3C2D68A1"/>
    <w:rsid w:val="3E1144CF"/>
    <w:rsid w:val="3E8838F7"/>
    <w:rsid w:val="402356EF"/>
    <w:rsid w:val="402925DA"/>
    <w:rsid w:val="404D13CF"/>
    <w:rsid w:val="48C570A4"/>
    <w:rsid w:val="49D8009E"/>
    <w:rsid w:val="4A673809"/>
    <w:rsid w:val="4BF210B7"/>
    <w:rsid w:val="4FE85C5D"/>
    <w:rsid w:val="50EB16C5"/>
    <w:rsid w:val="516F3B0A"/>
    <w:rsid w:val="525B487D"/>
    <w:rsid w:val="52C35FEA"/>
    <w:rsid w:val="53226CDE"/>
    <w:rsid w:val="54587C4A"/>
    <w:rsid w:val="55976C12"/>
    <w:rsid w:val="55A961F2"/>
    <w:rsid w:val="58D861C1"/>
    <w:rsid w:val="5BED2034"/>
    <w:rsid w:val="5C370E42"/>
    <w:rsid w:val="5C6B2DC6"/>
    <w:rsid w:val="5C8517D2"/>
    <w:rsid w:val="5D82470C"/>
    <w:rsid w:val="5F8E6CF2"/>
    <w:rsid w:val="621A3C65"/>
    <w:rsid w:val="62DB05FD"/>
    <w:rsid w:val="62FA12BF"/>
    <w:rsid w:val="63435F73"/>
    <w:rsid w:val="63D51F26"/>
    <w:rsid w:val="64F10CB0"/>
    <w:rsid w:val="66571AF5"/>
    <w:rsid w:val="67DB3077"/>
    <w:rsid w:val="6A7348E4"/>
    <w:rsid w:val="6CCA2781"/>
    <w:rsid w:val="6CE1526E"/>
    <w:rsid w:val="6F372B8E"/>
    <w:rsid w:val="70926691"/>
    <w:rsid w:val="76635DD9"/>
    <w:rsid w:val="78080052"/>
    <w:rsid w:val="789F7665"/>
    <w:rsid w:val="79E45269"/>
    <w:rsid w:val="7EBC0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0"/>
    <w:autoRedefine/>
    <w:semiHidden/>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sz w:val="32"/>
    </w:rPr>
  </w:style>
  <w:style w:type="paragraph" w:styleId="6">
    <w:name w:val="HTML Preformatted"/>
    <w:basedOn w:val="1"/>
    <w:link w:val="1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style>
  <w:style w:type="character" w:styleId="12">
    <w:name w:val="Hyperlink"/>
    <w:basedOn w:val="10"/>
    <w:autoRedefine/>
    <w:semiHidden/>
    <w:unhideWhenUsed/>
    <w:qFormat/>
    <w:uiPriority w:val="99"/>
    <w:rPr>
      <w:color w:val="0000FF"/>
      <w:u w:val="single"/>
    </w:rPr>
  </w:style>
  <w:style w:type="paragraph" w:styleId="13">
    <w:name w:val="List Paragraph"/>
    <w:basedOn w:val="1"/>
    <w:autoRedefine/>
    <w:qFormat/>
    <w:uiPriority w:val="34"/>
    <w:pPr>
      <w:ind w:firstLine="420" w:firstLineChars="200"/>
    </w:pPr>
  </w:style>
  <w:style w:type="paragraph" w:customStyle="1" w:styleId="14">
    <w:name w:val="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正文文本缩进 3 字符1"/>
    <w:link w:val="5"/>
    <w:autoRedefine/>
    <w:qFormat/>
    <w:uiPriority w:val="0"/>
    <w:rPr>
      <w:rFonts w:ascii="仿宋_GB2312" w:eastAsia="仿宋_GB2312"/>
      <w:sz w:val="32"/>
    </w:rPr>
  </w:style>
  <w:style w:type="character" w:customStyle="1" w:styleId="16">
    <w:name w:val="正文文本缩进 3 字符"/>
    <w:basedOn w:val="10"/>
    <w:autoRedefine/>
    <w:semiHidden/>
    <w:qFormat/>
    <w:uiPriority w:val="99"/>
    <w:rPr>
      <w:sz w:val="16"/>
      <w:szCs w:val="16"/>
    </w:rPr>
  </w:style>
  <w:style w:type="character" w:customStyle="1" w:styleId="17">
    <w:name w:val="页眉 字符"/>
    <w:basedOn w:val="10"/>
    <w:link w:val="4"/>
    <w:autoRedefine/>
    <w:qFormat/>
    <w:uiPriority w:val="99"/>
    <w:rPr>
      <w:sz w:val="18"/>
      <w:szCs w:val="18"/>
    </w:rPr>
  </w:style>
  <w:style w:type="character" w:customStyle="1" w:styleId="18">
    <w:name w:val="页脚 字符"/>
    <w:basedOn w:val="10"/>
    <w:link w:val="3"/>
    <w:autoRedefine/>
    <w:qFormat/>
    <w:uiPriority w:val="99"/>
    <w:rPr>
      <w:sz w:val="18"/>
      <w:szCs w:val="18"/>
    </w:rPr>
  </w:style>
  <w:style w:type="character" w:customStyle="1" w:styleId="19">
    <w:name w:val="HTML 预设格式 字符"/>
    <w:basedOn w:val="10"/>
    <w:link w:val="6"/>
    <w:autoRedefine/>
    <w:semiHidden/>
    <w:qFormat/>
    <w:uiPriority w:val="99"/>
    <w:rPr>
      <w:rFonts w:ascii="宋体" w:hAnsi="宋体" w:eastAsia="宋体" w:cs="宋体"/>
      <w:kern w:val="0"/>
      <w:sz w:val="24"/>
      <w:szCs w:val="24"/>
    </w:rPr>
  </w:style>
  <w:style w:type="character" w:customStyle="1" w:styleId="20">
    <w:name w:val="批注框文本 字符"/>
    <w:basedOn w:val="10"/>
    <w:link w:val="2"/>
    <w:autoRedefine/>
    <w:semiHidden/>
    <w:qFormat/>
    <w:uiPriority w:val="99"/>
    <w:rPr>
      <w:sz w:val="18"/>
      <w:szCs w:val="18"/>
    </w:rPr>
  </w:style>
  <w:style w:type="paragraph" w:customStyle="1" w:styleId="21">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2">
    <w:name w:val="二级无标题条"/>
    <w:basedOn w:val="1"/>
    <w:autoRedefine/>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905E3-2F71-4F7B-A3B1-5537C005D1D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132</Words>
  <Characters>756</Characters>
  <Lines>6</Lines>
  <Paragraphs>1</Paragraphs>
  <TotalTime>0</TotalTime>
  <ScaleCrop>false</ScaleCrop>
  <LinksUpToDate>false</LinksUpToDate>
  <CharactersWithSpaces>887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2020-08-26T08:27:00Z</dcterms:created>
  <dc:creator>USER</dc:creator>
  <cp:lastModifiedBy>李军凯</cp:lastModifiedBy>
  <cp:lastPrinted>2020-02-05T02:38:00Z</cp:lastPrinted>
  <dcterms:modified xsi:type="dcterms:W3CDTF">2024-04-15T02:55:05Z</dcterms:modified>
  <dc:title>市场监管总局关于开展口罩产品质量监督专项抽查有关工作的通知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DC49D3411CE7415FA1D836367E8FACDE_12</vt:lpwstr>
  </property>
</Properties>
</file>