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399"/>
        <w:spacing w:before="370" w:line="219" w:lineRule="auto"/>
        <w:rPr>
          <w:rFonts w:ascii="SimSun" w:hAnsi="SimSun" w:eastAsia="SimSun" w:cs="SimSun"/>
          <w:sz w:val="114"/>
          <w:szCs w:val="114"/>
        </w:rPr>
      </w:pPr>
      <w:r>
        <w:rPr>
          <w:rFonts w:ascii="SimSun" w:hAnsi="SimSun" w:eastAsia="SimSun" w:cs="SimSun"/>
          <w:sz w:val="114"/>
          <w:szCs w:val="114"/>
          <w:color w:val="E52F2D"/>
          <w14:textOutline w14:w="20700" w14:cap="flat" w14:cmpd="sng">
            <w14:solidFill>
              <w14:srgbClr w14:val="E52F2D"/>
            </w14:solidFill>
            <w14:prstDash w14:val="solid"/>
            <w14:miter w14:lim="10"/>
          </w14:textOutline>
          <w:spacing w:val="-77"/>
          <w:w w:val="67"/>
        </w:rPr>
        <w:t>信阳市平桥区人民政府文件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292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信平政文〔2021〕143号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80" w:lineRule="exact"/>
        <w:textAlignment w:val="center"/>
        <w:rPr/>
      </w:pPr>
      <w:r>
        <w:drawing>
          <wp:inline distT="0" distB="0" distL="0" distR="0">
            <wp:extent cx="5676883" cy="507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883" cy="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585"/>
        <w:spacing w:before="123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信阳市平桥区人民政府</w:t>
      </w:r>
    </w:p>
    <w:p>
      <w:pPr>
        <w:ind w:firstLine="1605"/>
        <w:spacing w:before="260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关于重大行政决策程序的实施意见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148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各乡、镇人民政府，办事处、管委会，区政府各部门∶</w:t>
      </w:r>
    </w:p>
    <w:p>
      <w:pPr>
        <w:ind w:left="29" w:firstLine="729"/>
        <w:spacing w:before="150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为健全科学、民主、依法决策机制，规范重大行政决策程序，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提高决策质量和效率，明确决策责任，根据《重大行政决策程序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暂行条例》有关规定，结合我区实际，制定本实施意见。</w:t>
      </w:r>
    </w:p>
    <w:p>
      <w:pPr>
        <w:ind w:firstLine="744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一、重大行政决策的范围、决策机关和目录清单的制定</w:t>
      </w:r>
    </w:p>
    <w:p>
      <w:pPr>
        <w:ind w:left="118" w:right="5" w:firstLine="346"/>
        <w:spacing w:before="251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（一）本意见所称重大行政决策，是指决策机关依照法定职责，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对关系本辖区、本部门经济社会发展全局，社会涉及面广，与公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民、法人和其他组织利益密切相关的下列事项作出的决定∶</w:t>
      </w:r>
    </w:p>
    <w:p>
      <w:pPr>
        <w:ind w:left="119" w:firstLine="639"/>
        <w:spacing w:before="1" w:line="3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1.制定有关公共服务、市场监管、环境保护、资源开发利用、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劳动就业、社会保障、教育、医疗卫生、住宅建设、安全生产、</w:t>
      </w:r>
    </w:p>
    <w:p>
      <w:pPr>
        <w:sectPr>
          <w:pgSz w:w="11920" w:h="16840"/>
          <w:pgMar w:top="1431" w:right="1420" w:bottom="0" w:left="1410" w:header="0" w:footer="0" w:gutter="0"/>
        </w:sectPr>
        <w:rPr/>
      </w:pPr>
    </w:p>
    <w:p>
      <w:pPr>
        <w:ind w:firstLine="110"/>
        <w:spacing w:before="6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交通管理等方面的重大政策措施;</w:t>
      </w:r>
    </w:p>
    <w:p>
      <w:pPr>
        <w:ind w:left="89" w:firstLine="549"/>
        <w:spacing w:before="266" w:line="3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2.制定经济和社会发展等方面的重要规划，编制国民经济和</w:t>
      </w:r>
      <w:r>
        <w:rPr>
          <w:rFonts w:ascii="FangSong" w:hAnsi="FangSong" w:eastAsia="FangSong" w:cs="FangSong"/>
          <w:sz w:val="30"/>
          <w:szCs w:val="30"/>
          <w:spacing w:val="22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社会发展规划、年度计划，编制各类总体规划、重要的区域规划</w:t>
      </w:r>
    </w:p>
    <w:p>
      <w:pPr>
        <w:ind w:firstLine="89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w w:val="111"/>
        </w:rPr>
        <w:t>和专项规划;</w:t>
      </w:r>
    </w:p>
    <w:p>
      <w:pPr>
        <w:ind w:left="89" w:right="33" w:firstLine="549"/>
        <w:spacing w:before="236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1"/>
        </w:rPr>
        <w:t>3.制定开发利用、保护重要自然资源和文化资源的重大公共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  <w:w w:val="105"/>
        </w:rPr>
        <w:t>政策和措施;</w:t>
      </w:r>
    </w:p>
    <w:p>
      <w:pPr>
        <w:ind w:firstLine="639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4.决定在本行政区域实施的重大公共建设项目;</w:t>
      </w:r>
    </w:p>
    <w:p>
      <w:pPr>
        <w:ind w:firstLine="639"/>
        <w:spacing w:before="27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5.研究重大政府投资项目和重大国有资产处置;</w:t>
      </w:r>
    </w:p>
    <w:p>
      <w:pPr>
        <w:ind w:left="40" w:right="29" w:firstLine="599"/>
        <w:spacing w:before="26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1"/>
        </w:rPr>
        <w:t>6.确定和调整重要的行政事业性收费以及政府定价的重要商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品、服务价格;</w:t>
      </w:r>
    </w:p>
    <w:p>
      <w:pPr>
        <w:ind w:firstLine="63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7.制定行政管理体制改革的重大措施;</w:t>
      </w:r>
    </w:p>
    <w:p>
      <w:pPr>
        <w:ind w:left="89" w:right="26" w:firstLine="549"/>
        <w:spacing w:before="260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w w:val="105"/>
        </w:rPr>
        <w:t>8.其他涉及重大公共利益或者社会公众切身利益的重大事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项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ind w:left="89" w:right="52" w:firstLine="530"/>
        <w:spacing w:before="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（二）重大行政决策的决策机关是区人民政府、各乡镇人民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政府、办事处、管委会和区直各部门。</w:t>
      </w:r>
    </w:p>
    <w:p>
      <w:pPr>
        <w:ind w:right="28" w:firstLine="620"/>
        <w:spacing w:before="3" w:line="3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（三）决策机关应当根据本意见所列明的重大行政决策，结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合职责权限和本辖区或者各部门实际，确定重大行政决策事项目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录、标准，经同级党委同意后向社会公布，并根据实际情况对目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录进行动态调整。</w:t>
      </w:r>
    </w:p>
    <w:p>
      <w:pPr>
        <w:ind w:firstLine="704"/>
        <w:spacing w:before="219" w:line="431" w:lineRule="exact"/>
        <w:outlineLvl w:val="6"/>
        <w:rPr>
          <w:rFonts w:ascii="DengXian" w:hAnsi="DengXian" w:eastAsia="DengXian" w:cs="DengXian"/>
          <w:sz w:val="30"/>
          <w:szCs w:val="30"/>
        </w:rPr>
      </w:pPr>
      <w:r>
        <w:rPr>
          <w:rFonts w:ascii="DengXian" w:hAnsi="DengXian" w:eastAsia="DengXian" w:cs="DengXian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3"/>
        </w:rPr>
        <w:t>二、重大行政决策应当坚持的原则</w:t>
      </w:r>
    </w:p>
    <w:p>
      <w:pPr>
        <w:ind w:right="23" w:firstLine="720"/>
        <w:spacing w:before="250" w:line="3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重大行政决策必须坚持和加强党的全面领导，把党的领导贯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彻到重大行政决策全过程。作出重大行政决策应当遵循科学、民</w:t>
      </w:r>
    </w:p>
    <w:p>
      <w:pPr>
        <w:sectPr>
          <w:footerReference w:type="default" r:id="rId2"/>
          <w:pgSz w:w="11920" w:h="16840"/>
          <w:pgMar w:top="1427" w:right="1487" w:bottom="1236" w:left="1459" w:header="0" w:footer="1156" w:gutter="0"/>
        </w:sectPr>
        <w:rPr/>
      </w:pPr>
    </w:p>
    <w:p>
      <w:pPr>
        <w:ind w:left="6" w:right="101"/>
        <w:spacing w:before="59" w:line="3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主、依法决策原则，依法接受本级人民代表大会及其常务委员会</w:t>
      </w:r>
      <w:r>
        <w:rPr>
          <w:rFonts w:ascii="FangSong" w:hAnsi="FangSong" w:eastAsia="FangSong" w:cs="FangSong"/>
          <w:sz w:val="30"/>
          <w:szCs w:val="30"/>
          <w:spacing w:val="24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的监督，上级行政机关应当加强对下级行政机关重大行政决策的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监督，审计机关按照规定对重大行政决策进行监督。</w:t>
      </w:r>
    </w:p>
    <w:p>
      <w:pPr>
        <w:ind w:firstLine="716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三、重大行政决策程序</w:t>
      </w:r>
    </w:p>
    <w:p>
      <w:pPr>
        <w:ind w:left="96" w:right="103" w:firstLine="620"/>
        <w:spacing w:before="250" w:line="3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严格按照“决策启动、公众参与、专家论证、风险评估、合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法性审查、集体讨论决定、决策公布”的法定程序实施。</w:t>
      </w:r>
    </w:p>
    <w:p>
      <w:pPr>
        <w:ind w:firstLine="456"/>
        <w:spacing w:before="1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4"/>
        </w:rPr>
        <w:t>（一）决策启动</w:t>
      </w:r>
    </w:p>
    <w:p>
      <w:pPr>
        <w:ind w:left="96" w:firstLine="620"/>
        <w:spacing w:before="256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对各方面提出的决策事项建议，应由有关单位先进行研究论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证，报请决策机关决定是否启动决策程序。决定启动决策程序的，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13"/>
        </w:rPr>
        <w:t>应明确决策事项的承办单位，承办单位应按规定拟定决策草案，</w:t>
      </w:r>
      <w:r>
        <w:rPr>
          <w:rFonts w:ascii="FangSong" w:hAnsi="FangSong" w:eastAsia="FangSong" w:cs="FangSong"/>
          <w:sz w:val="30"/>
          <w:szCs w:val="30"/>
          <w:spacing w:val="13"/>
        </w:rPr>
        <w:t>  </w:t>
      </w:r>
      <w:r>
        <w:rPr>
          <w:rFonts w:ascii="FangSong" w:hAnsi="FangSong" w:eastAsia="FangSong" w:cs="FangSong"/>
          <w:sz w:val="30"/>
          <w:szCs w:val="30"/>
          <w:spacing w:val="8"/>
        </w:rPr>
        <w:t>对存在较大分歧的决策事项，可以提出两个以上方案。</w:t>
      </w:r>
    </w:p>
    <w:p>
      <w:pPr>
        <w:ind w:firstLine="461"/>
        <w:spacing w:line="226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（二）公众参与</w:t>
      </w:r>
    </w:p>
    <w:p>
      <w:pPr>
        <w:ind w:left="6" w:right="95" w:firstLine="639"/>
        <w:spacing w:before="252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除依法不予公开的决策事项外，决策承办单位应当采取便于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社会公众参与的方式充分听取意见，决策承办单位应充分采纳公</w:t>
      </w:r>
      <w:r>
        <w:rPr>
          <w:rFonts w:ascii="FangSong" w:hAnsi="FangSong" w:eastAsia="FangSong" w:cs="FangSong"/>
          <w:sz w:val="30"/>
          <w:szCs w:val="30"/>
          <w:spacing w:val="26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众合理意见，完善决策草案。</w:t>
      </w:r>
    </w:p>
    <w:p>
      <w:pPr>
        <w:ind w:right="20" w:firstLine="646"/>
        <w:spacing w:before="3" w:line="3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涉及公民、法人、其他组织切身利益或者存在较大分歧的、</w:t>
      </w:r>
      <w:r>
        <w:rPr>
          <w:rFonts w:ascii="FangSong" w:hAnsi="FangSong" w:eastAsia="FangSong" w:cs="FangSong"/>
          <w:sz w:val="30"/>
          <w:szCs w:val="30"/>
          <w:spacing w:val="24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法律法规及规章规定应当听证的、可能影响社会稳定的，应当召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开听证会。决策承办单位应当在听证会举行15日前公告下列事项∶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Times New Roman" w:hAnsi="Times New Roman" w:eastAsia="Times New Roman" w:cs="Times New Roman"/>
          <w:sz w:val="30"/>
          <w:szCs w:val="30"/>
          <w:spacing w:val="7"/>
          <w:w w:val="103"/>
          <w:position w:val="1"/>
        </w:rPr>
        <w:t>l1.</w:t>
      </w:r>
      <w:r>
        <w:rPr>
          <w:rFonts w:ascii="Times New Roman" w:hAnsi="Times New Roman" w:eastAsia="Times New Roman" w:cs="Times New Roman"/>
          <w:sz w:val="30"/>
          <w:szCs w:val="30"/>
          <w:spacing w:val="31"/>
          <w:w w:val="101"/>
          <w:position w:val="1"/>
        </w:rPr>
        <w:t>  </w:t>
      </w:r>
      <w:r>
        <w:rPr>
          <w:rFonts w:ascii="FangSong" w:hAnsi="FangSong" w:eastAsia="FangSong" w:cs="FangSong"/>
          <w:sz w:val="30"/>
          <w:szCs w:val="30"/>
          <w:spacing w:val="7"/>
          <w:w w:val="103"/>
        </w:rPr>
        <w:t>举行听证会的时间、地点;2.拟作出的决策内容、理由、依据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和背景资料;</w:t>
      </w:r>
      <w:r>
        <w:rPr>
          <w:rFonts w:ascii="FangSong" w:hAnsi="FangSong" w:eastAsia="FangSong" w:cs="FangSong"/>
          <w:sz w:val="30"/>
          <w:szCs w:val="30"/>
          <w:spacing w:val="102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3.申请参加听证会的时间、方式。听证参加人的基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本情况应当向社会公布。听证应当制作笔录并交听证参加人签字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或者盖章，根据听证笔录制作的听证报告应当作为决策的重要依</w:t>
      </w:r>
    </w:p>
    <w:p>
      <w:pPr>
        <w:sectPr>
          <w:footerReference w:type="default" r:id="rId3"/>
          <w:pgSz w:w="11920" w:h="16840"/>
          <w:pgMar w:top="1426" w:right="1430" w:bottom="1164" w:left="1453" w:header="0" w:footer="1076" w:gutter="0"/>
        </w:sectPr>
        <w:rPr/>
      </w:pPr>
    </w:p>
    <w:p>
      <w:pPr>
        <w:spacing w:before="6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据</w:t>
      </w:r>
      <w:r>
        <w:rPr>
          <w:rFonts w:ascii="FangSong" w:hAnsi="FangSong" w:eastAsia="FangSong" w:cs="FangSong"/>
          <w:sz w:val="30"/>
          <w:szCs w:val="30"/>
          <w:spacing w:val="51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ind w:firstLine="569"/>
        <w:spacing w:before="276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（三）专家论证</w:t>
      </w:r>
    </w:p>
    <w:p>
      <w:pPr>
        <w:ind w:left="99" w:right="94" w:firstLine="640"/>
        <w:spacing w:before="26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对专业性、技术性较强的决策事项，决策承办单位应当组织</w:t>
      </w:r>
      <w:r>
        <w:rPr>
          <w:rFonts w:ascii="FangSong" w:hAnsi="FangSong" w:eastAsia="FangSong" w:cs="FangSong"/>
          <w:sz w:val="30"/>
          <w:szCs w:val="30"/>
          <w:spacing w:val="22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专家、专业机构论证决策的必要性、可行性、科学性，提出书面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论证意见的，应当署名、盖章。决策承办单位组织专家论证，可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以采取论证会、书面咨询等方式进行，专家或者专业机构的论证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意见应当作为决策的重要依据。</w:t>
      </w:r>
    </w:p>
    <w:p>
      <w:pPr>
        <w:ind w:firstLine="464"/>
        <w:spacing w:before="11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（四）风险评估</w:t>
      </w:r>
    </w:p>
    <w:p>
      <w:pPr>
        <w:ind w:firstLine="639"/>
        <w:spacing w:before="26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重大行政决策的实施可能对社会稳定、公共安全、环境、经</w:t>
      </w:r>
      <w:r>
        <w:rPr>
          <w:rFonts w:ascii="FangSong" w:hAnsi="FangSong" w:eastAsia="FangSong" w:cs="FangSong"/>
          <w:sz w:val="30"/>
          <w:szCs w:val="30"/>
          <w:spacing w:val="17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济等方面造成不利影响的，决策承办单位或者负责风险评估工作</w:t>
      </w:r>
      <w:r>
        <w:rPr>
          <w:rFonts w:ascii="FangSong" w:hAnsi="FangSong" w:eastAsia="FangSong" w:cs="FangSong"/>
          <w:sz w:val="30"/>
          <w:szCs w:val="30"/>
          <w:spacing w:val="23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的其他单位应当组织评估决策草案的风险可控性，对有关风险已</w:t>
      </w:r>
      <w:r>
        <w:rPr>
          <w:rFonts w:ascii="FangSong" w:hAnsi="FangSong" w:eastAsia="FangSong" w:cs="FangSong"/>
          <w:sz w:val="30"/>
          <w:szCs w:val="30"/>
          <w:spacing w:val="26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经进行评估的，不再重复评估。未经风险评估的，不得作出决策。</w:t>
      </w:r>
    </w:p>
    <w:p>
      <w:pPr>
        <w:ind w:firstLine="574"/>
        <w:spacing w:before="2" w:line="22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（五）合法性审查</w:t>
      </w:r>
    </w:p>
    <w:p>
      <w:pPr>
        <w:ind w:left="29" w:right="99" w:firstLine="690"/>
        <w:spacing w:before="261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决策草案提交决策机关讨论前，应当由负责合法性审查的部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门或者机构进行合法性审查，不得以征求意见的方式代替合法性</w:t>
      </w:r>
      <w:r>
        <w:rPr>
          <w:rFonts w:ascii="FangSong" w:hAnsi="FangSong" w:eastAsia="FangSong" w:cs="FangSong"/>
          <w:sz w:val="30"/>
          <w:szCs w:val="30"/>
          <w:spacing w:val="17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审查，合法性审查的期限一般不少于</w:t>
      </w:r>
      <w:r>
        <w:rPr>
          <w:rFonts w:ascii="FangSong" w:hAnsi="FangSong" w:eastAsia="FangSong" w:cs="FangSong"/>
          <w:sz w:val="30"/>
          <w:szCs w:val="30"/>
          <w:spacing w:val="51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7个工作日。合法性审查的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内容应当包括以下内容∶</w:t>
      </w:r>
    </w:p>
    <w:p>
      <w:pPr>
        <w:ind w:firstLine="639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1.决策事项是否符合法定权限;</w:t>
      </w:r>
    </w:p>
    <w:p>
      <w:pPr>
        <w:ind w:firstLine="719"/>
        <w:spacing w:before="27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2.决策草案的形成是否履行了相关的法定程序;</w:t>
      </w:r>
    </w:p>
    <w:p>
      <w:pPr>
        <w:ind w:right="121" w:firstLine="71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3.决策草案内容是否符合有关法律法规、规章和国家政策的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-15"/>
        </w:rPr>
        <w:t>规</w:t>
      </w:r>
      <w:r>
        <w:rPr>
          <w:rFonts w:ascii="FangSong" w:hAnsi="FangSong" w:eastAsia="FangSong" w:cs="FangSong"/>
          <w:sz w:val="30"/>
          <w:szCs w:val="30"/>
          <w:spacing w:val="-32"/>
        </w:rPr>
        <w:t> </w:t>
      </w:r>
      <w:r>
        <w:rPr>
          <w:rFonts w:ascii="FangSong" w:hAnsi="FangSong" w:eastAsia="FangSong" w:cs="FangSong"/>
          <w:sz w:val="30"/>
          <w:szCs w:val="30"/>
          <w:spacing w:val="-15"/>
        </w:rPr>
        <w:t>定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5"/>
        </w:rPr>
        <w:t>;</w:t>
      </w:r>
    </w:p>
    <w:p>
      <w:pPr>
        <w:ind w:firstLine="63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4.其他需要进行合法性审查的事项。</w:t>
      </w:r>
    </w:p>
    <w:p>
      <w:pPr>
        <w:sectPr>
          <w:footerReference w:type="default" r:id="rId4"/>
          <w:pgSz w:w="11920" w:h="16840"/>
          <w:pgMar w:top="1417" w:right="1429" w:bottom="1164" w:left="1440" w:header="0" w:footer="1078" w:gutter="0"/>
        </w:sectPr>
        <w:rPr/>
      </w:pPr>
    </w:p>
    <w:p>
      <w:pPr>
        <w:ind w:left="40" w:right="50" w:firstLine="649"/>
        <w:spacing w:before="61" w:line="3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合法性审查中，应当组织法律顾问或者公职律师提出法律意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见。决策草案未经合法性审查或者审查不合法的，不得提交决策</w:t>
      </w:r>
      <w:r>
        <w:rPr>
          <w:rFonts w:ascii="FangSong" w:hAnsi="FangSong" w:eastAsia="FangSong" w:cs="FangSong"/>
          <w:sz w:val="30"/>
          <w:szCs w:val="30"/>
          <w:spacing w:val="24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机关讨论。</w:t>
      </w:r>
    </w:p>
    <w:p>
      <w:pPr>
        <w:ind w:firstLine="434"/>
        <w:spacing w:before="1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（六）集体讨论决定</w:t>
      </w:r>
    </w:p>
    <w:p>
      <w:pPr>
        <w:ind w:right="47" w:firstLine="710"/>
        <w:spacing w:before="248" w:line="3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决策草案应当经过决策机关常务会议或者全体会议讨论，决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策机关行政负责人在其他成员讨论后最后发表意见，其拟作出的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决定与会议组成人员多数人的意见不一致的，应当在会上说明理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由。决策机关常务会议或者全体会议应当记录重大行政决策草案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的讨论情况及决定，对不同意见应当载明。重大行政决策出台前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应当按照规定向同级党委请示报告。</w:t>
      </w:r>
    </w:p>
    <w:p>
      <w:pPr>
        <w:ind w:firstLine="454"/>
        <w:spacing w:before="1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（七）决策公布</w:t>
      </w:r>
    </w:p>
    <w:p>
      <w:pPr>
        <w:ind w:left="79" w:right="46" w:firstLine="549"/>
        <w:spacing w:before="246" w:line="3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除依法不予公开的外，决策机关应当按照政府信息公开的有</w:t>
      </w:r>
      <w:r>
        <w:rPr>
          <w:rFonts w:ascii="FangSong" w:hAnsi="FangSong" w:eastAsia="FangSong" w:cs="FangSong"/>
          <w:sz w:val="30"/>
          <w:szCs w:val="30"/>
          <w:spacing w:val="22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关规定，自作出决策之日起</w:t>
      </w:r>
      <w:r>
        <w:rPr>
          <w:rFonts w:ascii="FangSong" w:hAnsi="FangSong" w:eastAsia="FangSong" w:cs="FangSong"/>
          <w:sz w:val="30"/>
          <w:szCs w:val="30"/>
          <w:spacing w:val="49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20日内通过政府网站或市级以上发行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</w:rPr>
        <w:t>的报纸及时公布重大行政决策。</w:t>
      </w:r>
    </w:p>
    <w:p>
      <w:pPr>
        <w:ind w:firstLine="714"/>
        <w:spacing w:before="1" w:line="220" w:lineRule="auto"/>
        <w:outlineLvl w:val="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四、重大行政决策的执行和决策目录的动态调整</w:t>
      </w:r>
    </w:p>
    <w:p>
      <w:pPr>
        <w:ind w:left="79" w:firstLine="630"/>
        <w:spacing w:before="263" w:line="3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决策机关应当对目录内的决策事项明确具体的执行单位，并</w:t>
      </w:r>
      <w:r>
        <w:rPr>
          <w:rFonts w:ascii="FangSong" w:hAnsi="FangSong" w:eastAsia="FangSong" w:cs="FangSong"/>
          <w:sz w:val="30"/>
          <w:szCs w:val="30"/>
          <w:spacing w:val="2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对执行情况督促检查。因重大行政决策存在重大问题、客观情况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发生重大变化、决策执行中发生不可抗力等严重影响决策目标实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现的，决策执行单位应及时向决策机关报告，情况紧急的，决策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机关负责人可以先决定中止执行;需要做出重大调整的，应当履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行相关法定程序。出现法定情形时，应当开展决策后评估，评估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结果作为调整重大行政决策和对决策目录进行动态调整的重要依</w:t>
      </w:r>
    </w:p>
    <w:p>
      <w:pPr>
        <w:sectPr>
          <w:footerReference w:type="default" r:id="rId5"/>
          <w:pgSz w:w="11920" w:h="16840"/>
          <w:pgMar w:top="1416" w:right="1483" w:bottom="1208" w:left="1469" w:header="0" w:footer="1103" w:gutter="0"/>
        </w:sectPr>
        <w:rPr/>
      </w:pPr>
    </w:p>
    <w:p>
      <w:pPr>
        <w:ind w:firstLine="109"/>
        <w:spacing w:before="8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据</w:t>
      </w:r>
      <w:r>
        <w:rPr>
          <w:rFonts w:ascii="FangSong" w:hAnsi="FangSong" w:eastAsia="FangSong" w:cs="FangSong"/>
          <w:sz w:val="30"/>
          <w:szCs w:val="30"/>
          <w:spacing w:val="52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ind w:firstLine="829"/>
        <w:spacing w:before="27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五、法律责任</w:t>
      </w:r>
    </w:p>
    <w:p>
      <w:pPr>
        <w:ind w:left="109" w:right="14" w:firstLine="740"/>
        <w:spacing w:before="280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各乡镇人民政府、办事处、管委会及区直各部门在作出重大</w:t>
      </w:r>
      <w:r>
        <w:rPr>
          <w:rFonts w:ascii="FangSong" w:hAnsi="FangSong" w:eastAsia="FangSong" w:cs="FangSong"/>
          <w:sz w:val="30"/>
          <w:szCs w:val="30"/>
          <w:spacing w:val="21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行政决策时，违反法律法规、规章的规定，由区人民政府责令改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20"/>
        </w:rPr>
        <w:t>正，对决策机关负责人、负有责任的分管负责人和其他直接责任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20"/>
        </w:rPr>
        <w:t>人员严肃问责，依法依纪依规追究责任。决策机关集体讨论决策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草案时，有关人员对严重失误的决策表示不同意见的，按照规定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减免责任。决策承办单位或者承担决策有关工作的单位未按照规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20"/>
        </w:rPr>
        <w:t>定履行决策程序或者履行决策程序时失职渎职、弄虚作假的，由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决策机关责令改正，对负有责任的领导人员和直接责任人员依法</w:t>
      </w:r>
      <w:r>
        <w:rPr>
          <w:rFonts w:ascii="FangSong" w:hAnsi="FangSong" w:eastAsia="FangSong" w:cs="FangSong"/>
          <w:sz w:val="30"/>
          <w:szCs w:val="30"/>
          <w:spacing w:val="17"/>
        </w:rPr>
        <w:t> </w:t>
      </w:r>
      <w:r>
        <w:rPr>
          <w:rFonts w:ascii="FangSong" w:hAnsi="FangSong" w:eastAsia="FangSong" w:cs="FangSong"/>
          <w:sz w:val="30"/>
          <w:szCs w:val="30"/>
          <w:spacing w:val="20"/>
        </w:rPr>
        <w:t>依纪依规追究责任。决策执行单位拒不执行、推诿执行、拖延执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行制度行政决策，或者对执行中发现的重大问题瞒报、谎报或者</w:t>
      </w:r>
      <w:r>
        <w:rPr>
          <w:rFonts w:ascii="FangSong" w:hAnsi="FangSong" w:eastAsia="FangSong" w:cs="FangSong"/>
          <w:sz w:val="30"/>
          <w:szCs w:val="30"/>
          <w:spacing w:val="21"/>
        </w:rPr>
        <w:t> </w:t>
      </w:r>
      <w:r>
        <w:rPr>
          <w:rFonts w:ascii="FangSong" w:hAnsi="FangSong" w:eastAsia="FangSong" w:cs="FangSong"/>
          <w:sz w:val="30"/>
          <w:szCs w:val="30"/>
          <w:spacing w:val="19"/>
        </w:rPr>
        <w:t>漏报的，由决策机关责令改正，对负有责任的领导人员和直接责</w:t>
      </w:r>
      <w:r>
        <w:rPr>
          <w:rFonts w:ascii="FangSong" w:hAnsi="FangSong" w:eastAsia="FangSong" w:cs="FangSong"/>
          <w:sz w:val="30"/>
          <w:szCs w:val="30"/>
          <w:spacing w:val="24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任人员依法依纪依规追究责任。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5488" w:right="1094" w:hanging="579"/>
        <w:spacing w:before="98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信阳市平桥区人民政府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2021</w:t>
      </w:r>
      <w:r>
        <w:rPr>
          <w:rFonts w:ascii="FangSong" w:hAnsi="FangSong" w:eastAsia="FangSong" w:cs="FangSong"/>
          <w:sz w:val="30"/>
          <w:szCs w:val="30"/>
          <w:spacing w:val="98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年10</w:t>
      </w:r>
      <w:r>
        <w:rPr>
          <w:rFonts w:ascii="FangSong" w:hAnsi="FangSong" w:eastAsia="FangSong" w:cs="FangSong"/>
          <w:sz w:val="30"/>
          <w:szCs w:val="30"/>
          <w:spacing w:val="-27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月12</w:t>
      </w:r>
      <w:r>
        <w:rPr>
          <w:rFonts w:ascii="FangSong" w:hAnsi="FangSong" w:eastAsia="FangSong" w:cs="FangSong"/>
          <w:sz w:val="30"/>
          <w:szCs w:val="30"/>
          <w:spacing w:val="-31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日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40" w:lineRule="exact"/>
        <w:textAlignment w:val="center"/>
        <w:rPr/>
      </w:pPr>
      <w:r>
        <w:drawing>
          <wp:inline distT="0" distB="0" distL="0" distR="0">
            <wp:extent cx="5778449" cy="2536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449" cy="2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6" w:line="222" w:lineRule="auto"/>
        <w:tabs>
          <w:tab w:val="left" w:pos="395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Arial" w:hAnsi="Arial" w:eastAsia="Arial" w:cs="Arial"/>
          <w:sz w:val="36"/>
          <w:szCs w:val="36"/>
          <w:u w:val="single" w:color="auto"/>
        </w:rPr>
        <w:tab/>
      </w:r>
      <w:r>
        <w:rPr>
          <w:rFonts w:ascii="FangSong" w:hAnsi="FangSong" w:eastAsia="FangSong" w:cs="FangSong"/>
          <w:sz w:val="36"/>
          <w:szCs w:val="36"/>
          <w:u w:val="single" w:color="auto"/>
          <w:spacing w:val="-35"/>
        </w:rPr>
        <w:t>信阳市平桥区人民政府办公室</w:t>
      </w:r>
      <w:r>
        <w:rPr>
          <w:rFonts w:ascii="FangSong" w:hAnsi="FangSong" w:eastAsia="FangSong" w:cs="FangSong"/>
          <w:sz w:val="36"/>
          <w:szCs w:val="36"/>
          <w:u w:val="single" w:color="auto"/>
          <w:spacing w:val="5"/>
        </w:rPr>
        <w:t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5"/>
          <w:position w:val="1"/>
        </w:rPr>
        <w:t>2021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  <w:position w:val="1"/>
        </w:rPr>
        <w:t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5"/>
          <w:position w:val="1"/>
        </w:rPr>
        <w:t>年10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5"/>
          <w:position w:val="1"/>
        </w:rPr>
        <w:t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5"/>
          <w:position w:val="1"/>
        </w:rPr>
        <w:t>月12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8"/>
          <w:position w:val="1"/>
        </w:rPr>
        <w:t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5"/>
          <w:position w:val="1"/>
        </w:rPr>
        <w:t>日印发</w:t>
      </w:r>
    </w:p>
    <w:sectPr>
      <w:footerReference w:type="default" r:id="rId6"/>
      <w:pgSz w:w="12010" w:h="16900"/>
      <w:pgMar w:top="1436" w:right="1530" w:bottom="1194" w:left="1380" w:header="0" w:footer="1121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rPr>
        <w:rFonts w:ascii="Arial"/>
        <w:sz w:val="6"/>
      </w:rPr>
    </w:pPr>
    <w:r>
      <w:pict>
        <v:shape id="_x0000_s1" style="position:absolute;margin-left:289.643pt;margin-top:779.173pt;mso-position-vertical-relative:page;mso-position-horizontal-relative:page;width:7.4pt;height:6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firstLine="20"/>
                  <w:spacing w:before="20" w:line="239" w:lineRule="auto"/>
                  <w:rPr>
                    <w:rFonts w:ascii="SimSun" w:hAnsi="SimSun" w:eastAsia="SimSun" w:cs="SimSun"/>
                    <w:sz w:val="8"/>
                    <w:szCs w:val="8"/>
                  </w:rPr>
                </w:pPr>
                <w:r>
                  <w:rPr>
                    <w:rFonts w:ascii="SimSun" w:hAnsi="SimSun" w:eastAsia="SimSun" w:cs="SimSun"/>
                    <w:sz w:val="8"/>
                    <w:szCs w:val="8"/>
                  </w:rPr>
                  <w:t>二</w:t>
                </w:r>
              </w:p>
            </w:txbxContent>
          </v:textbox>
        </v:shape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76"/>
      <w:spacing w:line="87" w:lineRule="exact"/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sz w:val="12"/>
        <w:szCs w:val="12"/>
        <w:position w:val="-2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69"/>
      <w:spacing w:line="85" w:lineRule="exact"/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sz w:val="12"/>
        <w:szCs w:val="12"/>
        <w:position w:val="-2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5" w:lineRule="exact"/>
      <w:rPr>
        <w:rFonts w:ascii="Arial"/>
        <w:sz w:val="9"/>
      </w:rPr>
    </w:pPr>
    <w:r>
      <w:pict>
        <v:shape id="_x0000_s2" style="position:absolute;margin-left:290.559pt;margin-top:780.555pt;mso-position-vertical-relative:page;mso-position-horizontal-relative:page;width:6.45pt;height:7.25pt;z-index:2516613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firstLine="20"/>
                  <w:spacing w:before="19" w:line="227" w:lineRule="auto"/>
                  <w:rPr>
                    <w:rFonts w:ascii="SimSun" w:hAnsi="SimSun" w:eastAsia="SimSun" w:cs="SimSun"/>
                    <w:sz w:val="7"/>
                    <w:szCs w:val="7"/>
                  </w:rPr>
                </w:pPr>
                <w:r>
                  <w:rPr>
                    <w:rFonts w:ascii="SimSun" w:hAnsi="SimSun" w:eastAsia="SimSun" w:cs="SimSun"/>
                    <w:sz w:val="7"/>
                    <w:szCs w:val="7"/>
                    <w:spacing w:val="14"/>
                    <w:w w:val="130"/>
                  </w:rPr>
                  <w:t>，</w:t>
                </w:r>
              </w:p>
            </w:txbxContent>
          </v:textbox>
        </v:shape>
      </w:pict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89"/>
      <w:spacing w:line="73" w:lineRule="exact"/>
      <w:rPr>
        <w:rFonts w:ascii="Arial" w:hAnsi="Arial" w:eastAsia="Arial" w:cs="Arial"/>
        <w:sz w:val="10"/>
        <w:szCs w:val="10"/>
      </w:rPr>
    </w:pPr>
    <w:r>
      <w:rPr>
        <w:rFonts w:ascii="Arial" w:hAnsi="Arial" w:eastAsia="Arial" w:cs="Arial"/>
        <w:sz w:val="10"/>
        <w:szCs w:val="10"/>
        <w:position w:val="-1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2021-12-27T10:29:24</vt:filetime>
  </op:property>
</op:Properties>
</file>