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djustRightInd w:val="0"/>
        <w:snapToGrid w:val="0"/>
        <w:spacing w:line="560" w:lineRule="exact"/>
        <w:ind w:firstLine="633" w:firstLineChars="197"/>
        <w:jc w:val="center"/>
        <w:rPr>
          <w:rFonts w:cs="黑体" w:asciiTheme="majorEastAsia" w:hAnsiTheme="majorEastAsia" w:eastAsiaTheme="majorEastAsia"/>
          <w:b/>
          <w:sz w:val="32"/>
          <w:szCs w:val="32"/>
        </w:rPr>
      </w:pPr>
      <w:r>
        <w:rPr>
          <w:rFonts w:hint="eastAsia" w:cs="黑体" w:asciiTheme="majorEastAsia" w:hAnsiTheme="majorEastAsia" w:eastAsiaTheme="majorEastAsia"/>
          <w:b/>
          <w:sz w:val="32"/>
          <w:szCs w:val="32"/>
          <w:lang w:eastAsia="zh-CN"/>
        </w:rPr>
        <w:t>信阳市平桥区乡村振兴局</w:t>
      </w:r>
      <w:r>
        <w:rPr>
          <w:rFonts w:hint="eastAsia" w:cs="黑体" w:asciiTheme="majorEastAsia" w:hAnsiTheme="majorEastAsia" w:eastAsiaTheme="majorEastAsia"/>
          <w:b/>
          <w:sz w:val="32"/>
          <w:szCs w:val="32"/>
        </w:rPr>
        <w:t>202</w:t>
      </w:r>
      <w:r>
        <w:rPr>
          <w:rFonts w:hint="eastAsia" w:cs="黑体" w:asciiTheme="majorEastAsia" w:hAnsiTheme="majorEastAsia" w:eastAsiaTheme="majorEastAsia"/>
          <w:b/>
          <w:sz w:val="32"/>
          <w:szCs w:val="32"/>
          <w:lang w:val="en-US" w:eastAsia="zh-CN"/>
        </w:rPr>
        <w:t>1</w:t>
      </w:r>
      <w:r>
        <w:rPr>
          <w:rFonts w:hint="eastAsia" w:cs="黑体" w:asciiTheme="majorEastAsia" w:hAnsiTheme="majorEastAsia" w:eastAsiaTheme="majorEastAsia"/>
          <w:b/>
          <w:sz w:val="32"/>
          <w:szCs w:val="32"/>
        </w:rPr>
        <w:t>年部门预算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482" w:firstLineChars="200"/>
        <w:rPr>
          <w:rFonts w:cs="黑体" w:asciiTheme="minorEastAsia" w:hAnsiTheme="minorEastAsia"/>
          <w:b/>
          <w:sz w:val="24"/>
          <w:szCs w:val="24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firstLine="482" w:firstLineChars="200"/>
        <w:rPr>
          <w:rFonts w:cs="黑体" w:asciiTheme="minorEastAsia" w:hAnsiTheme="minorEastAsia"/>
          <w:b/>
          <w:w w:val="99"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第一部分</w:t>
      </w:r>
      <w:r>
        <w:rPr>
          <w:rFonts w:cs="黑体" w:asciiTheme="minorEastAsia" w:hAnsi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cs="黑体" w:asciiTheme="minorEastAsia" w:hAnsiTheme="minorEastAsia"/>
          <w:b/>
          <w:sz w:val="24"/>
          <w:szCs w:val="24"/>
        </w:rPr>
        <w:t>概况</w:t>
      </w:r>
      <w:r>
        <w:rPr>
          <w:rFonts w:cs="黑体" w:asciiTheme="minorEastAsia" w:hAnsiTheme="minorEastAsia"/>
          <w:b/>
          <w:w w:val="99"/>
          <w:sz w:val="24"/>
          <w:szCs w:val="24"/>
        </w:rPr>
        <w:t xml:space="preserve"> 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一、主要职能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723" w:firstLineChars="300"/>
        <w:jc w:val="left"/>
        <w:rPr>
          <w:rFonts w:hint="default" w:cs="仿宋_GB2312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二、</w:t>
      </w:r>
      <w:r>
        <w:rPr>
          <w:rFonts w:hint="eastAsia" w:cs="仿宋_GB2312" w:asciiTheme="minorEastAsia" w:hAnsiTheme="minorEastAsia"/>
          <w:b/>
          <w:sz w:val="24"/>
          <w:szCs w:val="24"/>
          <w:lang w:val="en-US" w:eastAsia="zh-CN"/>
        </w:rPr>
        <w:t>机构设置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723" w:firstLineChars="300"/>
        <w:jc w:val="left"/>
        <w:rPr>
          <w:rFonts w:hint="default" w:cs="仿宋_GB2312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cs="仿宋_GB2312" w:asciiTheme="minorEastAsia" w:hAnsiTheme="minorEastAsia"/>
          <w:b/>
          <w:sz w:val="24"/>
          <w:szCs w:val="24"/>
          <w:lang w:val="en-US" w:eastAsia="zh-CN"/>
        </w:rPr>
        <w:t>三、部门预算单位构成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482" w:firstLineChars="200"/>
        <w:rPr>
          <w:rFonts w:cs="黑体" w:asciiTheme="minorEastAsia" w:hAnsiTheme="minorEastAsia"/>
          <w:b/>
          <w:w w:val="99"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 xml:space="preserve">第二部分 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cs="黑体" w:asciiTheme="minorEastAsia" w:hAnsiTheme="minorEastAsia"/>
          <w:b/>
          <w:spacing w:val="-119"/>
          <w:sz w:val="24"/>
          <w:szCs w:val="24"/>
        </w:rPr>
        <w:t xml:space="preserve"> </w:t>
      </w:r>
      <w:r>
        <w:rPr>
          <w:rFonts w:cs="黑体" w:asciiTheme="minorEastAsia" w:hAnsiTheme="minorEastAsia"/>
          <w:b/>
          <w:sz w:val="24"/>
          <w:szCs w:val="24"/>
        </w:rPr>
        <w:t>20</w:t>
      </w:r>
      <w:r>
        <w:rPr>
          <w:rFonts w:hint="eastAsia" w:cs="黑体" w:asciiTheme="minorEastAsia" w:hAnsiTheme="minorEastAsia"/>
          <w:b/>
          <w:sz w:val="24"/>
          <w:szCs w:val="24"/>
        </w:rPr>
        <w:t>2</w:t>
      </w:r>
      <w:r>
        <w:rPr>
          <w:rFonts w:hint="eastAsia" w:cs="黑体" w:asciiTheme="minorEastAsia" w:hAnsiTheme="minorEastAsia"/>
          <w:b/>
          <w:sz w:val="24"/>
          <w:szCs w:val="24"/>
          <w:lang w:val="en-US" w:eastAsia="zh-CN"/>
        </w:rPr>
        <w:t>1</w:t>
      </w:r>
      <w:r>
        <w:rPr>
          <w:rFonts w:hint="eastAsia" w:cs="黑体" w:asciiTheme="minorEastAsia" w:hAnsiTheme="minorEastAsia"/>
          <w:b/>
          <w:sz w:val="24"/>
          <w:szCs w:val="24"/>
        </w:rPr>
        <w:t>年度部门预算情况说明</w:t>
      </w:r>
      <w:r>
        <w:rPr>
          <w:rFonts w:cs="黑体" w:asciiTheme="minorEastAsia" w:hAnsiTheme="minorEastAsia"/>
          <w:b/>
          <w:w w:val="99"/>
          <w:sz w:val="24"/>
          <w:szCs w:val="24"/>
        </w:rPr>
        <w:t xml:space="preserve"> 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482" w:firstLineChars="200"/>
        <w:rPr>
          <w:rFonts w:cs="黑体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第三部分</w:t>
      </w:r>
      <w:r>
        <w:rPr>
          <w:rFonts w:cs="黑体" w:asciiTheme="minorEastAsia" w:hAnsiTheme="minorEastAsia"/>
          <w:b/>
          <w:spacing w:val="-32"/>
          <w:sz w:val="24"/>
          <w:szCs w:val="24"/>
        </w:rPr>
        <w:t xml:space="preserve"> </w:t>
      </w:r>
      <w:r>
        <w:rPr>
          <w:rFonts w:hint="eastAsia" w:cs="黑体" w:asciiTheme="minorEastAsia" w:hAnsiTheme="minorEastAsia"/>
          <w:b/>
          <w:sz w:val="24"/>
          <w:szCs w:val="24"/>
        </w:rPr>
        <w:t>名词解释</w:t>
      </w:r>
    </w:p>
    <w:p>
      <w:pPr>
        <w:kinsoku w:val="0"/>
        <w:overflowPunct w:val="0"/>
        <w:adjustRightInd w:val="0"/>
        <w:snapToGrid w:val="0"/>
        <w:spacing w:line="560" w:lineRule="exact"/>
        <w:ind w:firstLine="482" w:firstLineChars="200"/>
        <w:rPr>
          <w:rFonts w:cs="黑体" w:asciiTheme="minorEastAsia" w:hAnsiTheme="minorEastAsia"/>
          <w:b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附件：</w:t>
      </w:r>
      <w:r>
        <w:rPr>
          <w:rFonts w:cs="黑体" w:asciiTheme="minorEastAsia" w:hAnsiTheme="minorEastAsia"/>
          <w:b/>
          <w:spacing w:val="-32"/>
          <w:sz w:val="24"/>
          <w:szCs w:val="24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cs="黑体" w:asciiTheme="minorEastAsia" w:hAnsiTheme="minorEastAsia"/>
          <w:b/>
          <w:sz w:val="24"/>
          <w:szCs w:val="24"/>
        </w:rPr>
        <w:t>202</w:t>
      </w:r>
      <w:r>
        <w:rPr>
          <w:rFonts w:hint="eastAsia" w:cs="黑体" w:asciiTheme="minorEastAsia" w:hAnsiTheme="minorEastAsia"/>
          <w:b/>
          <w:sz w:val="24"/>
          <w:szCs w:val="24"/>
          <w:lang w:val="en-US" w:eastAsia="zh-CN"/>
        </w:rPr>
        <w:t>1</w:t>
      </w:r>
      <w:r>
        <w:rPr>
          <w:rFonts w:hint="eastAsia" w:cs="黑体" w:asciiTheme="minorEastAsia" w:hAnsiTheme="minorEastAsia"/>
          <w:b/>
          <w:sz w:val="24"/>
          <w:szCs w:val="24"/>
        </w:rPr>
        <w:t>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/>
          <w:b/>
          <w:sz w:val="24"/>
          <w:szCs w:val="24"/>
        </w:rPr>
        <w:t>部门收支总体情况表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二、</w:t>
      </w:r>
      <w:r>
        <w:rPr>
          <w:rFonts w:hint="eastAsia" w:asciiTheme="minorEastAsia" w:hAnsiTheme="minorEastAsia"/>
          <w:b/>
          <w:sz w:val="24"/>
          <w:szCs w:val="24"/>
        </w:rPr>
        <w:t>部门收入总体情况表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三、</w:t>
      </w:r>
      <w:r>
        <w:rPr>
          <w:rFonts w:hint="eastAsia" w:asciiTheme="minorEastAsia" w:hAnsiTheme="minorEastAsia"/>
          <w:b/>
          <w:sz w:val="24"/>
          <w:szCs w:val="24"/>
        </w:rPr>
        <w:t>部门支出总体情况表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四、非税收入预算表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五、财政拨款收支总体情况表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六、一般公共预算支出情况表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七、一般公共预算基本支出情况表　　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八、一般公共预算“三公”经费支出情况表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九、政府性基金预算支出情况表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723" w:firstLineChars="300"/>
        <w:jc w:val="left"/>
        <w:rPr>
          <w:rFonts w:cs="仿宋_GB2312" w:asciiTheme="minorEastAsia" w:hAnsiTheme="minorEastAsia"/>
          <w:b/>
          <w:sz w:val="24"/>
          <w:szCs w:val="24"/>
        </w:rPr>
      </w:pPr>
      <w:r>
        <w:rPr>
          <w:rFonts w:hint="eastAsia" w:cs="仿宋_GB2312" w:asciiTheme="minorEastAsia" w:hAnsiTheme="minorEastAsia"/>
          <w:b/>
          <w:sz w:val="24"/>
          <w:szCs w:val="24"/>
        </w:rPr>
        <w:t>十、202</w:t>
      </w:r>
      <w:r>
        <w:rPr>
          <w:rFonts w:hint="eastAsia" w:cs="仿宋_GB2312" w:asciiTheme="minorEastAsia" w:hAnsiTheme="minorEastAsia"/>
          <w:b/>
          <w:sz w:val="24"/>
          <w:szCs w:val="24"/>
          <w:lang w:val="en-US" w:eastAsia="zh-CN"/>
        </w:rPr>
        <w:t>1</w:t>
      </w:r>
      <w:r>
        <w:rPr>
          <w:rFonts w:hint="eastAsia" w:cs="仿宋_GB2312" w:asciiTheme="minorEastAsia" w:hAnsiTheme="minorEastAsia"/>
          <w:b/>
          <w:sz w:val="24"/>
          <w:szCs w:val="24"/>
        </w:rPr>
        <w:t>年支出项目表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pStyle w:val="4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7"/>
          <w:rFonts w:ascii="ˎ̥" w:hAnsi="ˎ̥" w:cs="Arial"/>
          <w:color w:val="000000"/>
        </w:rPr>
        <w:t>　　</w:t>
      </w:r>
    </w:p>
    <w:p>
      <w:pPr>
        <w:adjustRightInd w:val="0"/>
        <w:snapToGrid w:val="0"/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Style w:val="7"/>
          <w:rFonts w:cs="Arial" w:asciiTheme="minorEastAsia" w:hAnsiTheme="minorEastAsia"/>
          <w:color w:val="000000"/>
          <w:sz w:val="24"/>
          <w:szCs w:val="24"/>
        </w:rPr>
        <w:t>　</w:t>
      </w:r>
      <w:r>
        <w:rPr>
          <w:rFonts w:hint="eastAsia" w:asciiTheme="minorEastAsia" w:hAnsiTheme="minorEastAsia"/>
          <w:b/>
          <w:sz w:val="24"/>
          <w:szCs w:val="24"/>
        </w:rPr>
        <w:t>第一部分</w:t>
      </w:r>
    </w:p>
    <w:p>
      <w:pPr>
        <w:adjustRightInd w:val="0"/>
        <w:snapToGrid w:val="0"/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b/>
          <w:sz w:val="24"/>
          <w:szCs w:val="24"/>
        </w:rPr>
        <w:t>概况</w:t>
      </w:r>
    </w:p>
    <w:p>
      <w:pPr>
        <w:adjustRightInd w:val="0"/>
        <w:snapToGrid w:val="0"/>
        <w:spacing w:line="560" w:lineRule="exact"/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</w:p>
    <w:p>
      <w:pPr>
        <w:adjustRightInd w:val="0"/>
        <w:snapToGrid w:val="0"/>
        <w:spacing w:line="560" w:lineRule="exact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b/>
          <w:sz w:val="24"/>
          <w:szCs w:val="24"/>
        </w:rPr>
        <w:t>主要职责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（一）贯彻落实国家、省、市有关扶贫开发工作的方针、政策，负责全区农业综合开发和扶贫开发工作，研究制定项目管理、财务管理等规章制度，向农民群众和社会宣传有关的方针政策。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（二）编制全区扶贫开发总体规划、年度计划，组织项目的申报、实施和检查验收，落实工程管护主体。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（三）组织调查农业后备资源，负责开发立项前的调查准备，建立项目库，确立推荐项目和组织评估论证。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（四）会同区财政局、银行搞好资金的筹集、支付报帐、办理借贷款、回收资金及财务管理。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（五）负责扶贫开发的调查研究、人员培训、统计、文档及信息管理工作；搞好科技成果的推广和应用工作；组织全区社会扶贫，督促、指导、协调对口扶贫工作；负责全区扶贫开发责任目标的考核工作。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（六）承办区政府交办的其他事项。</w:t>
      </w:r>
    </w:p>
    <w:p>
      <w:pPr>
        <w:adjustRightInd w:val="0"/>
        <w:snapToGrid w:val="0"/>
        <w:spacing w:line="560" w:lineRule="exact"/>
        <w:rPr>
          <w:rFonts w:hint="default" w:asciiTheme="minorEastAsia" w:hAnsiTheme="minorEastAsia"/>
          <w:b/>
          <w:sz w:val="24"/>
          <w:szCs w:val="24"/>
          <w:lang w:val="en-US"/>
        </w:rPr>
      </w:pPr>
      <w:r>
        <w:rPr>
          <w:rFonts w:hint="eastAsia" w:asciiTheme="minorEastAsia" w:hAnsiTheme="minorEastAsia"/>
          <w:b/>
          <w:sz w:val="24"/>
          <w:szCs w:val="24"/>
        </w:rPr>
        <w:t>二、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480" w:firstLineChars="200"/>
        <w:rPr>
          <w:rFonts w:cs="Arial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sz w:val="24"/>
          <w:szCs w:val="24"/>
        </w:rPr>
        <w:t>为一级预算单位，没有二级预算单位。其中内设机构4个：综合股、社会扶贫股、扶贫开发指导股和规划财务股。</w:t>
      </w:r>
    </w:p>
    <w:p>
      <w:pPr>
        <w:adjustRightInd w:val="0"/>
        <w:snapToGrid w:val="0"/>
        <w:spacing w:line="560" w:lineRule="exac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/>
          <w:b/>
          <w:sz w:val="24"/>
          <w:szCs w:val="24"/>
        </w:rPr>
        <w:t>、</w:t>
      </w: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b/>
          <w:sz w:val="24"/>
          <w:szCs w:val="24"/>
        </w:rPr>
        <w:t>预算单位构成</w:t>
      </w:r>
    </w:p>
    <w:p>
      <w:pPr>
        <w:spacing w:line="56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信阳市平桥区乡村振兴局</w:t>
      </w:r>
      <w:r>
        <w:rPr>
          <w:rFonts w:hint="eastAsia" w:asciiTheme="minorEastAsia" w:hAnsiTheme="minorEastAsia"/>
          <w:sz w:val="24"/>
          <w:szCs w:val="24"/>
        </w:rPr>
        <w:t>为一级预算单位，没有二级预算单位。其中内设机构4个：综合股、社会扶贫股、扶贫开发指导股和规划财务股。202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年我单位预算为本级预算。</w:t>
      </w:r>
    </w:p>
    <w:p>
      <w:pPr>
        <w:adjustRightInd w:val="0"/>
        <w:snapToGrid w:val="0"/>
        <w:spacing w:line="560" w:lineRule="exact"/>
        <w:jc w:val="center"/>
        <w:rPr>
          <w:rFonts w:cs="黑体" w:asciiTheme="minorEastAsia" w:hAnsiTheme="minorEastAsia"/>
          <w:sz w:val="24"/>
          <w:szCs w:val="24"/>
        </w:rPr>
      </w:pPr>
    </w:p>
    <w:p>
      <w:pPr>
        <w:adjustRightInd w:val="0"/>
        <w:snapToGrid w:val="0"/>
        <w:spacing w:line="560" w:lineRule="exact"/>
        <w:jc w:val="center"/>
        <w:rPr>
          <w:rFonts w:cs="黑体" w:asciiTheme="minorEastAsia" w:hAnsiTheme="minorEastAsia"/>
          <w:b/>
          <w:spacing w:val="-38"/>
          <w:sz w:val="24"/>
          <w:szCs w:val="24"/>
        </w:rPr>
      </w:pPr>
      <w:r>
        <w:rPr>
          <w:rFonts w:hint="eastAsia" w:cs="黑体" w:asciiTheme="minorEastAsia" w:hAnsiTheme="minorEastAsia"/>
          <w:b/>
          <w:sz w:val="24"/>
          <w:szCs w:val="24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eastAsia="zh-CN"/>
        </w:rPr>
        <w:t>信阳市平桥区乡村振兴局</w:t>
      </w:r>
      <w:r>
        <w:rPr>
          <w:rFonts w:cs="黑体" w:asciiTheme="minorEastAsia" w:hAnsiTheme="minorEastAsia"/>
          <w:b/>
          <w:sz w:val="24"/>
          <w:szCs w:val="24"/>
        </w:rPr>
        <w:t>20</w:t>
      </w:r>
      <w:r>
        <w:rPr>
          <w:rFonts w:hint="eastAsia" w:cs="黑体" w:asciiTheme="minorEastAsia" w:hAnsiTheme="minorEastAsia"/>
          <w:b/>
          <w:sz w:val="24"/>
          <w:szCs w:val="24"/>
        </w:rPr>
        <w:t>2</w:t>
      </w:r>
      <w:r>
        <w:rPr>
          <w:rFonts w:hint="eastAsia" w:cs="黑体" w:asciiTheme="minorEastAsia" w:hAnsiTheme="minorEastAsia"/>
          <w:b/>
          <w:sz w:val="24"/>
          <w:szCs w:val="24"/>
          <w:lang w:val="en-US" w:eastAsia="zh-CN"/>
        </w:rPr>
        <w:t>1</w:t>
      </w:r>
      <w:r>
        <w:rPr>
          <w:rFonts w:hint="eastAsia" w:cs="黑体" w:asciiTheme="minorEastAsia" w:hAnsiTheme="minorEastAsia"/>
          <w:b/>
          <w:sz w:val="24"/>
          <w:szCs w:val="24"/>
        </w:rPr>
        <w:t>年度部门预算情况说明</w:t>
      </w:r>
    </w:p>
    <w:p>
      <w:pPr>
        <w:pStyle w:val="4"/>
        <w:spacing w:line="360" w:lineRule="auto"/>
        <w:rPr>
          <w:rFonts w:cs="Arial" w:asciiTheme="minorEastAsia" w:hAnsiTheme="minorEastAsia" w:eastAsiaTheme="minorEastAsia"/>
          <w:color w:val="000000"/>
        </w:rPr>
      </w:pPr>
      <w:r>
        <w:rPr>
          <w:rStyle w:val="7"/>
          <w:rFonts w:cs="Arial" w:asciiTheme="minorEastAsia" w:hAnsiTheme="minorEastAsia" w:eastAsiaTheme="minorEastAsia"/>
          <w:b w:val="0"/>
          <w:color w:val="000000"/>
        </w:rPr>
        <w:t>　</w:t>
      </w:r>
      <w:r>
        <w:rPr>
          <w:rStyle w:val="7"/>
          <w:rFonts w:cs="Arial" w:asciiTheme="minorEastAsia" w:hAnsiTheme="minorEastAsia" w:eastAsiaTheme="minorEastAsia"/>
          <w:color w:val="000000"/>
        </w:rPr>
        <w:t>一、收入支出预算总体情况说明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年收入总计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万元，支出总计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万元，与2</w:t>
      </w:r>
      <w:r>
        <w:rPr>
          <w:rFonts w:hint="eastAsia" w:ascii="ˎ̥" w:hAnsi="ˎ̥" w:cs="Arial"/>
          <w:color w:val="000000"/>
          <w:lang w:val="en-US" w:eastAsia="zh-CN"/>
        </w:rPr>
        <w:t>020</w:t>
      </w:r>
      <w:r>
        <w:rPr>
          <w:rFonts w:ascii="ˎ̥" w:hAnsi="ˎ̥" w:cs="Arial"/>
          <w:color w:val="000000"/>
        </w:rPr>
        <w:t>年相比，收入</w:t>
      </w:r>
      <w:r>
        <w:rPr>
          <w:rFonts w:hint="eastAsia" w:ascii="ˎ̥" w:hAnsi="ˎ̥" w:cs="Arial"/>
          <w:color w:val="000000"/>
        </w:rPr>
        <w:t>、支出均减少</w:t>
      </w:r>
      <w:r>
        <w:rPr>
          <w:rFonts w:hint="eastAsia" w:ascii="ˎ̥" w:hAnsi="ˎ̥" w:cs="Arial"/>
          <w:color w:val="000000"/>
          <w:lang w:val="en-US" w:eastAsia="zh-CN"/>
        </w:rPr>
        <w:t>1.03</w:t>
      </w:r>
      <w:r>
        <w:rPr>
          <w:rFonts w:ascii="ˎ̥" w:hAnsi="ˎ̥" w:cs="Arial"/>
          <w:color w:val="000000"/>
        </w:rPr>
        <w:t>万元，</w:t>
      </w:r>
      <w:r>
        <w:rPr>
          <w:rFonts w:hint="eastAsia" w:ascii="ˎ̥" w:hAnsi="ˎ̥" w:cs="Arial"/>
          <w:color w:val="000000"/>
        </w:rPr>
        <w:t>下降</w:t>
      </w:r>
      <w:r>
        <w:rPr>
          <w:rFonts w:hint="eastAsia" w:ascii="ˎ̥" w:hAnsi="ˎ̥" w:cs="Arial"/>
          <w:color w:val="000000"/>
          <w:lang w:val="en-US" w:eastAsia="zh-CN"/>
        </w:rPr>
        <w:t>0.5</w:t>
      </w:r>
      <w:r>
        <w:rPr>
          <w:rFonts w:ascii="ˎ̥" w:hAnsi="ˎ̥" w:cs="Arial"/>
          <w:color w:val="000000"/>
        </w:rPr>
        <w:t>%。主要原因是：人员</w:t>
      </w:r>
      <w:r>
        <w:rPr>
          <w:rFonts w:hint="eastAsia" w:ascii="ˎ̥" w:hAnsi="ˎ̥" w:cs="Arial"/>
          <w:color w:val="000000"/>
        </w:rPr>
        <w:t>减少</w:t>
      </w:r>
      <w:r>
        <w:rPr>
          <w:rFonts w:ascii="ˎ̥" w:hAnsi="ˎ̥" w:cs="Arial"/>
          <w:color w:val="000000"/>
        </w:rPr>
        <w:t>，医保、住房公积金、养老保险等经费的</w:t>
      </w:r>
      <w:r>
        <w:rPr>
          <w:rFonts w:hint="eastAsia" w:ascii="ˎ̥" w:hAnsi="ˎ̥" w:cs="Arial"/>
          <w:color w:val="000000"/>
        </w:rPr>
        <w:t>减少</w:t>
      </w:r>
      <w:r>
        <w:rPr>
          <w:rFonts w:ascii="ˎ̥" w:hAnsi="ˎ̥" w:cs="Arial"/>
          <w:color w:val="000000"/>
        </w:rPr>
        <w:t>。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Style w:val="7"/>
          <w:rFonts w:ascii="ˎ̥" w:hAnsi="ˎ̥" w:cs="Arial"/>
          <w:color w:val="000000"/>
        </w:rPr>
        <w:t>二、收入预算总体情况说明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年收入合计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万元，其中一般公共预算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</w:t>
      </w:r>
      <w:r>
        <w:rPr>
          <w:rFonts w:hint="eastAsia" w:ascii="ˎ̥" w:hAnsi="ˎ̥" w:cs="Arial"/>
          <w:color w:val="000000"/>
        </w:rPr>
        <w:t>，占比100%，包含专项经费20万元。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7"/>
          <w:rFonts w:ascii="ˎ̥" w:hAnsi="ˎ̥" w:cs="Arial"/>
          <w:color w:val="000000"/>
        </w:rPr>
        <w:t>　三、支出预算总体情况说明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年支出合计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万元，其中：基本支出</w:t>
      </w:r>
      <w:r>
        <w:rPr>
          <w:rFonts w:hint="eastAsia" w:ascii="ˎ̥" w:hAnsi="ˎ̥" w:cs="Arial"/>
          <w:color w:val="000000"/>
        </w:rPr>
        <w:t>1</w:t>
      </w:r>
      <w:r>
        <w:rPr>
          <w:rFonts w:hint="eastAsia" w:ascii="ˎ̥" w:hAnsi="ˎ̥" w:cs="Arial"/>
          <w:color w:val="000000"/>
          <w:lang w:val="en-US" w:eastAsia="zh-CN"/>
        </w:rPr>
        <w:t>84.78</w:t>
      </w:r>
      <w:r>
        <w:rPr>
          <w:rFonts w:ascii="ˎ̥" w:hAnsi="ˎ̥" w:cs="Arial"/>
          <w:color w:val="000000"/>
        </w:rPr>
        <w:t>万元，占</w:t>
      </w:r>
      <w:r>
        <w:rPr>
          <w:rFonts w:hint="eastAsia" w:ascii="ˎ̥" w:hAnsi="ˎ̥" w:cs="Arial"/>
          <w:color w:val="000000"/>
        </w:rPr>
        <w:t>90.</w:t>
      </w:r>
      <w:r>
        <w:rPr>
          <w:rFonts w:hint="eastAsia" w:ascii="ˎ̥" w:hAnsi="ˎ̥" w:cs="Arial"/>
          <w:color w:val="000000"/>
          <w:lang w:val="en-US" w:eastAsia="zh-CN"/>
        </w:rPr>
        <w:t>2</w:t>
      </w:r>
      <w:r>
        <w:rPr>
          <w:rFonts w:ascii="ˎ̥" w:hAnsi="ˎ̥" w:cs="Arial"/>
          <w:color w:val="000000"/>
        </w:rPr>
        <w:t>%</w:t>
      </w:r>
      <w:r>
        <w:rPr>
          <w:rFonts w:hint="eastAsia" w:ascii="ˎ̥" w:hAnsi="ˎ̥" w:cs="Arial"/>
          <w:color w:val="000000"/>
        </w:rPr>
        <w:t>；专项支出20万元，占比9.7%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7"/>
          <w:rFonts w:ascii="ˎ̥" w:hAnsi="ˎ̥" w:cs="Arial"/>
          <w:color w:val="000000"/>
        </w:rPr>
        <w:t>　四、财政拨款收入支出预算总体情况说明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</w:t>
      </w:r>
      <w:r>
        <w:rPr>
          <w:rFonts w:hint="eastAsia" w:ascii="ˎ̥" w:hAnsi="ˎ̥" w:cs="Arial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hint="eastAsia" w:ascii="ˎ̥" w:hAnsi="ˎ̥" w:cs="Arial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hint="eastAsia"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  <w:lang w:val="en-US" w:eastAsia="zh-CN"/>
        </w:rPr>
        <w:t>4.78</w:t>
      </w:r>
      <w:r>
        <w:rPr>
          <w:rFonts w:ascii="ˎ̥" w:hAnsi="ˎ̥" w:cs="Arial"/>
          <w:color w:val="000000"/>
        </w:rPr>
        <w:t>万元，与2</w:t>
      </w:r>
      <w:r>
        <w:rPr>
          <w:rFonts w:hint="eastAsia" w:ascii="ˎ̥" w:hAnsi="ˎ̥" w:cs="Arial"/>
          <w:color w:val="000000"/>
          <w:lang w:val="en-US" w:eastAsia="zh-CN"/>
        </w:rPr>
        <w:t>020</w:t>
      </w:r>
      <w:r>
        <w:rPr>
          <w:rFonts w:ascii="ˎ̥" w:hAnsi="ˎ̥" w:cs="Arial"/>
          <w:color w:val="000000"/>
        </w:rPr>
        <w:t>年相比，</w:t>
      </w:r>
      <w:r>
        <w:rPr>
          <w:rFonts w:hint="eastAsia" w:ascii="ˎ̥" w:hAnsi="ˎ̥" w:cs="Arial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hint="eastAsia" w:ascii="ˎ̥" w:hAnsi="ˎ̥" w:cs="Arial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hint="eastAsia" w:ascii="ˎ̥" w:hAnsi="ˎ̥" w:cs="Arial"/>
          <w:color w:val="000000"/>
        </w:rPr>
        <w:t>均减少</w:t>
      </w:r>
      <w:r>
        <w:rPr>
          <w:rFonts w:hint="eastAsia" w:ascii="ˎ̥" w:hAnsi="ˎ̥" w:cs="Arial"/>
          <w:color w:val="000000"/>
          <w:lang w:val="en-US" w:eastAsia="zh-CN"/>
        </w:rPr>
        <w:t>1.03</w:t>
      </w:r>
      <w:r>
        <w:rPr>
          <w:rFonts w:ascii="ˎ̥" w:hAnsi="ˎ̥" w:cs="Arial"/>
          <w:color w:val="000000"/>
        </w:rPr>
        <w:t>万元，</w:t>
      </w:r>
      <w:r>
        <w:rPr>
          <w:rFonts w:hint="eastAsia" w:ascii="ˎ̥" w:hAnsi="ˎ̥" w:cs="Arial"/>
          <w:color w:val="000000"/>
        </w:rPr>
        <w:t>下降</w:t>
      </w:r>
      <w:r>
        <w:rPr>
          <w:rFonts w:hint="eastAsia" w:ascii="ˎ̥" w:hAnsi="ˎ̥" w:cs="Arial"/>
          <w:color w:val="000000"/>
          <w:lang w:val="en-US" w:eastAsia="zh-CN"/>
        </w:rPr>
        <w:t>0.5</w:t>
      </w:r>
      <w:r>
        <w:rPr>
          <w:rFonts w:ascii="ˎ̥" w:hAnsi="ˎ̥" w:cs="Arial"/>
          <w:color w:val="000000"/>
        </w:rPr>
        <w:t>%。主要原因是：人员</w:t>
      </w:r>
      <w:r>
        <w:rPr>
          <w:rFonts w:hint="eastAsia" w:ascii="ˎ̥" w:hAnsi="ˎ̥" w:cs="Arial"/>
          <w:color w:val="000000"/>
        </w:rPr>
        <w:t>减少</w:t>
      </w:r>
      <w:r>
        <w:rPr>
          <w:rFonts w:ascii="ˎ̥" w:hAnsi="ˎ̥" w:cs="Arial"/>
          <w:color w:val="000000"/>
        </w:rPr>
        <w:t>，医保、住房公积金、养老保险等经费的</w:t>
      </w:r>
      <w:r>
        <w:rPr>
          <w:rFonts w:hint="eastAsia" w:ascii="ˎ̥" w:hAnsi="ˎ̥" w:cs="Arial"/>
          <w:color w:val="000000"/>
        </w:rPr>
        <w:t>减少</w:t>
      </w:r>
      <w:r>
        <w:rPr>
          <w:rFonts w:ascii="ˎ̥" w:hAnsi="ˎ̥" w:cs="Arial"/>
          <w:color w:val="000000"/>
        </w:rPr>
        <w:t>。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Style w:val="7"/>
          <w:rFonts w:ascii="ˎ̥" w:hAnsi="ˎ̥" w:cs="Arial"/>
          <w:color w:val="000000"/>
        </w:rPr>
        <w:t>五、一般公共预算支出预算情况说明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年一般公共预算支出年初预算为</w:t>
      </w:r>
      <w:r>
        <w:rPr>
          <w:rFonts w:hint="eastAsia" w:ascii="ˎ̥" w:hAnsi="ˎ̥" w:cs="Arial"/>
          <w:color w:val="000000"/>
          <w:lang w:val="en-US" w:eastAsia="zh-CN"/>
        </w:rPr>
        <w:t>204.78</w:t>
      </w:r>
      <w:r>
        <w:rPr>
          <w:rFonts w:ascii="ˎ̥" w:hAnsi="ˎ̥" w:cs="Arial"/>
          <w:color w:val="000000"/>
        </w:rPr>
        <w:t>万元。</w:t>
      </w:r>
      <w:r>
        <w:rPr>
          <w:rFonts w:hint="eastAsia" w:ascii="ˎ̥" w:hAnsi="ˎ̥" w:cs="Arial"/>
          <w:color w:val="000000"/>
        </w:rPr>
        <w:t>其中：</w:t>
      </w:r>
      <w:r>
        <w:rPr>
          <w:rFonts w:ascii="ˎ̥" w:hAnsi="ˎ̥" w:cs="Arial"/>
          <w:color w:val="000000"/>
        </w:rPr>
        <w:t>基本支出</w:t>
      </w:r>
      <w:r>
        <w:rPr>
          <w:rFonts w:hint="eastAsia" w:ascii="ˎ̥" w:hAnsi="ˎ̥" w:cs="Arial"/>
          <w:color w:val="000000"/>
        </w:rPr>
        <w:t>18</w:t>
      </w:r>
      <w:r>
        <w:rPr>
          <w:rFonts w:hint="eastAsia" w:ascii="ˎ̥" w:hAnsi="ˎ̥" w:cs="Arial"/>
          <w:color w:val="000000"/>
          <w:lang w:val="en-US" w:eastAsia="zh-CN"/>
        </w:rPr>
        <w:t>4.78</w:t>
      </w:r>
      <w:r>
        <w:rPr>
          <w:rFonts w:hint="eastAsia" w:ascii="ˎ̥" w:hAnsi="ˎ̥" w:cs="Arial"/>
          <w:color w:val="000000"/>
        </w:rPr>
        <w:t>万元</w:t>
      </w:r>
      <w:r>
        <w:rPr>
          <w:rFonts w:ascii="ˎ̥" w:hAnsi="ˎ̥" w:cs="Arial"/>
          <w:color w:val="000000"/>
        </w:rPr>
        <w:t>，占90.</w:t>
      </w:r>
      <w:r>
        <w:rPr>
          <w:rFonts w:hint="eastAsia" w:ascii="ˎ̥" w:hAnsi="ˎ̥" w:cs="Arial"/>
          <w:color w:val="000000"/>
          <w:lang w:val="en-US" w:eastAsia="zh-CN"/>
        </w:rPr>
        <w:t>2</w:t>
      </w:r>
      <w:r>
        <w:rPr>
          <w:rFonts w:ascii="ˎ̥" w:hAnsi="ˎ̥" w:cs="Arial"/>
          <w:color w:val="000000"/>
        </w:rPr>
        <w:t>%</w:t>
      </w:r>
      <w:r>
        <w:rPr>
          <w:rFonts w:hint="eastAsia" w:ascii="ˎ̥" w:hAnsi="ˎ̥" w:cs="Arial"/>
          <w:color w:val="000000"/>
        </w:rPr>
        <w:t>，</w:t>
      </w:r>
      <w:r>
        <w:rPr>
          <w:rFonts w:ascii="ˎ̥" w:hAnsi="ˎ̥" w:cs="Arial"/>
          <w:color w:val="000000"/>
        </w:rPr>
        <w:t>主要用于以下方面：</w:t>
      </w:r>
      <w:r>
        <w:rPr>
          <w:rFonts w:hint="eastAsia" w:ascii="ˎ̥" w:hAnsi="ˎ̥" w:cs="Arial"/>
          <w:color w:val="000000"/>
        </w:rPr>
        <w:t>工资福利支出</w:t>
      </w:r>
      <w:r>
        <w:rPr>
          <w:rFonts w:hint="eastAsia" w:ascii="ˎ̥" w:hAnsi="ˎ̥" w:cs="Arial"/>
          <w:color w:val="000000"/>
          <w:lang w:val="en-US" w:eastAsia="zh-CN"/>
        </w:rPr>
        <w:t>158.16</w:t>
      </w:r>
      <w:r>
        <w:rPr>
          <w:rFonts w:ascii="ˎ̥" w:hAnsi="ˎ̥" w:cs="Arial"/>
          <w:color w:val="000000"/>
        </w:rPr>
        <w:t>万元，</w:t>
      </w:r>
      <w:r>
        <w:rPr>
          <w:rFonts w:hint="eastAsia" w:ascii="ˎ̥" w:hAnsi="ˎ̥" w:cs="Arial"/>
          <w:color w:val="000000"/>
        </w:rPr>
        <w:t>公用经费</w:t>
      </w:r>
      <w:r>
        <w:rPr>
          <w:rFonts w:hint="eastAsia" w:ascii="ˎ̥" w:hAnsi="ˎ̥" w:cs="Arial"/>
          <w:color w:val="000000"/>
          <w:lang w:val="en-US" w:eastAsia="zh-CN"/>
        </w:rPr>
        <w:t>25.12</w:t>
      </w:r>
      <w:r>
        <w:rPr>
          <w:rFonts w:ascii="ˎ̥" w:hAnsi="ˎ̥" w:cs="Arial"/>
          <w:color w:val="000000"/>
        </w:rPr>
        <w:t>万元，</w:t>
      </w:r>
      <w:r>
        <w:rPr>
          <w:rFonts w:hint="eastAsia" w:ascii="ˎ̥" w:hAnsi="ˎ̥" w:cs="Arial"/>
          <w:color w:val="000000"/>
        </w:rPr>
        <w:t>对个人和家庭的补助1.</w:t>
      </w:r>
      <w:r>
        <w:rPr>
          <w:rFonts w:ascii="ˎ̥" w:hAnsi="ˎ̥" w:cs="Arial"/>
          <w:color w:val="000000"/>
        </w:rPr>
        <w:t>5</w:t>
      </w:r>
      <w:r>
        <w:rPr>
          <w:rFonts w:hint="eastAsia" w:ascii="ˎ̥" w:hAnsi="ˎ̥" w:cs="Arial"/>
          <w:color w:val="000000"/>
        </w:rPr>
        <w:t>万元；专项支出20万元，占</w:t>
      </w:r>
      <w:r>
        <w:rPr>
          <w:rFonts w:ascii="ˎ̥" w:hAnsi="ˎ̥" w:cs="Arial"/>
          <w:color w:val="000000"/>
        </w:rPr>
        <w:t>9.7%</w:t>
      </w:r>
      <w:r>
        <w:rPr>
          <w:rFonts w:hint="eastAsia" w:ascii="ˎ̥" w:hAnsi="ˎ̥" w:cs="Arial"/>
          <w:color w:val="000000"/>
        </w:rPr>
        <w:t>，主要用于扶贫相关工作经费。</w:t>
      </w:r>
    </w:p>
    <w:p>
      <w:pPr>
        <w:pStyle w:val="4"/>
        <w:spacing w:line="360" w:lineRule="auto"/>
        <w:ind w:firstLine="482" w:firstLineChars="200"/>
        <w:rPr>
          <w:rStyle w:val="7"/>
          <w:color w:val="000000"/>
        </w:rPr>
      </w:pPr>
      <w:r>
        <w:rPr>
          <w:rStyle w:val="7"/>
          <w:rFonts w:hint="eastAsia"/>
          <w:color w:val="000000"/>
        </w:rPr>
        <w:t>六、一般公共预算基本支出预算情况说明</w:t>
      </w:r>
    </w:p>
    <w:p>
      <w:pPr>
        <w:pStyle w:val="4"/>
        <w:spacing w:line="360" w:lineRule="auto"/>
        <w:ind w:firstLine="480" w:firstLineChars="200"/>
        <w:rPr>
          <w:rStyle w:val="7"/>
          <w:b w:val="0"/>
          <w:color w:val="000000"/>
        </w:rPr>
      </w:pP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hint="eastAsia"/>
          <w:color w:val="000000"/>
        </w:rPr>
        <w:t>202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</w:rPr>
        <w:t>年一般公共预算基本支出</w:t>
      </w:r>
      <w:r>
        <w:rPr>
          <w:rFonts w:hint="eastAsia"/>
          <w:color w:val="000000"/>
          <w:lang w:val="en-US" w:eastAsia="zh-CN"/>
        </w:rPr>
        <w:t>184.78</w:t>
      </w:r>
      <w:r>
        <w:rPr>
          <w:rFonts w:hint="eastAsia"/>
          <w:color w:val="000000"/>
        </w:rPr>
        <w:t>万元，其中：工资福利支出</w:t>
      </w:r>
      <w:r>
        <w:rPr>
          <w:rFonts w:hint="eastAsia"/>
          <w:color w:val="000000"/>
          <w:lang w:val="en-US" w:eastAsia="zh-CN"/>
        </w:rPr>
        <w:t>158.16</w:t>
      </w:r>
      <w:r>
        <w:rPr>
          <w:rFonts w:hint="eastAsia"/>
          <w:color w:val="000000"/>
        </w:rPr>
        <w:t>万元，主要包括：基本工资、津贴补贴、奖金、社会保障缴费、伙食补助费、绩效工资、其他工资福利支出。商品和</w:t>
      </w:r>
      <w:r>
        <w:rPr>
          <w:color w:val="000000"/>
        </w:rPr>
        <w:t>服务支出</w:t>
      </w:r>
      <w:r>
        <w:rPr>
          <w:rFonts w:hint="eastAsia"/>
          <w:color w:val="000000"/>
          <w:lang w:val="en-US" w:eastAsia="zh-CN"/>
        </w:rPr>
        <w:t>25.12</w:t>
      </w:r>
      <w:r>
        <w:rPr>
          <w:rFonts w:hint="eastAsia"/>
          <w:color w:val="000000"/>
        </w:rPr>
        <w:t>万元，主要包括：办公费、印刷费、咨询费、手续费、水费、电费、邮电费、取暖费、物业管理费、差旅费、因公出国（境）费、维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对个人和家庭的补助1.50万元，主要包括：离休费、退休费、退职（役）费、抚恤金、生活补助、 医疗费、助学金、奖励金、住房公积金、购房补贴、其他对个人和家庭的补助支出。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Style w:val="7"/>
          <w:rFonts w:ascii="ˎ̥" w:hAnsi="ˎ̥" w:cs="Arial"/>
          <w:color w:val="000000"/>
        </w:rPr>
        <w:t>　</w:t>
      </w:r>
      <w:r>
        <w:rPr>
          <w:rStyle w:val="7"/>
          <w:rFonts w:ascii="ˎ̥" w:hAnsi="ˎ̥"/>
          <w:color w:val="000000"/>
        </w:rPr>
        <w:t>七、政府性基金预算支出情况说明</w:t>
      </w:r>
    </w:p>
    <w:p>
      <w:pPr>
        <w:pStyle w:val="4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　　我</w:t>
      </w:r>
      <w:r>
        <w:rPr>
          <w:rFonts w:hint="eastAsia" w:ascii="ˎ̥" w:hAnsi="ˎ̥"/>
          <w:color w:val="000000"/>
        </w:rPr>
        <w:t>办</w:t>
      </w:r>
      <w:r>
        <w:rPr>
          <w:rFonts w:ascii="ˎ̥" w:hAnsi="ˎ̥"/>
          <w:color w:val="000000"/>
        </w:rPr>
        <w:t>20</w:t>
      </w:r>
      <w:r>
        <w:rPr>
          <w:rFonts w:hint="eastAsia" w:ascii="ˎ̥" w:hAnsi="ˎ̥"/>
          <w:color w:val="000000"/>
        </w:rPr>
        <w:t>2</w:t>
      </w:r>
      <w:r>
        <w:rPr>
          <w:rFonts w:hint="eastAsia" w:ascii="ˎ̥" w:hAnsi="ˎ̥"/>
          <w:color w:val="000000"/>
          <w:lang w:val="en-US" w:eastAsia="zh-CN"/>
        </w:rPr>
        <w:t>1</w:t>
      </w:r>
      <w:r>
        <w:rPr>
          <w:rFonts w:ascii="ˎ̥" w:hAnsi="ˎ̥"/>
          <w:color w:val="000000"/>
        </w:rPr>
        <w:t>年没有使用政府性基金预算拨款安排的支出。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Style w:val="7"/>
          <w:rFonts w:ascii="ˎ̥" w:hAnsi="ˎ̥" w:cs="Arial"/>
          <w:color w:val="000000"/>
        </w:rPr>
        <w:t>　</w:t>
      </w:r>
      <w:r>
        <w:rPr>
          <w:rStyle w:val="7"/>
          <w:rFonts w:hint="eastAsia" w:ascii="ˎ̥" w:hAnsi="ˎ̥" w:cs="Arial"/>
          <w:color w:val="000000"/>
        </w:rPr>
        <w:t>八</w:t>
      </w:r>
      <w:r>
        <w:rPr>
          <w:rStyle w:val="7"/>
          <w:rFonts w:ascii="ˎ̥" w:hAnsi="ˎ̥" w:cs="Arial"/>
          <w:color w:val="000000"/>
        </w:rPr>
        <w:t>、 “三公”经费支出预算情况说明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年“三公”经费预算为</w:t>
      </w:r>
      <w:r>
        <w:rPr>
          <w:rFonts w:hint="eastAsia" w:ascii="ˎ̥" w:hAnsi="ˎ̥" w:cs="Arial"/>
          <w:color w:val="000000"/>
          <w:lang w:val="en-US" w:eastAsia="zh-CN"/>
        </w:rPr>
        <w:t>2.8</w:t>
      </w:r>
      <w:r>
        <w:rPr>
          <w:rFonts w:ascii="ˎ̥" w:hAnsi="ˎ̥" w:cs="Arial"/>
          <w:color w:val="000000"/>
        </w:rPr>
        <w:t>万元。20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年“三公”经费支出预算数比</w:t>
      </w:r>
      <w:r>
        <w:rPr>
          <w:rFonts w:hint="eastAsia" w:ascii="ˎ̥" w:hAnsi="ˎ̥" w:cs="Arial"/>
          <w:color w:val="000000"/>
          <w:lang w:val="en-US" w:eastAsia="zh-CN"/>
        </w:rPr>
        <w:t>2020</w:t>
      </w:r>
      <w:r>
        <w:rPr>
          <w:rFonts w:ascii="ˎ̥" w:hAnsi="ˎ̥" w:cs="Arial"/>
          <w:color w:val="000000"/>
        </w:rPr>
        <w:t>年预算相比</w:t>
      </w:r>
      <w:r>
        <w:rPr>
          <w:rFonts w:hint="eastAsia" w:ascii="ˎ̥" w:hAnsi="ˎ̥" w:cs="Arial"/>
          <w:color w:val="000000"/>
        </w:rPr>
        <w:t>减少了</w:t>
      </w:r>
      <w:r>
        <w:rPr>
          <w:rFonts w:hint="eastAsia" w:ascii="ˎ̥" w:hAnsi="ˎ̥" w:cs="Arial"/>
          <w:color w:val="000000"/>
          <w:lang w:val="en-US" w:eastAsia="zh-CN"/>
        </w:rPr>
        <w:t>0.2</w:t>
      </w:r>
      <w:r>
        <w:rPr>
          <w:rFonts w:hint="eastAsia" w:ascii="ˎ̥" w:hAnsi="ˎ̥" w:cs="Arial"/>
          <w:color w:val="000000"/>
        </w:rPr>
        <w:t>万元，</w:t>
      </w:r>
      <w:r>
        <w:rPr>
          <w:rFonts w:hint="eastAsia" w:ascii="ˎ̥" w:hAnsi="ˎ̥" w:cs="Arial"/>
          <w:color w:val="000000"/>
          <w:lang w:val="en-US" w:eastAsia="zh-CN"/>
        </w:rPr>
        <w:t>下降6.7%，</w:t>
      </w:r>
      <w:bookmarkStart w:id="0" w:name="_GoBack"/>
      <w:bookmarkEnd w:id="0"/>
      <w:r>
        <w:rPr>
          <w:rFonts w:hint="eastAsia" w:ascii="ˎ̥" w:hAnsi="ˎ̥" w:cs="Arial"/>
          <w:color w:val="000000"/>
        </w:rPr>
        <w:t>减少的原因是例行八项规定，勤俭节约</w:t>
      </w:r>
      <w:r>
        <w:rPr>
          <w:rFonts w:ascii="ˎ̥" w:hAnsi="ˎ̥" w:cs="Arial"/>
          <w:color w:val="000000"/>
        </w:rPr>
        <w:t>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具体支出情况如下：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公务接待费</w:t>
      </w:r>
      <w:r>
        <w:rPr>
          <w:rFonts w:hint="eastAsia" w:ascii="ˎ̥" w:hAnsi="ˎ̥" w:cs="Arial"/>
          <w:color w:val="000000"/>
          <w:lang w:val="en-US" w:eastAsia="zh-CN"/>
        </w:rPr>
        <w:t>2.8</w:t>
      </w:r>
      <w:r>
        <w:rPr>
          <w:rFonts w:ascii="ˎ̥" w:hAnsi="ˎ̥" w:cs="Arial"/>
          <w:color w:val="000000"/>
        </w:rPr>
        <w:t>万元，主要用于按规定开支的各类公务接待支出。预算数比</w:t>
      </w:r>
      <w:r>
        <w:rPr>
          <w:rFonts w:hint="eastAsia" w:ascii="ˎ̥" w:hAnsi="ˎ̥" w:cs="Arial"/>
          <w:color w:val="000000"/>
          <w:lang w:val="en-US" w:eastAsia="zh-CN"/>
        </w:rPr>
        <w:t>2020</w:t>
      </w:r>
      <w:r>
        <w:rPr>
          <w:rFonts w:ascii="ˎ̥" w:hAnsi="ˎ̥" w:cs="Arial"/>
          <w:color w:val="000000"/>
        </w:rPr>
        <w:t>年</w:t>
      </w:r>
      <w:r>
        <w:rPr>
          <w:rFonts w:hint="eastAsia" w:ascii="ˎ̥" w:hAnsi="ˎ̥" w:cs="Arial"/>
          <w:color w:val="000000"/>
        </w:rPr>
        <w:t>减少了</w:t>
      </w:r>
      <w:r>
        <w:rPr>
          <w:rFonts w:hint="eastAsia" w:ascii="ˎ̥" w:hAnsi="ˎ̥" w:cs="Arial"/>
          <w:color w:val="000000"/>
          <w:lang w:val="en-US" w:eastAsia="zh-CN"/>
        </w:rPr>
        <w:t>0.2</w:t>
      </w:r>
      <w:r>
        <w:rPr>
          <w:rFonts w:hint="eastAsia" w:ascii="ˎ̥" w:hAnsi="ˎ̥" w:cs="Arial"/>
          <w:color w:val="000000"/>
        </w:rPr>
        <w:t>万元，减少的原因是例行八项规定，勤俭节约</w:t>
      </w:r>
      <w:r>
        <w:rPr>
          <w:rFonts w:ascii="ˎ̥" w:hAnsi="ˎ̥" w:cs="Arial"/>
          <w:color w:val="000000"/>
        </w:rPr>
        <w:t>。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公务用车运行和购置费0万元（其中，公务用车购置费0万元，公务用车运行维护费0万元），</w:t>
      </w:r>
      <w:r>
        <w:rPr>
          <w:rFonts w:ascii="ˎ̥" w:hAnsi="ˎ̥" w:cs="Arial"/>
          <w:color w:val="000000"/>
        </w:rPr>
        <w:t>预算数比</w:t>
      </w:r>
      <w:r>
        <w:rPr>
          <w:rFonts w:hint="eastAsia" w:ascii="ˎ̥" w:hAnsi="ˎ̥" w:cs="Arial"/>
          <w:color w:val="000000"/>
          <w:lang w:val="en-US" w:eastAsia="zh-CN"/>
        </w:rPr>
        <w:t>2020</w:t>
      </w:r>
      <w:r>
        <w:rPr>
          <w:rFonts w:ascii="ˎ̥" w:hAnsi="ˎ̥" w:cs="Arial"/>
          <w:color w:val="000000"/>
        </w:rPr>
        <w:t>年无增长</w:t>
      </w:r>
      <w:r>
        <w:rPr>
          <w:rFonts w:hint="eastAsia" w:ascii="ˎ̥" w:hAnsi="ˎ̥" w:cs="Arial"/>
          <w:color w:val="000000"/>
        </w:rPr>
        <w:t>。</w:t>
      </w:r>
    </w:p>
    <w:p>
      <w:pPr>
        <w:pStyle w:val="4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因公出国（境）费0万元，</w:t>
      </w:r>
      <w:r>
        <w:rPr>
          <w:rFonts w:ascii="ˎ̥" w:hAnsi="ˎ̥" w:cs="Arial"/>
          <w:color w:val="000000"/>
        </w:rPr>
        <w:t>预算数比</w:t>
      </w:r>
      <w:r>
        <w:rPr>
          <w:rFonts w:hint="eastAsia" w:ascii="ˎ̥" w:hAnsi="ˎ̥" w:cs="Arial"/>
          <w:color w:val="000000"/>
          <w:lang w:val="en-US" w:eastAsia="zh-CN"/>
        </w:rPr>
        <w:t>2020</w:t>
      </w:r>
      <w:r>
        <w:rPr>
          <w:rFonts w:ascii="ˎ̥" w:hAnsi="ˎ̥" w:cs="Arial"/>
          <w:color w:val="000000"/>
        </w:rPr>
        <w:t>年无增长</w:t>
      </w:r>
      <w:r>
        <w:rPr>
          <w:rFonts w:hint="eastAsia" w:ascii="ˎ̥" w:hAnsi="ˎ̥" w:cs="Arial"/>
          <w:color w:val="000000"/>
        </w:rPr>
        <w:t>。</w:t>
      </w:r>
    </w:p>
    <w:p>
      <w:pPr>
        <w:pStyle w:val="4"/>
        <w:spacing w:line="360" w:lineRule="auto"/>
        <w:ind w:firstLine="472" w:firstLineChars="196"/>
        <w:rPr>
          <w:rFonts w:ascii="ˎ̥" w:hAnsi="ˎ̥" w:cs="Arial"/>
          <w:color w:val="000000"/>
        </w:rPr>
      </w:pPr>
      <w:r>
        <w:rPr>
          <w:rStyle w:val="7"/>
          <w:rFonts w:hint="eastAsia" w:ascii="ˎ̥" w:hAnsi="ˎ̥" w:cs="Arial"/>
          <w:color w:val="000000"/>
        </w:rPr>
        <w:t>九</w:t>
      </w:r>
      <w:r>
        <w:rPr>
          <w:rStyle w:val="7"/>
          <w:rFonts w:ascii="ˎ̥" w:hAnsi="ˎ̥" w:cs="Arial"/>
          <w:color w:val="000000"/>
        </w:rPr>
        <w:t>、支出预算经济分类情况说明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按照《财政部关于印发&lt;支出经济分类科目改革方案&gt;的通知》(财预〔2017〕98号)要求，从201</w:t>
      </w:r>
      <w:r>
        <w:rPr>
          <w:rFonts w:hint="eastAsia" w:ascii="ˎ̥" w:hAnsi="ˎ̥" w:cs="Arial"/>
          <w:color w:val="000000"/>
        </w:rPr>
        <w:t>9</w:t>
      </w:r>
      <w:r>
        <w:rPr>
          <w:rFonts w:ascii="ˎ̥" w:hAnsi="ˎ̥" w:cs="Arial"/>
          <w:color w:val="000000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年起全面实施支出经济分类科目改革，根据政府预算管理和部门预算管理的不同特点，分设部门预算支出经济分类科目和政府预算支出经济分类科目，两套科目之间保持对应关系。为适应改革要求，我</w:t>
      </w:r>
      <w:r>
        <w:rPr>
          <w:rFonts w:hint="eastAsia" w:ascii="ˎ̥" w:hAnsi="ˎ̥" w:cs="Arial"/>
          <w:color w:val="000000"/>
        </w:rPr>
        <w:t>单位</w:t>
      </w:r>
      <w:r>
        <w:rPr>
          <w:rFonts w:ascii="ˎ̥" w:hAnsi="ˎ̥" w:cs="Arial"/>
          <w:color w:val="000000"/>
        </w:rPr>
        <w:t>《支出经济分类汇总表》由仅反映一般公共预算基本支出经济分类科目预算，调整为按两套经济分类科目分别反映不同资金来源的全部预算支出。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7"/>
          <w:rFonts w:hint="eastAsia" w:ascii="ˎ̥" w:hAnsi="ˎ̥" w:cs="Arial"/>
          <w:color w:val="000000"/>
        </w:rPr>
        <w:t>十</w:t>
      </w:r>
      <w:r>
        <w:rPr>
          <w:rStyle w:val="7"/>
          <w:rFonts w:ascii="ˎ̥" w:hAnsi="ˎ̥" w:cs="Arial"/>
          <w:color w:val="000000"/>
        </w:rPr>
        <w:t>、其他重要事项的情况说明</w:t>
      </w:r>
    </w:p>
    <w:p>
      <w:pPr>
        <w:pStyle w:val="4"/>
        <w:spacing w:line="360" w:lineRule="auto"/>
        <w:rPr>
          <w:rFonts w:ascii="ˎ̥" w:hAnsi="ˎ̥" w:cs="Arial"/>
          <w:b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ascii="ˎ̥" w:hAnsi="ˎ̥" w:cs="Arial"/>
          <w:b/>
          <w:color w:val="000000"/>
        </w:rPr>
        <w:t>(一)机关运行经费支出情况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  <w:lang w:eastAsia="zh-CN"/>
        </w:rPr>
        <w:t>信阳市平桥区乡村振兴局</w:t>
      </w:r>
      <w:r>
        <w:rPr>
          <w:rFonts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</w:rPr>
        <w:t>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ascii="ˎ̥" w:hAnsi="ˎ̥" w:cs="Arial"/>
          <w:color w:val="000000"/>
        </w:rPr>
        <w:t>年机关运行经费支出预算</w:t>
      </w:r>
      <w:r>
        <w:rPr>
          <w:rFonts w:hint="eastAsia" w:ascii="ˎ̥" w:hAnsi="ˎ̥" w:cs="Arial"/>
          <w:color w:val="000000"/>
          <w:lang w:val="en-US" w:eastAsia="zh-CN"/>
        </w:rPr>
        <w:t>25.13</w:t>
      </w:r>
      <w:r>
        <w:rPr>
          <w:rFonts w:ascii="ˎ̥" w:hAnsi="ˎ̥" w:cs="Arial"/>
          <w:color w:val="000000"/>
        </w:rPr>
        <w:t>万元，主要保障机构正常运转及正常履职需要。</w:t>
      </w:r>
    </w:p>
    <w:p>
      <w:pPr>
        <w:pStyle w:val="4"/>
        <w:spacing w:line="360" w:lineRule="auto"/>
        <w:rPr>
          <w:rFonts w:ascii="ˎ̥" w:hAnsi="ˎ̥" w:cs="Arial"/>
          <w:b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Fonts w:ascii="ˎ̥" w:hAnsi="ˎ̥" w:cs="Arial"/>
          <w:b/>
          <w:color w:val="000000"/>
        </w:rPr>
        <w:t>　(二)政府采购支出情况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ascii="ˎ̥" w:hAnsi="ˎ̥" w:cs="Arial"/>
          <w:color w:val="000000"/>
          <w:sz w:val="24"/>
          <w:szCs w:val="24"/>
        </w:rPr>
        <w:t>　</w:t>
      </w:r>
      <w:r>
        <w:rPr>
          <w:rFonts w:hint="eastAsia" w:asciiTheme="minorEastAsia" w:hAnsiTheme="minorEastAsia" w:cstheme="minorEastAsia"/>
          <w:sz w:val="24"/>
          <w:szCs w:val="24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年政府采购预算安排29.09万元，其中：政府采购货物预算7.89万元、政府采购工程预算11.6万元、政府采购服务预算7.6万元。</w:t>
      </w:r>
    </w:p>
    <w:p>
      <w:pPr>
        <w:pStyle w:val="4"/>
        <w:spacing w:line="360" w:lineRule="auto"/>
        <w:ind w:firstLine="472" w:firstLineChars="196"/>
        <w:rPr>
          <w:rFonts w:ascii="ˎ̥" w:hAnsi="ˎ̥" w:cs="Arial"/>
          <w:b/>
          <w:color w:val="000000"/>
        </w:rPr>
      </w:pPr>
      <w:r>
        <w:rPr>
          <w:rFonts w:hint="eastAsia" w:ascii="ˎ̥" w:hAnsi="ˎ̥" w:cs="Arial"/>
          <w:b/>
          <w:color w:val="000000"/>
        </w:rPr>
        <w:t>(三)关于预算绩效管理工作开展及重点项目预算绩效目标设置情况说明</w:t>
      </w:r>
    </w:p>
    <w:p>
      <w:pPr>
        <w:pStyle w:val="4"/>
        <w:spacing w:line="360" w:lineRule="auto"/>
        <w:ind w:firstLine="480" w:firstLineChars="200"/>
        <w:rPr>
          <w:rFonts w:ascii="ˎ̥" w:hAnsi="ˎ̥" w:cs="Arial"/>
          <w:color w:val="000000"/>
        </w:rPr>
      </w:pPr>
      <w:r>
        <w:rPr>
          <w:rFonts w:hint="eastAsia" w:ascii="ˎ̥" w:hAnsi="ˎ̥" w:cs="Arial"/>
          <w:color w:val="000000"/>
        </w:rPr>
        <w:t>202</w:t>
      </w:r>
      <w:r>
        <w:rPr>
          <w:rFonts w:hint="eastAsia" w:ascii="ˎ̥" w:hAnsi="ˎ̥" w:cs="Arial"/>
          <w:color w:val="000000"/>
          <w:lang w:val="en-US" w:eastAsia="zh-CN"/>
        </w:rPr>
        <w:t>1</w:t>
      </w:r>
      <w:r>
        <w:rPr>
          <w:rFonts w:hint="eastAsia" w:ascii="ˎ̥" w:hAnsi="ˎ̥" w:cs="Arial"/>
          <w:color w:val="000000"/>
        </w:rPr>
        <w:t>年，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pStyle w:val="4"/>
        <w:spacing w:line="360" w:lineRule="auto"/>
        <w:rPr>
          <w:rFonts w:ascii="ˎ̥" w:hAnsi="ˎ̥" w:cs="Arial"/>
          <w:b/>
          <w:color w:val="000000"/>
        </w:rPr>
      </w:pPr>
      <w:r>
        <w:rPr>
          <w:rFonts w:ascii="ˎ̥" w:hAnsi="ˎ̥" w:cs="Arial"/>
          <w:b/>
          <w:color w:val="000000"/>
        </w:rPr>
        <w:t>　　(四)国有资产占用情况。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</w:rPr>
        <w:t>我单位无保留公务车辆</w:t>
      </w:r>
      <w:r>
        <w:rPr>
          <w:rFonts w:ascii="ˎ̥" w:hAnsi="ˎ̥" w:cs="Arial"/>
          <w:color w:val="000000"/>
        </w:rPr>
        <w:t>。</w:t>
      </w:r>
      <w:r>
        <w:rPr>
          <w:rFonts w:hint="eastAsia" w:ascii="ˎ̥" w:hAnsi="ˎ̥" w:cs="Arial"/>
          <w:color w:val="000000"/>
        </w:rPr>
        <w:t>20</w:t>
      </w:r>
      <w:r>
        <w:rPr>
          <w:rFonts w:hint="eastAsia" w:ascii="ˎ̥" w:hAnsi="ˎ̥" w:cs="Arial"/>
          <w:color w:val="000000"/>
          <w:lang w:val="en-US" w:eastAsia="zh-CN"/>
        </w:rPr>
        <w:t>20</w:t>
      </w:r>
      <w:r>
        <w:rPr>
          <w:rFonts w:hint="eastAsia" w:ascii="ˎ̥" w:hAnsi="ˎ̥" w:cs="Arial"/>
          <w:color w:val="000000"/>
        </w:rPr>
        <w:t>年底，我单位共有公车0辆，单价50万元以上的通用设备0台（套），单位价值100万以上的专业设备0台（套）。</w:t>
      </w:r>
    </w:p>
    <w:p>
      <w:pPr>
        <w:pStyle w:val="4"/>
        <w:spacing w:line="360" w:lineRule="auto"/>
        <w:rPr>
          <w:rFonts w:ascii="ˎ̥" w:hAnsi="ˎ̥" w:cs="Arial"/>
          <w:b/>
          <w:color w:val="000000"/>
        </w:rPr>
      </w:pPr>
      <w:r>
        <w:rPr>
          <w:rFonts w:ascii="ˎ̥" w:hAnsi="ˎ̥" w:cs="Arial"/>
          <w:b/>
          <w:color w:val="000000"/>
        </w:rPr>
        <w:t>　　(五)专项转移支付项目情况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我单位没有负责管理的专项转移支付项目。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482" w:firstLineChars="200"/>
        <w:rPr>
          <w:rFonts w:ascii="楷体_GB2312" w:hAnsi="Times New Roman" w:eastAsia="楷体_GB2312" w:cs="仿宋_GB2312"/>
          <w:b/>
          <w:kern w:val="0"/>
          <w:sz w:val="24"/>
          <w:szCs w:val="24"/>
        </w:rPr>
      </w:pPr>
    </w:p>
    <w:p>
      <w:pPr>
        <w:pStyle w:val="4"/>
        <w:spacing w:line="360" w:lineRule="auto"/>
        <w:rPr>
          <w:rFonts w:ascii="ˎ̥" w:hAnsi="ˎ̥" w:cs="Arial"/>
          <w:color w:val="000000"/>
        </w:rPr>
      </w:pPr>
    </w:p>
    <w:p>
      <w:pPr>
        <w:pStyle w:val="4"/>
        <w:spacing w:line="360" w:lineRule="auto"/>
        <w:jc w:val="center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</w:t>
      </w:r>
      <w:r>
        <w:rPr>
          <w:rStyle w:val="7"/>
          <w:rFonts w:ascii="ˎ̥" w:hAnsi="ˎ̥" w:cs="Arial"/>
          <w:color w:val="000000"/>
        </w:rPr>
        <w:t>　第三部分</w:t>
      </w:r>
    </w:p>
    <w:p>
      <w:pPr>
        <w:pStyle w:val="4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7"/>
          <w:rFonts w:ascii="ˎ̥" w:hAnsi="ˎ̥" w:cs="Arial"/>
          <w:color w:val="000000"/>
        </w:rPr>
        <w:t>　　名词解释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一、财政拨款收入：是指省级财政当年拨付的资金。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二、事业收入：是指事业单位开展专业活动及辅助活动所取得的收入。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三、其他收入：是指部门取得的除“财政拨款”、“事业收入”、“事业单位经营收入”等以外的收入。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四、用事业基金弥补收支差额：是指事业单位在当年的“财政拨款收入”、“事业收入”、“经营收入”和“其他收入”不足以安排当年支出的情况下，使用以前年度积累的事业基金(即事业单位以前各年度收支相抵后，按国家规定提取、用于弥补以后年度收支差额的基金)弥补当年收支缺口的资金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五、基本支出：是指为保障机构正常运转、完成日常工作任务所必需的开支，其内容包括人员经费和日常公用经费两部分。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六、项目支出：是指在基本支出之外，为完成特定的行政工作任务或事业发展目标所发生的支出。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七、“三公”经费：是指纳入省级财政预算管理，部门使用财政拨款安排的因公出国(境)费、公务用车购置及运行费和公务接待费。其中，因公出国(境)费反映单位公务出国(境)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(含外宾接待)支出。</w:t>
      </w:r>
    </w:p>
    <w:p>
      <w:pPr>
        <w:pStyle w:val="4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　　八、机关运行经费：是指为保障行政单位(含参照公务员法管理的事业单位)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hYWExNjViMmFjMjQ0MGNkYjNkMTgxYzU2M2EwZDMifQ=="/>
  </w:docVars>
  <w:rsids>
    <w:rsidRoot w:val="007702DD"/>
    <w:rsid w:val="00002F35"/>
    <w:rsid w:val="0005446B"/>
    <w:rsid w:val="000B1501"/>
    <w:rsid w:val="00123D12"/>
    <w:rsid w:val="00153D87"/>
    <w:rsid w:val="00164240"/>
    <w:rsid w:val="001A166E"/>
    <w:rsid w:val="001F23DD"/>
    <w:rsid w:val="0021657A"/>
    <w:rsid w:val="00276FE5"/>
    <w:rsid w:val="002B6DE2"/>
    <w:rsid w:val="0030003B"/>
    <w:rsid w:val="003757FF"/>
    <w:rsid w:val="004E1079"/>
    <w:rsid w:val="005A43E4"/>
    <w:rsid w:val="005E7632"/>
    <w:rsid w:val="005F18F3"/>
    <w:rsid w:val="00680E0C"/>
    <w:rsid w:val="007217D9"/>
    <w:rsid w:val="0074237E"/>
    <w:rsid w:val="007702DD"/>
    <w:rsid w:val="00846A7C"/>
    <w:rsid w:val="00855987"/>
    <w:rsid w:val="00914B2E"/>
    <w:rsid w:val="0095332E"/>
    <w:rsid w:val="00967FE8"/>
    <w:rsid w:val="00980701"/>
    <w:rsid w:val="009B2354"/>
    <w:rsid w:val="009D1689"/>
    <w:rsid w:val="00A32B77"/>
    <w:rsid w:val="00BC742B"/>
    <w:rsid w:val="00C156D1"/>
    <w:rsid w:val="00C432DC"/>
    <w:rsid w:val="00CF1ADA"/>
    <w:rsid w:val="00D24C39"/>
    <w:rsid w:val="00E014BD"/>
    <w:rsid w:val="00E158F8"/>
    <w:rsid w:val="00E2056A"/>
    <w:rsid w:val="00E87068"/>
    <w:rsid w:val="00EE35B8"/>
    <w:rsid w:val="00EF02BB"/>
    <w:rsid w:val="00F3756F"/>
    <w:rsid w:val="00F70686"/>
    <w:rsid w:val="00FD7E0E"/>
    <w:rsid w:val="05391B3D"/>
    <w:rsid w:val="0AFF3555"/>
    <w:rsid w:val="0BDD5BE3"/>
    <w:rsid w:val="0C2069C7"/>
    <w:rsid w:val="10825BE7"/>
    <w:rsid w:val="12F164BE"/>
    <w:rsid w:val="18D04D46"/>
    <w:rsid w:val="1B90113A"/>
    <w:rsid w:val="23614E2A"/>
    <w:rsid w:val="23A26AE8"/>
    <w:rsid w:val="27FA18C3"/>
    <w:rsid w:val="29D04D60"/>
    <w:rsid w:val="2A8F3FF9"/>
    <w:rsid w:val="34977E30"/>
    <w:rsid w:val="3B8F1EB6"/>
    <w:rsid w:val="433F56BC"/>
    <w:rsid w:val="44822873"/>
    <w:rsid w:val="48D86AE9"/>
    <w:rsid w:val="4AAA033A"/>
    <w:rsid w:val="57B72232"/>
    <w:rsid w:val="63B308D1"/>
    <w:rsid w:val="688B2CB8"/>
    <w:rsid w:val="69E8282C"/>
    <w:rsid w:val="71E42AE0"/>
    <w:rsid w:val="736F0222"/>
    <w:rsid w:val="795E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3119</Words>
  <Characters>3333</Characters>
  <Lines>24</Lines>
  <Paragraphs>6</Paragraphs>
  <TotalTime>28</TotalTime>
  <ScaleCrop>false</ScaleCrop>
  <LinksUpToDate>false</LinksUpToDate>
  <CharactersWithSpaces>3405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2018-05-03T09:56:00Z</dcterms:created>
  <dc:creator>larry</dc:creator>
  <cp:lastModifiedBy>尹珊珊</cp:lastModifiedBy>
  <dcterms:modified xsi:type="dcterms:W3CDTF">2022-09-01T08:45:30Z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096938663C0E4A93AE3A55162C6ACB84</vt:lpwstr>
  </property>
</Properties>
</file>