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600" w:lineRule="exact"/>
        <w:ind w:right="42"/>
        <w:jc w:val="center"/>
        <w:rPr>
          <w:rFonts w:ascii="黑体" w:hAnsi="黑体" w:eastAsia="黑体"/>
          <w:b/>
          <w:sz w:val="52"/>
          <w:szCs w:val="52"/>
        </w:rPr>
      </w:pPr>
      <w:r>
        <w:rPr>
          <w:rFonts w:hint="eastAsia" w:ascii="黑体" w:hAnsi="黑体" w:eastAsia="黑体"/>
          <w:b/>
          <w:sz w:val="52"/>
          <w:szCs w:val="52"/>
        </w:rPr>
        <w:t>信阳市平桥区教育体育局</w:t>
      </w:r>
    </w:p>
    <w:p>
      <w:pPr>
        <w:tabs>
          <w:tab w:val="left" w:pos="8364"/>
        </w:tabs>
        <w:kinsoku w:val="0"/>
        <w:overflowPunct w:val="0"/>
        <w:adjustRightInd w:val="0"/>
        <w:snapToGrid w:val="0"/>
        <w:spacing w:line="600" w:lineRule="exact"/>
        <w:ind w:right="42"/>
        <w:jc w:val="center"/>
        <w:rPr>
          <w:rFonts w:ascii="黑体" w:hAnsi="Times New Roman" w:eastAsia="黑体" w:cs="黑体"/>
          <w:b/>
          <w:sz w:val="56"/>
          <w:szCs w:val="56"/>
        </w:rPr>
      </w:pPr>
      <w:r>
        <w:rPr>
          <w:rFonts w:ascii="黑体" w:hAnsi="Times New Roman" w:eastAsia="黑体" w:cs="黑体"/>
          <w:b/>
          <w:sz w:val="52"/>
          <w:szCs w:val="52"/>
        </w:rPr>
        <w:t>20</w:t>
      </w:r>
      <w:r>
        <w:rPr>
          <w:rFonts w:hint="eastAsia" w:ascii="黑体" w:hAnsi="Times New Roman" w:eastAsia="黑体" w:cs="黑体"/>
          <w:b/>
          <w:sz w:val="52"/>
          <w:szCs w:val="52"/>
        </w:rPr>
        <w:t>21年度部门预算</w:t>
      </w:r>
    </w:p>
    <w:p>
      <w:pPr>
        <w:kinsoku w:val="0"/>
        <w:overflowPunct w:val="0"/>
        <w:adjustRightInd w:val="0"/>
        <w:snapToGrid w:val="0"/>
        <w:spacing w:line="600" w:lineRule="exact"/>
        <w:ind w:right="51" w:firstLine="3360" w:firstLineChars="600"/>
        <w:rPr>
          <w:rFonts w:ascii="黑体" w:hAnsi="Times New Roman" w:eastAsia="黑体" w:cs="黑体"/>
          <w:sz w:val="56"/>
          <w:szCs w:val="56"/>
        </w:rPr>
      </w:pPr>
    </w:p>
    <w:p>
      <w:pPr>
        <w:kinsoku w:val="0"/>
        <w:overflowPunct w:val="0"/>
        <w:adjustRightInd w:val="0"/>
        <w:snapToGrid w:val="0"/>
        <w:spacing w:line="600" w:lineRule="exact"/>
        <w:ind w:right="282" w:firstLine="643" w:firstLineChars="200"/>
        <w:rPr>
          <w:rFonts w:ascii="黑体" w:hAnsi="黑体" w:eastAsia="黑体" w:cs="黑体"/>
          <w:b/>
          <w:w w:val="99"/>
          <w:sz w:val="32"/>
          <w:szCs w:val="32"/>
        </w:rPr>
      </w:pPr>
      <w:r>
        <w:rPr>
          <w:rFonts w:hint="eastAsia" w:ascii="黑体" w:hAnsi="黑体" w:eastAsia="黑体" w:cs="黑体"/>
          <w:b/>
          <w:sz w:val="32"/>
          <w:szCs w:val="32"/>
        </w:rPr>
        <w:t>第一部分</w:t>
      </w:r>
      <w:r>
        <w:rPr>
          <w:rFonts w:ascii="黑体" w:hAnsi="黑体" w:eastAsia="黑体" w:cs="黑体"/>
          <w:b/>
          <w:sz w:val="32"/>
          <w:szCs w:val="32"/>
        </w:rPr>
        <w:t xml:space="preserve"> </w:t>
      </w:r>
      <w:r>
        <w:rPr>
          <w:rFonts w:hint="eastAsia" w:ascii="黑体" w:hAnsi="黑体" w:eastAsia="黑体"/>
          <w:b/>
          <w:sz w:val="32"/>
          <w:szCs w:val="32"/>
        </w:rPr>
        <w:t>信阳市平桥区教育体育局</w:t>
      </w:r>
      <w:r>
        <w:rPr>
          <w:rFonts w:hint="eastAsia" w:ascii="黑体" w:hAnsi="黑体" w:eastAsia="黑体" w:cs="黑体"/>
          <w:b/>
          <w:sz w:val="32"/>
          <w:szCs w:val="32"/>
        </w:rPr>
        <w:t>概况</w:t>
      </w:r>
    </w:p>
    <w:p>
      <w:pPr>
        <w:kinsoku w:val="0"/>
        <w:overflowPunct w:val="0"/>
        <w:adjustRightInd w:val="0"/>
        <w:snapToGrid w:val="0"/>
        <w:spacing w:line="600" w:lineRule="exact"/>
        <w:ind w:right="3569" w:firstLine="960" w:firstLineChars="300"/>
        <w:jc w:val="left"/>
        <w:rPr>
          <w:rFonts w:hint="eastAsia" w:ascii="黑体" w:hAnsi="黑体" w:eastAsia="黑体" w:cs="仿宋_GB2312"/>
          <w:sz w:val="32"/>
          <w:szCs w:val="32"/>
        </w:rPr>
      </w:pPr>
      <w:r>
        <w:rPr>
          <w:rFonts w:hint="eastAsia" w:ascii="黑体" w:hAnsi="黑体" w:eastAsia="黑体" w:cs="仿宋_GB2312"/>
          <w:sz w:val="32"/>
          <w:szCs w:val="32"/>
        </w:rPr>
        <w:t>一、主要职能</w:t>
      </w:r>
    </w:p>
    <w:p>
      <w:pPr>
        <w:kinsoku w:val="0"/>
        <w:overflowPunct w:val="0"/>
        <w:adjustRightInd w:val="0"/>
        <w:snapToGrid w:val="0"/>
        <w:spacing w:line="600" w:lineRule="exact"/>
        <w:ind w:right="3569" w:firstLine="960" w:firstLineChars="300"/>
        <w:jc w:val="left"/>
        <w:rPr>
          <w:rFonts w:hint="default" w:ascii="黑体" w:hAnsi="黑体" w:eastAsia="黑体" w:cs="仿宋_GB2312"/>
          <w:sz w:val="32"/>
          <w:szCs w:val="32"/>
          <w:lang w:val="en-US" w:eastAsia="zh-CN"/>
        </w:rPr>
      </w:pPr>
      <w:r>
        <w:rPr>
          <w:rFonts w:hint="eastAsia" w:ascii="黑体" w:hAnsi="黑体" w:eastAsia="黑体" w:cs="仿宋_GB2312"/>
          <w:sz w:val="32"/>
          <w:szCs w:val="32"/>
          <w:lang w:val="en-US" w:eastAsia="zh-CN"/>
        </w:rPr>
        <w:t>二、部门机构设置</w:t>
      </w:r>
    </w:p>
    <w:p>
      <w:pPr>
        <w:kinsoku w:val="0"/>
        <w:overflowPunct w:val="0"/>
        <w:adjustRightInd w:val="0"/>
        <w:snapToGrid w:val="0"/>
        <w:spacing w:line="600" w:lineRule="exact"/>
        <w:ind w:right="3569" w:firstLine="960" w:firstLineChars="300"/>
        <w:jc w:val="left"/>
        <w:rPr>
          <w:rFonts w:ascii="黑体" w:hAnsi="黑体" w:eastAsia="黑体" w:cs="仿宋_GB2312"/>
          <w:sz w:val="32"/>
          <w:szCs w:val="32"/>
        </w:rPr>
      </w:pPr>
      <w:r>
        <w:rPr>
          <w:rFonts w:hint="eastAsia" w:ascii="黑体" w:hAnsi="黑体" w:eastAsia="黑体" w:cs="仿宋_GB2312"/>
          <w:sz w:val="32"/>
          <w:szCs w:val="32"/>
          <w:lang w:val="en-US" w:eastAsia="zh-CN"/>
        </w:rPr>
        <w:t>三</w:t>
      </w:r>
      <w:r>
        <w:rPr>
          <w:rFonts w:hint="eastAsia" w:ascii="黑体" w:hAnsi="黑体" w:eastAsia="黑体" w:cs="仿宋_GB2312"/>
          <w:sz w:val="32"/>
          <w:szCs w:val="32"/>
        </w:rPr>
        <w:t>、部门预算单位构成</w:t>
      </w:r>
    </w:p>
    <w:p>
      <w:pPr>
        <w:kinsoku w:val="0"/>
        <w:overflowPunct w:val="0"/>
        <w:adjustRightInd w:val="0"/>
        <w:snapToGrid w:val="0"/>
        <w:spacing w:line="600" w:lineRule="exact"/>
        <w:ind w:right="521" w:firstLine="643" w:firstLineChars="200"/>
        <w:rPr>
          <w:rFonts w:ascii="黑体" w:hAnsi="黑体" w:eastAsia="黑体" w:cs="黑体"/>
          <w:b/>
          <w:w w:val="99"/>
          <w:sz w:val="32"/>
          <w:szCs w:val="32"/>
        </w:rPr>
      </w:pPr>
      <w:r>
        <w:rPr>
          <w:rFonts w:hint="eastAsia" w:ascii="黑体" w:hAnsi="黑体" w:eastAsia="黑体" w:cs="黑体"/>
          <w:b/>
          <w:sz w:val="32"/>
          <w:szCs w:val="32"/>
        </w:rPr>
        <w:t xml:space="preserve">第二部分 </w:t>
      </w:r>
      <w:r>
        <w:rPr>
          <w:rFonts w:hint="eastAsia" w:ascii="黑体" w:hAnsi="黑体" w:eastAsia="黑体"/>
          <w:b/>
          <w:sz w:val="32"/>
          <w:szCs w:val="32"/>
        </w:rPr>
        <w:t>信阳市平桥区教育体育局</w:t>
      </w:r>
      <w:r>
        <w:rPr>
          <w:rFonts w:ascii="黑体" w:hAnsi="黑体" w:eastAsia="黑体" w:cs="黑体"/>
          <w:b/>
          <w:spacing w:val="-119"/>
          <w:sz w:val="32"/>
          <w:szCs w:val="32"/>
        </w:rPr>
        <w:t xml:space="preserve"> </w:t>
      </w:r>
      <w:r>
        <w:rPr>
          <w:rFonts w:ascii="黑体" w:hAnsi="黑体" w:eastAsia="黑体" w:cs="黑体"/>
          <w:b/>
          <w:sz w:val="32"/>
          <w:szCs w:val="32"/>
        </w:rPr>
        <w:t>20</w:t>
      </w:r>
      <w:r>
        <w:rPr>
          <w:rFonts w:hint="eastAsia" w:ascii="黑体" w:hAnsi="黑体" w:eastAsia="黑体" w:cs="黑体"/>
          <w:b/>
          <w:sz w:val="32"/>
          <w:szCs w:val="32"/>
        </w:rPr>
        <w:t>21年度部门预算情况说明</w:t>
      </w:r>
      <w:r>
        <w:rPr>
          <w:rFonts w:ascii="黑体" w:hAnsi="黑体" w:eastAsia="黑体" w:cs="黑体"/>
          <w:b/>
          <w:w w:val="99"/>
          <w:sz w:val="32"/>
          <w:szCs w:val="32"/>
        </w:rPr>
        <w:t xml:space="preserve"> </w:t>
      </w:r>
    </w:p>
    <w:p>
      <w:pPr>
        <w:kinsoku w:val="0"/>
        <w:overflowPunct w:val="0"/>
        <w:adjustRightInd w:val="0"/>
        <w:snapToGrid w:val="0"/>
        <w:spacing w:line="600" w:lineRule="exact"/>
        <w:ind w:right="521" w:firstLine="643" w:firstLineChars="200"/>
        <w:rPr>
          <w:rFonts w:ascii="黑体" w:hAnsi="黑体" w:eastAsia="黑体" w:cs="黑体"/>
          <w:b/>
          <w:sz w:val="32"/>
          <w:szCs w:val="32"/>
        </w:rPr>
      </w:pPr>
      <w:r>
        <w:rPr>
          <w:rFonts w:hint="eastAsia" w:ascii="黑体" w:hAnsi="黑体" w:eastAsia="黑体" w:cs="黑体"/>
          <w:b/>
          <w:sz w:val="32"/>
          <w:szCs w:val="32"/>
        </w:rPr>
        <w:t>第三部分</w:t>
      </w:r>
      <w:r>
        <w:rPr>
          <w:rFonts w:ascii="黑体" w:hAnsi="黑体" w:eastAsia="黑体" w:cs="黑体"/>
          <w:b/>
          <w:spacing w:val="-32"/>
          <w:sz w:val="32"/>
          <w:szCs w:val="32"/>
        </w:rPr>
        <w:t xml:space="preserve"> </w:t>
      </w:r>
      <w:r>
        <w:rPr>
          <w:rFonts w:hint="eastAsia" w:ascii="黑体" w:hAnsi="黑体" w:eastAsia="黑体" w:cs="黑体"/>
          <w:b/>
          <w:sz w:val="32"/>
          <w:szCs w:val="32"/>
        </w:rPr>
        <w:t>名词解释</w:t>
      </w:r>
    </w:p>
    <w:p>
      <w:pPr>
        <w:kinsoku w:val="0"/>
        <w:overflowPunct w:val="0"/>
        <w:adjustRightInd w:val="0"/>
        <w:snapToGrid w:val="0"/>
        <w:spacing w:line="600" w:lineRule="exact"/>
        <w:ind w:firstLine="640" w:firstLineChars="200"/>
        <w:rPr>
          <w:rFonts w:ascii="黑体" w:hAnsi="黑体" w:eastAsia="黑体" w:cs="黑体"/>
          <w:sz w:val="32"/>
          <w:szCs w:val="32"/>
        </w:rPr>
      </w:pPr>
    </w:p>
    <w:p>
      <w:pPr>
        <w:kinsoku w:val="0"/>
        <w:overflowPunct w:val="0"/>
        <w:adjustRightInd w:val="0"/>
        <w:snapToGrid w:val="0"/>
        <w:spacing w:line="600" w:lineRule="exact"/>
        <w:ind w:firstLine="643" w:firstLineChars="200"/>
        <w:rPr>
          <w:rFonts w:ascii="黑体" w:hAnsi="黑体" w:eastAsia="黑体" w:cs="黑体"/>
          <w:b/>
          <w:sz w:val="32"/>
          <w:szCs w:val="32"/>
        </w:rPr>
      </w:pPr>
      <w:r>
        <w:rPr>
          <w:rFonts w:hint="eastAsia" w:ascii="黑体" w:hAnsi="黑体" w:eastAsia="黑体" w:cs="黑体"/>
          <w:b/>
          <w:sz w:val="32"/>
          <w:szCs w:val="32"/>
        </w:rPr>
        <w:t>附件：</w:t>
      </w:r>
      <w:r>
        <w:rPr>
          <w:rFonts w:ascii="黑体" w:hAnsi="黑体" w:eastAsia="黑体" w:cs="黑体"/>
          <w:b/>
          <w:spacing w:val="-32"/>
          <w:sz w:val="32"/>
          <w:szCs w:val="32"/>
        </w:rPr>
        <w:t xml:space="preserve"> </w:t>
      </w:r>
      <w:r>
        <w:rPr>
          <w:rFonts w:hint="eastAsia" w:ascii="黑体" w:hAnsi="黑体" w:eastAsia="黑体"/>
          <w:b/>
          <w:sz w:val="32"/>
          <w:szCs w:val="32"/>
        </w:rPr>
        <w:t>信阳市平桥区教育体育局</w:t>
      </w:r>
      <w:r>
        <w:rPr>
          <w:rFonts w:hint="eastAsia" w:ascii="黑体" w:hAnsi="黑体" w:eastAsia="黑体" w:cs="黑体"/>
          <w:b/>
          <w:sz w:val="32"/>
          <w:szCs w:val="32"/>
        </w:rPr>
        <w:t>2021年度部门预算表</w:t>
      </w:r>
    </w:p>
    <w:p>
      <w:pPr>
        <w:pStyle w:val="4"/>
        <w:ind w:firstLine="640" w:firstLineChars="200"/>
        <w:rPr>
          <w:rFonts w:ascii="黑体" w:hAnsi="黑体" w:eastAsia="黑体"/>
          <w:color w:val="000000"/>
          <w:sz w:val="32"/>
          <w:szCs w:val="32"/>
        </w:rPr>
      </w:pPr>
      <w:r>
        <w:rPr>
          <w:rFonts w:hint="eastAsia" w:ascii="黑体" w:hAnsi="黑体" w:eastAsia="黑体"/>
          <w:color w:val="000000"/>
          <w:sz w:val="32"/>
          <w:szCs w:val="32"/>
        </w:rPr>
        <w:t>一、部门收支总体情况表</w:t>
      </w:r>
    </w:p>
    <w:p>
      <w:pPr>
        <w:pStyle w:val="4"/>
        <w:rPr>
          <w:rFonts w:ascii="黑体" w:hAnsi="黑体" w:eastAsia="黑体"/>
          <w:color w:val="000000"/>
          <w:sz w:val="32"/>
          <w:szCs w:val="32"/>
        </w:rPr>
      </w:pPr>
      <w:r>
        <w:rPr>
          <w:rFonts w:hint="eastAsia" w:ascii="黑体" w:hAnsi="黑体" w:eastAsia="黑体"/>
          <w:color w:val="000000"/>
          <w:sz w:val="32"/>
          <w:szCs w:val="32"/>
        </w:rPr>
        <w:t>　　二、部门收入总体情况表</w:t>
      </w:r>
    </w:p>
    <w:p>
      <w:pPr>
        <w:pStyle w:val="4"/>
        <w:rPr>
          <w:rFonts w:ascii="黑体" w:hAnsi="黑体" w:eastAsia="黑体"/>
          <w:color w:val="000000"/>
          <w:sz w:val="32"/>
          <w:szCs w:val="32"/>
        </w:rPr>
      </w:pPr>
      <w:r>
        <w:rPr>
          <w:rFonts w:hint="eastAsia" w:ascii="黑体" w:hAnsi="黑体" w:eastAsia="黑体"/>
          <w:color w:val="000000"/>
          <w:sz w:val="32"/>
          <w:szCs w:val="32"/>
        </w:rPr>
        <w:t>　　三、部门支出总体情况表</w:t>
      </w:r>
    </w:p>
    <w:p>
      <w:pPr>
        <w:pStyle w:val="4"/>
        <w:ind w:firstLine="640" w:firstLineChars="200"/>
        <w:rPr>
          <w:rFonts w:ascii="黑体" w:hAnsi="黑体" w:eastAsia="黑体"/>
          <w:color w:val="000000"/>
          <w:sz w:val="32"/>
          <w:szCs w:val="32"/>
        </w:rPr>
      </w:pPr>
      <w:r>
        <w:rPr>
          <w:rFonts w:hint="eastAsia" w:ascii="黑体" w:hAnsi="黑体" w:eastAsia="黑体"/>
          <w:color w:val="000000"/>
          <w:sz w:val="32"/>
          <w:szCs w:val="32"/>
        </w:rPr>
        <w:t>四、非税收入预算表</w:t>
      </w:r>
    </w:p>
    <w:p>
      <w:pPr>
        <w:pStyle w:val="4"/>
        <w:ind w:firstLine="640" w:firstLineChars="200"/>
        <w:rPr>
          <w:rFonts w:ascii="黑体" w:hAnsi="黑体" w:eastAsia="黑体"/>
          <w:color w:val="000000"/>
          <w:sz w:val="32"/>
          <w:szCs w:val="32"/>
        </w:rPr>
      </w:pPr>
      <w:r>
        <w:rPr>
          <w:rFonts w:hint="eastAsia" w:ascii="黑体" w:hAnsi="黑体" w:eastAsia="黑体"/>
          <w:color w:val="000000"/>
          <w:sz w:val="32"/>
          <w:szCs w:val="32"/>
        </w:rPr>
        <w:t>五、财政拨款收支总体情况表</w:t>
      </w:r>
    </w:p>
    <w:p>
      <w:pPr>
        <w:pStyle w:val="4"/>
        <w:ind w:firstLine="640" w:firstLineChars="200"/>
        <w:rPr>
          <w:rFonts w:ascii="黑体" w:hAnsi="黑体" w:eastAsia="黑体"/>
          <w:color w:val="000000"/>
          <w:sz w:val="32"/>
          <w:szCs w:val="32"/>
        </w:rPr>
      </w:pPr>
      <w:r>
        <w:rPr>
          <w:rFonts w:hint="eastAsia" w:ascii="黑体" w:hAnsi="黑体" w:eastAsia="黑体"/>
          <w:color w:val="000000"/>
          <w:sz w:val="32"/>
          <w:szCs w:val="32"/>
        </w:rPr>
        <w:t>六、一般公共预算支出情况表</w:t>
      </w:r>
    </w:p>
    <w:p>
      <w:pPr>
        <w:pStyle w:val="4"/>
        <w:ind w:firstLine="640" w:firstLineChars="200"/>
        <w:rPr>
          <w:rFonts w:ascii="黑体" w:hAnsi="黑体" w:eastAsia="黑体"/>
          <w:color w:val="000000"/>
          <w:sz w:val="32"/>
          <w:szCs w:val="32"/>
        </w:rPr>
      </w:pPr>
      <w:r>
        <w:rPr>
          <w:rFonts w:hint="eastAsia" w:ascii="黑体" w:hAnsi="黑体" w:eastAsia="黑体"/>
          <w:color w:val="000000"/>
          <w:sz w:val="32"/>
          <w:szCs w:val="32"/>
        </w:rPr>
        <w:t>七、一般公共预算基本支出情况表　　</w:t>
      </w:r>
    </w:p>
    <w:p>
      <w:pPr>
        <w:pStyle w:val="4"/>
        <w:ind w:firstLine="640" w:firstLineChars="200"/>
        <w:rPr>
          <w:rFonts w:ascii="黑体" w:hAnsi="黑体" w:eastAsia="黑体"/>
          <w:color w:val="000000"/>
          <w:sz w:val="32"/>
          <w:szCs w:val="32"/>
        </w:rPr>
      </w:pPr>
      <w:r>
        <w:rPr>
          <w:rFonts w:hint="eastAsia" w:ascii="黑体" w:hAnsi="黑体" w:eastAsia="黑体"/>
          <w:color w:val="000000"/>
          <w:sz w:val="32"/>
          <w:szCs w:val="32"/>
        </w:rPr>
        <w:t>八、一般公共预算“三公”经费支出情况表</w:t>
      </w:r>
    </w:p>
    <w:p>
      <w:pPr>
        <w:pStyle w:val="4"/>
        <w:ind w:firstLine="320" w:firstLineChars="100"/>
        <w:rPr>
          <w:rFonts w:ascii="黑体" w:hAnsi="黑体" w:eastAsia="黑体"/>
          <w:color w:val="000000"/>
          <w:sz w:val="32"/>
          <w:szCs w:val="32"/>
        </w:rPr>
      </w:pPr>
      <w:r>
        <w:rPr>
          <w:rFonts w:hint="eastAsia" w:ascii="黑体" w:hAnsi="黑体" w:eastAsia="黑体"/>
          <w:color w:val="000000"/>
          <w:sz w:val="32"/>
          <w:szCs w:val="32"/>
        </w:rPr>
        <w:t>九、政府性基金预算支出情况表</w:t>
      </w:r>
    </w:p>
    <w:p>
      <w:pPr>
        <w:pStyle w:val="4"/>
        <w:ind w:firstLine="320" w:firstLineChars="100"/>
        <w:rPr>
          <w:rFonts w:ascii="黑体" w:hAnsi="黑体" w:eastAsia="黑体"/>
          <w:color w:val="000000"/>
          <w:sz w:val="32"/>
          <w:szCs w:val="32"/>
        </w:rPr>
      </w:pPr>
      <w:r>
        <w:rPr>
          <w:rFonts w:hint="eastAsia" w:ascii="黑体" w:hAnsi="黑体" w:eastAsia="黑体"/>
          <w:color w:val="000000"/>
          <w:sz w:val="32"/>
          <w:szCs w:val="32"/>
        </w:rPr>
        <w:t>十、2021年支出项目表</w:t>
      </w:r>
    </w:p>
    <w:p>
      <w:pPr>
        <w:adjustRightInd w:val="0"/>
        <w:snapToGrid w:val="0"/>
        <w:spacing w:line="600" w:lineRule="exact"/>
        <w:ind w:firstLine="640" w:firstLineChars="200"/>
        <w:jc w:val="center"/>
        <w:rPr>
          <w:rFonts w:ascii="黑体" w:hAnsi="黑体" w:eastAsia="黑体"/>
          <w:sz w:val="32"/>
          <w:szCs w:val="32"/>
        </w:rPr>
      </w:pPr>
    </w:p>
    <w:p>
      <w:pPr>
        <w:adjustRightInd w:val="0"/>
        <w:snapToGrid w:val="0"/>
        <w:spacing w:line="600" w:lineRule="exact"/>
        <w:jc w:val="center"/>
        <w:rPr>
          <w:rFonts w:ascii="黑体" w:hAnsi="黑体" w:eastAsia="黑体"/>
          <w:sz w:val="32"/>
          <w:szCs w:val="32"/>
        </w:rPr>
      </w:pPr>
    </w:p>
    <w:p>
      <w:pPr>
        <w:adjustRightInd w:val="0"/>
        <w:snapToGrid w:val="0"/>
        <w:spacing w:line="600" w:lineRule="exact"/>
        <w:jc w:val="center"/>
        <w:rPr>
          <w:rFonts w:ascii="黑体" w:hAnsi="黑体" w:eastAsia="黑体"/>
          <w:b/>
          <w:sz w:val="32"/>
          <w:szCs w:val="32"/>
        </w:rPr>
      </w:pPr>
      <w:r>
        <w:rPr>
          <w:rFonts w:hint="eastAsia" w:ascii="黑体" w:hAnsi="黑体" w:eastAsia="黑体"/>
          <w:b/>
          <w:sz w:val="32"/>
          <w:szCs w:val="32"/>
        </w:rPr>
        <w:t>第一部分</w:t>
      </w:r>
    </w:p>
    <w:p>
      <w:pPr>
        <w:adjustRightInd w:val="0"/>
        <w:snapToGrid w:val="0"/>
        <w:spacing w:line="600" w:lineRule="exact"/>
        <w:jc w:val="center"/>
        <w:rPr>
          <w:rFonts w:ascii="黑体" w:hAnsi="黑体" w:eastAsia="黑体"/>
          <w:b/>
          <w:sz w:val="32"/>
          <w:szCs w:val="32"/>
        </w:rPr>
      </w:pPr>
      <w:r>
        <w:rPr>
          <w:rFonts w:hint="eastAsia" w:ascii="黑体" w:hAnsi="黑体" w:eastAsia="黑体"/>
          <w:b/>
          <w:sz w:val="32"/>
          <w:szCs w:val="32"/>
        </w:rPr>
        <w:t>信阳市平桥区教育体育局概况</w:t>
      </w:r>
    </w:p>
    <w:p>
      <w:pPr>
        <w:adjustRightInd w:val="0"/>
        <w:snapToGrid w:val="0"/>
        <w:spacing w:line="600" w:lineRule="exact"/>
        <w:ind w:firstLine="643" w:firstLineChars="200"/>
        <w:jc w:val="center"/>
        <w:rPr>
          <w:rFonts w:ascii="黑体" w:hAnsi="黑体" w:eastAsia="黑体"/>
          <w:b/>
          <w:sz w:val="32"/>
          <w:szCs w:val="32"/>
        </w:rPr>
      </w:pPr>
    </w:p>
    <w:p>
      <w:pPr>
        <w:adjustRightInd w:val="0"/>
        <w:snapToGrid w:val="0"/>
        <w:spacing w:line="600" w:lineRule="exact"/>
        <w:ind w:firstLine="643" w:firstLineChars="200"/>
        <w:rPr>
          <w:rFonts w:ascii="黑体" w:hAnsi="黑体" w:eastAsia="黑体"/>
          <w:b/>
          <w:sz w:val="32"/>
          <w:szCs w:val="32"/>
        </w:rPr>
      </w:pPr>
      <w:r>
        <w:rPr>
          <w:rFonts w:hint="eastAsia" w:ascii="黑体" w:hAnsi="黑体" w:eastAsia="黑体"/>
          <w:b/>
          <w:sz w:val="32"/>
          <w:szCs w:val="32"/>
        </w:rPr>
        <w:t>一、信阳市平桥区教育体育局主要职责</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（一）贯彻执行党和国家关于教育体育工作的法律、法规及方针政策，研究拟订全区教育体育工作规范性文件并监督实施；负责教育体育理论研究和宣传工作。</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（二）研究提出在全区教育系统坚持党的领导、加强党的建设政策措施并组织实施；统筹全区教育工作的总体布局并负责协调推进和督促落实。</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（三）负责全区各级各类教育体育的统筹规划和协调管 理；拟订全区教育体育改革发展战略和教育体育事业发展规 划；指导各级各类学校的教育教学改革；负责全区教育体育基本信息的统计、分析和发布；推进全区公共体育、多元化体育服务体系建设。</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（四）负责本部门教育体育经费的统筹管理，参与拟订教育体育经费筹措、拨款、基建投资的政策；负责统计全区教育体育经费投入情况和教育体育系统内部审计工作及学生资助工作。</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（五）负责推进全区义务教育均衡发展和促进教育公平，负责义务教育的宏观指导与协调。指导普通高中教育、 学前教育和特殊教育工作。落实基础教育教学基本要求和教学基本文件，全面实施素质教育。指导全区教育督导工作。 组织对全区学校和其他教育机构、义务教育均衡发展的督导检查和评估验收工作。负责基础教育发展水平、质量的监测工作。</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（六）负责全区中等职业教育、成人教育工作。指导以就业为导向的职业教育的发展与改革，落实中等职业教育专业目录、教学指导文件和教学评估标准。</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（七）负责民办教育的综合协调工作，拟订民办教育发展规划、政策措施和规范性文件。</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（八）拟订全区中等学校招生计划及招生考试政策。指导中等职业学校开展毕业生就业创业工作。</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九）负责全区教育系统思想政治、意识形态工作。指导各级各类学校的德育、体育、卫生、艺术教育、劳动教育及国防教育工作。指导全区教育系统落实好党的民族宗教政策。负责教育系统安全稳定与信访工作。</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 xml:space="preserve">（十）负责全区各级各类教育资格制度实施。负责本区初中、小学（幼儿园）教师资格认定，归口管理教师和教育管理人员继续教育。配合有关部门研究提出各级各类学校编制标准。指导各级各类学校内部人事与分配制度改革。指导全区教育体育系统人才队伍建设。负责教育体育的表彰奖励。 </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（十一）负责全区普通高等学校、中等专业学校、成人高等学校的招生考试工作。管理全区教育体育系统的教科研工作。指导全区教育体育系统信息化建设工作。</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（十二）负责协调全区学校治安综合治理和安全管理工 作。承担协调、指导检查、督促全区教育体育系统信访稳定工作。</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（十三）推进全民健身计划，指导开展群众性体育活动， 实施国家体育锻炼标准，开展国民体质监测。指导公共体育设施建设，负责公共体育设施的监督管理。</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（十四）统筹规划全区竞技体育发展和体育运动项目设置与重点项目布局。负责区运动队伍建设和体育后备人才培养，贯彻落实等级运动员和等级裁判员制度。组织开展体育运动中的反兴奋剂工作。</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（十五）组织举办全区综合性运动会，统筹规划全区青少年体育发展，指导和推进青少年体育工作。</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（十六）组织指导全区教育体育方面对外交流与合作， 组织参加和承办各类体育竞赛。</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（十七）拟订全区体育产业政策，规范体育产业发展， 制定体育经营活动从业条件和监督管理程序，促进体育市场发展。</w:t>
      </w:r>
    </w:p>
    <w:p>
      <w:pPr>
        <w:adjustRightInd w:val="0"/>
        <w:snapToGrid w:val="0"/>
        <w:spacing w:line="600" w:lineRule="exact"/>
        <w:ind w:firstLine="640" w:firstLineChars="200"/>
        <w:rPr>
          <w:rFonts w:ascii="黑体" w:hAnsi="黑体" w:eastAsia="黑体" w:cs="Courier New"/>
          <w:kern w:val="0"/>
          <w:sz w:val="32"/>
          <w:szCs w:val="32"/>
        </w:rPr>
      </w:pPr>
      <w:r>
        <w:rPr>
          <w:rFonts w:hint="eastAsia" w:ascii="黑体" w:hAnsi="黑体" w:eastAsia="黑体" w:cs="Courier New"/>
          <w:kern w:val="0"/>
          <w:sz w:val="32"/>
          <w:szCs w:val="32"/>
        </w:rPr>
        <w:t>（十八）完成区委、区政府交办的其他任务。</w:t>
      </w:r>
    </w:p>
    <w:p>
      <w:pPr>
        <w:adjustRightInd w:val="0"/>
        <w:snapToGrid w:val="0"/>
        <w:spacing w:line="600" w:lineRule="exact"/>
        <w:ind w:firstLine="643" w:firstLineChars="200"/>
        <w:rPr>
          <w:rFonts w:ascii="黑体" w:hAnsi="黑体" w:eastAsia="黑体"/>
          <w:b/>
          <w:sz w:val="32"/>
          <w:szCs w:val="32"/>
        </w:rPr>
      </w:pPr>
      <w:r>
        <w:rPr>
          <w:rFonts w:hint="eastAsia" w:ascii="黑体" w:hAnsi="黑体" w:eastAsia="黑体"/>
          <w:b/>
          <w:sz w:val="32"/>
          <w:szCs w:val="32"/>
        </w:rPr>
        <w:t>二、信阳市平桥区教育体育局机构设置</w:t>
      </w:r>
    </w:p>
    <w:p>
      <w:pPr>
        <w:adjustRightInd w:val="0"/>
        <w:snapToGrid w:val="0"/>
        <w:spacing w:line="600" w:lineRule="exact"/>
        <w:ind w:firstLine="640" w:firstLineChars="200"/>
        <w:rPr>
          <w:rFonts w:ascii="黑体" w:hAnsi="黑体" w:eastAsia="黑体" w:cs="仿宋_GB2312"/>
          <w:spacing w:val="2"/>
          <w:kern w:val="0"/>
          <w:sz w:val="32"/>
          <w:szCs w:val="32"/>
        </w:rPr>
      </w:pPr>
      <w:r>
        <w:rPr>
          <w:rFonts w:hint="eastAsia" w:ascii="黑体" w:hAnsi="黑体" w:eastAsia="黑体" w:cs="Courier New"/>
          <w:kern w:val="0"/>
          <w:sz w:val="32"/>
          <w:szCs w:val="32"/>
        </w:rPr>
        <w:t>信阳市平桥区教育体育局机构本级</w:t>
      </w:r>
      <w:r>
        <w:rPr>
          <w:rFonts w:hint="eastAsia" w:ascii="黑体" w:hAnsi="黑体" w:eastAsia="黑体" w:cs="仿宋_GB2312"/>
          <w:spacing w:val="2"/>
          <w:kern w:val="0"/>
          <w:sz w:val="32"/>
          <w:szCs w:val="32"/>
        </w:rPr>
        <w:t>有内设机构14个，具体为：办公室、人事股、发展规划股、财务审计股、基础教育股、职业和成人教育股、教师教育股、体卫艺股、民办教育股、法制教育安全股、教育督导股、党风行风建设工作股、机关党委、离退休干部工作股。</w:t>
      </w:r>
    </w:p>
    <w:p>
      <w:pPr>
        <w:adjustRightInd w:val="0"/>
        <w:snapToGrid w:val="0"/>
        <w:spacing w:line="600" w:lineRule="exact"/>
        <w:ind w:firstLine="643" w:firstLineChars="200"/>
        <w:rPr>
          <w:rFonts w:ascii="黑体" w:hAnsi="黑体" w:eastAsia="黑体" w:cs="仿宋_GB2312"/>
          <w:spacing w:val="2"/>
          <w:kern w:val="0"/>
          <w:sz w:val="32"/>
          <w:szCs w:val="32"/>
        </w:rPr>
      </w:pPr>
      <w:r>
        <w:rPr>
          <w:rFonts w:hint="eastAsia" w:ascii="黑体" w:hAnsi="黑体" w:eastAsia="黑体"/>
          <w:b/>
          <w:sz w:val="32"/>
          <w:szCs w:val="32"/>
          <w:lang w:val="en-US" w:eastAsia="zh-CN"/>
        </w:rPr>
        <w:t>三</w:t>
      </w:r>
      <w:r>
        <w:rPr>
          <w:rFonts w:hint="eastAsia" w:ascii="黑体" w:hAnsi="黑体" w:eastAsia="黑体"/>
          <w:b/>
          <w:sz w:val="32"/>
          <w:szCs w:val="32"/>
        </w:rPr>
        <w:t>、信阳市平桥区教育体育局预算单位构成</w:t>
      </w:r>
    </w:p>
    <w:p>
      <w:pPr>
        <w:adjustRightInd w:val="0"/>
        <w:snapToGrid w:val="0"/>
        <w:spacing w:line="600" w:lineRule="exact"/>
        <w:ind w:firstLine="648" w:firstLineChars="200"/>
        <w:rPr>
          <w:rFonts w:ascii="黑体" w:hAnsi="黑体" w:eastAsia="黑体" w:cs="仿宋_GB2312"/>
          <w:spacing w:val="-1"/>
          <w:kern w:val="0"/>
          <w:sz w:val="32"/>
          <w:szCs w:val="32"/>
        </w:rPr>
      </w:pPr>
      <w:r>
        <w:rPr>
          <w:rFonts w:hint="eastAsia" w:ascii="黑体" w:hAnsi="黑体" w:eastAsia="黑体" w:cs="仿宋_GB2312"/>
          <w:spacing w:val="2"/>
          <w:kern w:val="0"/>
          <w:sz w:val="32"/>
          <w:szCs w:val="32"/>
        </w:rPr>
        <w:t>信阳市平桥区教育体育局下设二级机构7个，具体为：</w:t>
      </w:r>
      <w:r>
        <w:rPr>
          <w:rFonts w:hint="eastAsia" w:ascii="黑体" w:hAnsi="黑体" w:eastAsia="黑体" w:cs="仿宋_GB2312"/>
          <w:color w:val="000000"/>
          <w:sz w:val="32"/>
          <w:szCs w:val="32"/>
        </w:rPr>
        <w:t>信阳市平桥区电化教育馆、平桥区勤工俭学管理站、平桥区教学研究室、平桥区招生办公室、平桥区中小学体育卫生保健站、平桥区学生资助中心、平桥区业余体校。</w:t>
      </w:r>
    </w:p>
    <w:p>
      <w:pPr>
        <w:adjustRightInd w:val="0"/>
        <w:snapToGrid w:val="0"/>
        <w:spacing w:line="600" w:lineRule="exact"/>
        <w:ind w:firstLine="636" w:firstLineChars="200"/>
        <w:rPr>
          <w:rFonts w:ascii="黑体" w:hAnsi="黑体" w:eastAsia="黑体" w:cs="仿宋_GB2312"/>
          <w:spacing w:val="-1"/>
          <w:kern w:val="0"/>
          <w:sz w:val="32"/>
          <w:szCs w:val="32"/>
        </w:rPr>
      </w:pPr>
      <w:r>
        <w:rPr>
          <w:rFonts w:hint="eastAsia" w:ascii="黑体" w:hAnsi="黑体" w:eastAsia="黑体" w:cs="仿宋_GB2312"/>
          <w:spacing w:val="-1"/>
          <w:kern w:val="0"/>
          <w:sz w:val="32"/>
          <w:szCs w:val="32"/>
        </w:rPr>
        <w:t>我单位2021年部门预算公开范围为教体局机关本级和下设7个二级机构的汇总预算。</w:t>
      </w:r>
    </w:p>
    <w:p>
      <w:pPr>
        <w:adjustRightInd w:val="0"/>
        <w:snapToGrid w:val="0"/>
        <w:spacing w:line="600" w:lineRule="exact"/>
        <w:jc w:val="center"/>
        <w:rPr>
          <w:rFonts w:ascii="黑体" w:hAnsi="黑体" w:eastAsia="黑体" w:cs="黑体"/>
          <w:sz w:val="32"/>
          <w:szCs w:val="32"/>
        </w:rPr>
      </w:pPr>
    </w:p>
    <w:p>
      <w:pPr>
        <w:adjustRightInd w:val="0"/>
        <w:snapToGrid w:val="0"/>
        <w:spacing w:line="600" w:lineRule="exact"/>
        <w:jc w:val="center"/>
        <w:rPr>
          <w:rFonts w:ascii="黑体" w:hAnsi="黑体" w:eastAsia="黑体" w:cs="黑体"/>
          <w:sz w:val="32"/>
          <w:szCs w:val="32"/>
        </w:rPr>
      </w:pPr>
    </w:p>
    <w:p>
      <w:pPr>
        <w:adjustRightInd w:val="0"/>
        <w:snapToGrid w:val="0"/>
        <w:spacing w:line="600" w:lineRule="exact"/>
        <w:jc w:val="center"/>
        <w:rPr>
          <w:rFonts w:ascii="黑体" w:hAnsi="黑体" w:eastAsia="黑体" w:cs="黑体"/>
          <w:sz w:val="32"/>
          <w:szCs w:val="32"/>
        </w:rPr>
      </w:pPr>
    </w:p>
    <w:p>
      <w:pPr>
        <w:adjustRightInd w:val="0"/>
        <w:snapToGrid w:val="0"/>
        <w:spacing w:line="600" w:lineRule="exact"/>
        <w:jc w:val="center"/>
        <w:rPr>
          <w:rFonts w:ascii="黑体" w:hAnsi="黑体" w:eastAsia="黑体" w:cs="黑体"/>
          <w:sz w:val="32"/>
          <w:szCs w:val="32"/>
        </w:rPr>
      </w:pPr>
    </w:p>
    <w:p>
      <w:pPr>
        <w:adjustRightInd w:val="0"/>
        <w:snapToGrid w:val="0"/>
        <w:spacing w:line="600" w:lineRule="exact"/>
        <w:jc w:val="center"/>
        <w:rPr>
          <w:rFonts w:ascii="黑体" w:hAnsi="黑体" w:eastAsia="黑体" w:cs="黑体"/>
          <w:sz w:val="32"/>
          <w:szCs w:val="32"/>
        </w:rPr>
      </w:pPr>
    </w:p>
    <w:p>
      <w:pPr>
        <w:adjustRightInd w:val="0"/>
        <w:snapToGrid w:val="0"/>
        <w:spacing w:line="600" w:lineRule="exact"/>
        <w:jc w:val="center"/>
        <w:rPr>
          <w:rFonts w:ascii="黑体" w:hAnsi="黑体" w:eastAsia="黑体" w:cs="黑体"/>
          <w:sz w:val="32"/>
          <w:szCs w:val="32"/>
        </w:rPr>
      </w:pPr>
    </w:p>
    <w:p>
      <w:pPr>
        <w:adjustRightInd w:val="0"/>
        <w:snapToGrid w:val="0"/>
        <w:spacing w:line="600" w:lineRule="exact"/>
        <w:jc w:val="center"/>
        <w:rPr>
          <w:rFonts w:ascii="黑体" w:hAnsi="黑体" w:eastAsia="黑体" w:cs="黑体"/>
          <w:sz w:val="32"/>
          <w:szCs w:val="32"/>
        </w:rPr>
      </w:pPr>
    </w:p>
    <w:p>
      <w:pPr>
        <w:adjustRightInd w:val="0"/>
        <w:snapToGrid w:val="0"/>
        <w:spacing w:line="600" w:lineRule="exact"/>
        <w:jc w:val="center"/>
        <w:rPr>
          <w:rFonts w:ascii="黑体" w:hAnsi="黑体" w:eastAsia="黑体" w:cs="黑体"/>
          <w:sz w:val="32"/>
          <w:szCs w:val="32"/>
        </w:rPr>
      </w:pPr>
    </w:p>
    <w:p>
      <w:pPr>
        <w:adjustRightInd w:val="0"/>
        <w:snapToGrid w:val="0"/>
        <w:spacing w:line="600" w:lineRule="exact"/>
        <w:jc w:val="center"/>
        <w:rPr>
          <w:rFonts w:ascii="黑体" w:hAnsi="黑体" w:eastAsia="黑体" w:cs="黑体"/>
          <w:b/>
          <w:spacing w:val="-38"/>
          <w:sz w:val="32"/>
          <w:szCs w:val="32"/>
        </w:rPr>
      </w:pPr>
      <w:r>
        <w:rPr>
          <w:rFonts w:hint="eastAsia" w:ascii="黑体" w:hAnsi="黑体" w:eastAsia="黑体" w:cs="黑体"/>
          <w:b/>
          <w:sz w:val="32"/>
          <w:szCs w:val="32"/>
        </w:rPr>
        <w:t>第二部分</w:t>
      </w:r>
    </w:p>
    <w:p>
      <w:pPr>
        <w:adjustRightInd w:val="0"/>
        <w:snapToGrid w:val="0"/>
        <w:spacing w:line="600" w:lineRule="exact"/>
        <w:jc w:val="center"/>
        <w:rPr>
          <w:rFonts w:ascii="黑体" w:hAnsi="黑体" w:eastAsia="黑体"/>
          <w:b/>
          <w:sz w:val="32"/>
          <w:szCs w:val="32"/>
        </w:rPr>
      </w:pPr>
      <w:r>
        <w:rPr>
          <w:rFonts w:hint="eastAsia" w:ascii="黑体" w:hAnsi="黑体" w:eastAsia="黑体"/>
          <w:b/>
          <w:sz w:val="32"/>
          <w:szCs w:val="32"/>
        </w:rPr>
        <w:t>信阳市平桥区教育体育局</w:t>
      </w:r>
      <w:r>
        <w:rPr>
          <w:rFonts w:ascii="黑体" w:hAnsi="黑体" w:eastAsia="黑体" w:cs="黑体"/>
          <w:b/>
          <w:sz w:val="32"/>
          <w:szCs w:val="32"/>
        </w:rPr>
        <w:t>20</w:t>
      </w:r>
      <w:r>
        <w:rPr>
          <w:rFonts w:hint="eastAsia" w:ascii="黑体" w:hAnsi="黑体" w:eastAsia="黑体" w:cs="黑体"/>
          <w:b/>
          <w:sz w:val="32"/>
          <w:szCs w:val="32"/>
        </w:rPr>
        <w:t>21年度部门预算情况说明</w:t>
      </w:r>
    </w:p>
    <w:p>
      <w:pPr>
        <w:adjustRightInd w:val="0"/>
        <w:snapToGrid w:val="0"/>
        <w:spacing w:line="600" w:lineRule="exact"/>
        <w:ind w:firstLine="643" w:firstLineChars="200"/>
        <w:rPr>
          <w:rFonts w:ascii="黑体" w:hAnsi="黑体" w:eastAsia="黑体"/>
          <w:b/>
          <w:sz w:val="32"/>
          <w:szCs w:val="32"/>
        </w:rPr>
      </w:pPr>
    </w:p>
    <w:p>
      <w:pPr>
        <w:adjustRightInd w:val="0"/>
        <w:snapToGrid w:val="0"/>
        <w:spacing w:line="600" w:lineRule="exact"/>
        <w:ind w:firstLine="643" w:firstLineChars="200"/>
        <w:rPr>
          <w:rFonts w:ascii="黑体" w:hAnsi="黑体" w:eastAsia="黑体"/>
          <w:b/>
          <w:sz w:val="32"/>
          <w:szCs w:val="32"/>
        </w:rPr>
      </w:pPr>
      <w:r>
        <w:rPr>
          <w:rFonts w:hint="eastAsia" w:ascii="黑体" w:hAnsi="黑体" w:eastAsia="黑体"/>
          <w:b/>
          <w:sz w:val="32"/>
          <w:szCs w:val="32"/>
        </w:rPr>
        <w:t>一、收入支出预算总体情况说明</w:t>
      </w:r>
    </w:p>
    <w:p>
      <w:pPr>
        <w:adjustRightInd w:val="0"/>
        <w:snapToGrid w:val="0"/>
        <w:spacing w:line="600" w:lineRule="exact"/>
        <w:ind w:firstLine="640" w:firstLineChars="200"/>
        <w:rPr>
          <w:rFonts w:ascii="黑体" w:hAnsi="黑体" w:eastAsia="黑体" w:cs="Courier New"/>
          <w:sz w:val="32"/>
          <w:szCs w:val="32"/>
        </w:rPr>
      </w:pPr>
      <w:r>
        <w:rPr>
          <w:rFonts w:hint="eastAsia" w:ascii="黑体" w:hAnsi="黑体" w:eastAsia="黑体"/>
          <w:sz w:val="32"/>
          <w:szCs w:val="32"/>
        </w:rPr>
        <w:t>信阳市平桥区教育体育局</w:t>
      </w:r>
      <w:r>
        <w:rPr>
          <w:rFonts w:hint="eastAsia" w:ascii="黑体" w:hAnsi="黑体" w:eastAsia="黑体" w:cs="Courier New"/>
          <w:sz w:val="32"/>
          <w:szCs w:val="32"/>
        </w:rPr>
        <w:t>2021年收入总计</w:t>
      </w:r>
      <w:r>
        <w:rPr>
          <w:rFonts w:hint="eastAsia" w:ascii="黑体" w:hAnsi="黑体" w:eastAsia="黑体"/>
          <w:sz w:val="32"/>
          <w:szCs w:val="32"/>
        </w:rPr>
        <w:t>1038.7</w:t>
      </w:r>
      <w:r>
        <w:rPr>
          <w:rFonts w:hint="eastAsia" w:ascii="黑体" w:hAnsi="黑体" w:eastAsia="黑体" w:cs="Courier New"/>
          <w:sz w:val="32"/>
          <w:szCs w:val="32"/>
        </w:rPr>
        <w:t>万元，支出总计</w:t>
      </w:r>
      <w:r>
        <w:rPr>
          <w:rFonts w:hint="eastAsia" w:ascii="黑体" w:hAnsi="黑体" w:eastAsia="黑体"/>
          <w:sz w:val="32"/>
          <w:szCs w:val="32"/>
        </w:rPr>
        <w:t>1038.7</w:t>
      </w:r>
      <w:r>
        <w:rPr>
          <w:rFonts w:hint="eastAsia" w:ascii="黑体" w:hAnsi="黑体" w:eastAsia="黑体" w:cs="Courier New"/>
          <w:sz w:val="32"/>
          <w:szCs w:val="32"/>
        </w:rPr>
        <w:t>万元，与2010年相比，收、支总计均增加了70.47万元，增加7.28%。主要原因是人员经费和专项经费的增加。</w:t>
      </w:r>
    </w:p>
    <w:p>
      <w:pPr>
        <w:spacing w:line="600" w:lineRule="exact"/>
        <w:ind w:firstLine="643" w:firstLineChars="200"/>
        <w:rPr>
          <w:rFonts w:ascii="黑体" w:hAnsi="黑体" w:eastAsia="黑体"/>
          <w:b/>
          <w:sz w:val="32"/>
          <w:szCs w:val="32"/>
        </w:rPr>
      </w:pPr>
      <w:r>
        <w:rPr>
          <w:rFonts w:hint="eastAsia" w:ascii="黑体" w:hAnsi="黑体" w:eastAsia="黑体"/>
          <w:b/>
          <w:sz w:val="32"/>
          <w:szCs w:val="32"/>
        </w:rPr>
        <w:t>二、收入预算总体情况说明</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信阳市平桥区教育体育局2021年收入预算合计1038.7万元，其中一般公共预算1038.7万元,占比100%，包含专项经费569万元。</w:t>
      </w:r>
    </w:p>
    <w:p>
      <w:pPr>
        <w:spacing w:line="600" w:lineRule="exact"/>
        <w:ind w:firstLine="643" w:firstLineChars="200"/>
        <w:rPr>
          <w:rFonts w:ascii="黑体" w:hAnsi="黑体" w:eastAsia="黑体"/>
          <w:b/>
          <w:sz w:val="32"/>
          <w:szCs w:val="32"/>
        </w:rPr>
      </w:pPr>
      <w:r>
        <w:rPr>
          <w:rFonts w:hint="eastAsia" w:ascii="黑体" w:hAnsi="黑体" w:eastAsia="黑体"/>
          <w:b/>
          <w:sz w:val="32"/>
          <w:szCs w:val="32"/>
        </w:rPr>
        <w:t>三、支出预算总体情况说明</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信阳市平桥区教育体育局</w:t>
      </w:r>
      <w:r>
        <w:rPr>
          <w:rFonts w:hint="eastAsia" w:ascii="黑体" w:hAnsi="黑体" w:eastAsia="黑体" w:cs="Courier New"/>
          <w:sz w:val="32"/>
          <w:szCs w:val="32"/>
        </w:rPr>
        <w:t>2021年支出预算合计</w:t>
      </w:r>
      <w:r>
        <w:rPr>
          <w:rFonts w:hint="eastAsia" w:ascii="黑体" w:hAnsi="黑体" w:eastAsia="黑体"/>
          <w:sz w:val="32"/>
          <w:szCs w:val="32"/>
        </w:rPr>
        <w:t>1038.7</w:t>
      </w:r>
      <w:r>
        <w:rPr>
          <w:rFonts w:hint="eastAsia" w:ascii="黑体" w:hAnsi="黑体" w:eastAsia="黑体" w:cs="Courier New"/>
          <w:sz w:val="32"/>
          <w:szCs w:val="32"/>
        </w:rPr>
        <w:t>万元，其中：（1）基本支出469.7万元，占比45.22%，具体是人员经费422.2万元，公用经费47.5万元（2）专项经费569万元，占比54.78%，具体是高中招考试180万元、中招体育考试30万元、中小学生运动会10万元、理化生加试10万元、教研经费20万元、电教工作经费20万元、勤工俭学管理10万元、资助中心30万元、教育督导经费20万元、局机关中心工作95万元、2018-2019一小分校办学经费64万元、教育均衡发展专项工作经费50万元。区教育工作领导小组秘书组秘书办工作经费30万元。</w:t>
      </w:r>
    </w:p>
    <w:p>
      <w:pPr>
        <w:spacing w:line="600" w:lineRule="exact"/>
        <w:ind w:firstLine="643" w:firstLineChars="200"/>
        <w:rPr>
          <w:rFonts w:ascii="黑体" w:hAnsi="黑体" w:eastAsia="黑体"/>
          <w:b/>
          <w:sz w:val="32"/>
          <w:szCs w:val="32"/>
        </w:rPr>
      </w:pPr>
      <w:r>
        <w:rPr>
          <w:rFonts w:hint="eastAsia" w:ascii="黑体" w:hAnsi="黑体" w:eastAsia="黑体"/>
          <w:b/>
          <w:sz w:val="32"/>
          <w:szCs w:val="32"/>
        </w:rPr>
        <w:t>四、财政拨款收入支出预算总体情况说明</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信阳市平桥区教育体育局</w:t>
      </w:r>
      <w:r>
        <w:rPr>
          <w:rFonts w:ascii="黑体" w:hAnsi="黑体" w:eastAsia="黑体" w:cs="Courier New"/>
          <w:sz w:val="32"/>
          <w:szCs w:val="32"/>
        </w:rPr>
        <w:t>20</w:t>
      </w:r>
      <w:r>
        <w:rPr>
          <w:rFonts w:hint="eastAsia" w:ascii="黑体" w:hAnsi="黑体" w:eastAsia="黑体" w:cs="Courier New"/>
          <w:sz w:val="32"/>
          <w:szCs w:val="32"/>
        </w:rPr>
        <w:t>21年财政拨款收支预算</w:t>
      </w:r>
      <w:r>
        <w:rPr>
          <w:rFonts w:hint="eastAsia" w:ascii="黑体" w:hAnsi="黑体" w:eastAsia="黑体"/>
          <w:sz w:val="32"/>
          <w:szCs w:val="32"/>
        </w:rPr>
        <w:t>1038.7</w:t>
      </w:r>
      <w:r>
        <w:rPr>
          <w:rFonts w:hint="eastAsia" w:ascii="黑体" w:hAnsi="黑体" w:eastAsia="黑体" w:cs="Courier New"/>
          <w:sz w:val="32"/>
          <w:szCs w:val="32"/>
        </w:rPr>
        <w:t>万元，与</w:t>
      </w:r>
      <w:r>
        <w:rPr>
          <w:rFonts w:ascii="黑体" w:hAnsi="黑体" w:eastAsia="黑体" w:cs="Courier New"/>
          <w:sz w:val="32"/>
          <w:szCs w:val="32"/>
        </w:rPr>
        <w:t xml:space="preserve"> 20</w:t>
      </w:r>
      <w:r>
        <w:rPr>
          <w:rFonts w:hint="eastAsia" w:ascii="黑体" w:hAnsi="黑体" w:eastAsia="黑体" w:cs="Courier New"/>
          <w:sz w:val="32"/>
          <w:szCs w:val="32"/>
        </w:rPr>
        <w:t>20年相比，财政拨款收支预算均增加了70.47万元，增加2.48%。主要原因是人员经费和公用经费增加。</w:t>
      </w:r>
    </w:p>
    <w:p>
      <w:pPr>
        <w:spacing w:line="600" w:lineRule="exact"/>
        <w:ind w:firstLine="643" w:firstLineChars="200"/>
        <w:rPr>
          <w:rFonts w:ascii="黑体" w:hAnsi="黑体" w:eastAsia="黑体"/>
          <w:b/>
          <w:sz w:val="32"/>
          <w:szCs w:val="32"/>
        </w:rPr>
      </w:pPr>
      <w:r>
        <w:rPr>
          <w:rFonts w:hint="eastAsia" w:ascii="黑体" w:hAnsi="黑体" w:eastAsia="黑体"/>
          <w:b/>
          <w:sz w:val="32"/>
          <w:szCs w:val="32"/>
        </w:rPr>
        <w:t>五、一般公共预算支出预算情况说明</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信阳市平桥区教育体育局</w:t>
      </w:r>
      <w:r>
        <w:rPr>
          <w:rFonts w:ascii="黑体" w:hAnsi="黑体" w:eastAsia="黑体" w:cs="Courier New"/>
          <w:sz w:val="32"/>
          <w:szCs w:val="32"/>
        </w:rPr>
        <w:t>20</w:t>
      </w:r>
      <w:r>
        <w:rPr>
          <w:rFonts w:hint="eastAsia" w:ascii="黑体" w:hAnsi="黑体" w:eastAsia="黑体" w:cs="Courier New"/>
          <w:sz w:val="32"/>
          <w:szCs w:val="32"/>
        </w:rPr>
        <w:t>21</w:t>
      </w:r>
      <w:r>
        <w:rPr>
          <w:rFonts w:ascii="黑体" w:hAnsi="黑体" w:eastAsia="黑体" w:cs="Courier New"/>
          <w:sz w:val="32"/>
          <w:szCs w:val="32"/>
        </w:rPr>
        <w:t xml:space="preserve"> </w:t>
      </w:r>
      <w:r>
        <w:rPr>
          <w:rFonts w:hint="eastAsia" w:ascii="黑体" w:hAnsi="黑体" w:eastAsia="黑体" w:cs="Courier New"/>
          <w:sz w:val="32"/>
          <w:szCs w:val="32"/>
        </w:rPr>
        <w:t>年一般公共预算支出年初预算</w:t>
      </w:r>
      <w:r>
        <w:rPr>
          <w:rFonts w:hint="eastAsia" w:ascii="黑体" w:hAnsi="黑体" w:eastAsia="黑体"/>
          <w:sz w:val="32"/>
          <w:szCs w:val="32"/>
        </w:rPr>
        <w:t>1038.7</w:t>
      </w:r>
      <w:r>
        <w:rPr>
          <w:rFonts w:hint="eastAsia" w:ascii="黑体" w:hAnsi="黑体" w:eastAsia="黑体" w:cs="Courier New"/>
          <w:sz w:val="32"/>
          <w:szCs w:val="32"/>
        </w:rPr>
        <w:t>万元,主要用于以下方面：人员经费422.2万元，占40.65%；公用经费47.5万元，占4.57%，专项经费569万元，占54.78%，主要包括：高中招考试180万元、体育考试30万元、中小学生运动会10万元、理化生加试10万元、教研经费20万元、电教工作经费20万元、勤工俭学管理10万元、资助中心30万元、教育督导经费20万元、局机关中心工作95万元、2018-2019年度一小分校办学经费64万元、教育均衡发展专项工作经费50万元。区教育工作领导小组秘书组秘书办工作经费30万元。</w:t>
      </w:r>
    </w:p>
    <w:p>
      <w:pPr>
        <w:spacing w:line="600" w:lineRule="exact"/>
        <w:ind w:firstLine="643" w:firstLineChars="200"/>
        <w:rPr>
          <w:rFonts w:ascii="黑体" w:hAnsi="黑体" w:eastAsia="黑体"/>
          <w:b/>
          <w:sz w:val="32"/>
          <w:szCs w:val="32"/>
        </w:rPr>
      </w:pPr>
      <w:r>
        <w:rPr>
          <w:rFonts w:hint="eastAsia" w:ascii="黑体" w:hAnsi="黑体" w:eastAsia="黑体" w:cs="黑体"/>
          <w:b/>
          <w:kern w:val="0"/>
          <w:sz w:val="32"/>
          <w:szCs w:val="32"/>
        </w:rPr>
        <w:t>六、一般公共预算基本支出预算情况说明</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信阳市平桥区教育体育局</w:t>
      </w:r>
      <w:r>
        <w:rPr>
          <w:rFonts w:ascii="黑体" w:hAnsi="黑体" w:eastAsia="黑体" w:cs="Courier New"/>
          <w:sz w:val="32"/>
          <w:szCs w:val="32"/>
        </w:rPr>
        <w:t>20</w:t>
      </w:r>
      <w:r>
        <w:rPr>
          <w:rFonts w:hint="eastAsia" w:ascii="黑体" w:hAnsi="黑体" w:eastAsia="黑体" w:cs="Courier New"/>
          <w:sz w:val="32"/>
          <w:szCs w:val="32"/>
        </w:rPr>
        <w:t>21年一般公共预算基本支出</w:t>
      </w:r>
      <w:r>
        <w:rPr>
          <w:rFonts w:hint="eastAsia" w:ascii="黑体" w:hAnsi="黑体" w:eastAsia="黑体"/>
          <w:sz w:val="32"/>
          <w:szCs w:val="32"/>
        </w:rPr>
        <w:t>469.7</w:t>
      </w:r>
      <w:r>
        <w:rPr>
          <w:rFonts w:hint="eastAsia" w:ascii="黑体" w:hAnsi="黑体" w:eastAsia="黑体" w:cs="Courier New"/>
          <w:sz w:val="32"/>
          <w:szCs w:val="32"/>
        </w:rPr>
        <w:t>万元，其中：</w:t>
      </w:r>
      <w:r>
        <w:rPr>
          <w:rFonts w:hint="eastAsia" w:ascii="黑体" w:hAnsi="黑体" w:eastAsia="黑体" w:cs="仿宋_GB2312"/>
          <w:spacing w:val="-1"/>
          <w:kern w:val="0"/>
          <w:sz w:val="32"/>
          <w:szCs w:val="32"/>
        </w:rPr>
        <w:t>工资福利</w:t>
      </w:r>
      <w:r>
        <w:rPr>
          <w:rFonts w:ascii="黑体" w:hAnsi="黑体" w:eastAsia="黑体" w:cs="仿宋_GB2312"/>
          <w:spacing w:val="-1"/>
          <w:kern w:val="0"/>
          <w:sz w:val="32"/>
          <w:szCs w:val="32"/>
        </w:rPr>
        <w:t>支出</w:t>
      </w:r>
      <w:r>
        <w:rPr>
          <w:rFonts w:hint="eastAsia" w:ascii="黑体" w:hAnsi="黑体" w:eastAsia="黑体"/>
          <w:sz w:val="32"/>
          <w:szCs w:val="32"/>
        </w:rPr>
        <w:t>422.2</w:t>
      </w:r>
      <w:r>
        <w:rPr>
          <w:rFonts w:hint="eastAsia" w:ascii="黑体" w:hAnsi="黑体" w:eastAsia="黑体" w:cs="Courier New"/>
          <w:sz w:val="32"/>
          <w:szCs w:val="32"/>
        </w:rPr>
        <w:t>万元，主要包括：基本工资、津贴补贴、奖金、社会保障缴费、绩效工资、其他工资福利支出、住房公积金；对个人和家庭补助支出1.88万元，主要包括：离休费和遗属定补；</w:t>
      </w:r>
      <w:r>
        <w:rPr>
          <w:rFonts w:hint="eastAsia" w:ascii="黑体" w:hAnsi="黑体" w:eastAsia="黑体" w:cs="仿宋_GB2312"/>
          <w:spacing w:val="-1"/>
          <w:kern w:val="0"/>
          <w:sz w:val="32"/>
          <w:szCs w:val="32"/>
        </w:rPr>
        <w:t>商品和</w:t>
      </w:r>
      <w:r>
        <w:rPr>
          <w:rFonts w:ascii="黑体" w:hAnsi="黑体" w:eastAsia="黑体" w:cs="仿宋_GB2312"/>
          <w:spacing w:val="-1"/>
          <w:kern w:val="0"/>
          <w:sz w:val="32"/>
          <w:szCs w:val="32"/>
        </w:rPr>
        <w:t>服务支出</w:t>
      </w:r>
      <w:r>
        <w:rPr>
          <w:rFonts w:hint="eastAsia" w:ascii="黑体" w:hAnsi="黑体" w:eastAsia="黑体"/>
          <w:sz w:val="32"/>
          <w:szCs w:val="32"/>
        </w:rPr>
        <w:t>45.62</w:t>
      </w:r>
      <w:r>
        <w:rPr>
          <w:rFonts w:hint="eastAsia" w:ascii="黑体" w:hAnsi="黑体" w:eastAsia="黑体" w:cs="Courier New"/>
          <w:sz w:val="32"/>
          <w:szCs w:val="32"/>
        </w:rPr>
        <w:t>万元，主要包括：办公费、印刷费、咨询费、手续费、水费、电费、邮电费、取暖费、物业管理费、差旅费、因公出国（境）费、维</w:t>
      </w:r>
      <w:r>
        <w:rPr>
          <w:rFonts w:ascii="黑体" w:hAnsi="黑体" w:eastAsia="黑体" w:cs="Courier New"/>
          <w:sz w:val="32"/>
          <w:szCs w:val="32"/>
        </w:rPr>
        <w:t xml:space="preserve"> </w:t>
      </w:r>
      <w:r>
        <w:rPr>
          <w:rFonts w:hint="eastAsia" w:ascii="黑体" w:hAnsi="黑体" w:eastAsia="黑体" w:cs="Courier New"/>
          <w:sz w:val="32"/>
          <w:szCs w:val="32"/>
        </w:rPr>
        <w:t>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600" w:lineRule="exact"/>
        <w:ind w:firstLine="643" w:firstLineChars="200"/>
        <w:rPr>
          <w:rFonts w:ascii="黑体" w:hAnsi="黑体" w:eastAsia="黑体"/>
          <w:b/>
          <w:sz w:val="32"/>
          <w:szCs w:val="32"/>
        </w:rPr>
      </w:pPr>
      <w:r>
        <w:rPr>
          <w:rFonts w:hint="eastAsia" w:ascii="黑体" w:hAnsi="黑体" w:eastAsia="黑体"/>
          <w:b/>
          <w:sz w:val="32"/>
          <w:szCs w:val="32"/>
        </w:rPr>
        <w:t>七、支出预算经济分类情况说明</w:t>
      </w:r>
    </w:p>
    <w:p>
      <w:pPr>
        <w:adjustRightInd w:val="0"/>
        <w:snapToGrid w:val="0"/>
        <w:spacing w:line="600" w:lineRule="exact"/>
        <w:jc w:val="left"/>
        <w:rPr>
          <w:rFonts w:ascii="黑体" w:hAnsi="黑体" w:eastAsia="黑体"/>
          <w:sz w:val="32"/>
          <w:szCs w:val="32"/>
        </w:rPr>
      </w:pPr>
      <w:r>
        <w:rPr>
          <w:rFonts w:hint="eastAsia" w:ascii="黑体" w:hAnsi="黑体" w:eastAsia="黑体"/>
          <w:sz w:val="32"/>
          <w:szCs w:val="32"/>
        </w:rPr>
        <w:t>　　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局《支出经济分类汇总表》由上年仅反映一般公共预算基本支出经济分类科目预算，调整为按两套经济分类科目分别反映不同资金来源的全部预算支出。</w:t>
      </w:r>
    </w:p>
    <w:p>
      <w:pPr>
        <w:adjustRightInd w:val="0"/>
        <w:snapToGrid w:val="0"/>
        <w:spacing w:line="600" w:lineRule="exact"/>
        <w:ind w:firstLine="643" w:firstLineChars="200"/>
        <w:rPr>
          <w:rFonts w:ascii="黑体" w:hAnsi="黑体" w:eastAsia="黑体"/>
          <w:b/>
          <w:sz w:val="32"/>
          <w:szCs w:val="32"/>
        </w:rPr>
      </w:pPr>
      <w:r>
        <w:rPr>
          <w:rFonts w:hint="eastAsia" w:ascii="黑体" w:hAnsi="黑体" w:eastAsia="黑体"/>
          <w:b/>
          <w:sz w:val="32"/>
          <w:szCs w:val="32"/>
        </w:rPr>
        <w:t>八、政府性基金预算支出情况说明</w:t>
      </w:r>
    </w:p>
    <w:p>
      <w:pPr>
        <w:adjustRightInd w:val="0"/>
        <w:snapToGrid w:val="0"/>
        <w:spacing w:line="600" w:lineRule="exact"/>
        <w:jc w:val="left"/>
        <w:rPr>
          <w:rFonts w:ascii="黑体" w:hAnsi="黑体" w:eastAsia="黑体"/>
          <w:sz w:val="32"/>
          <w:szCs w:val="32"/>
        </w:rPr>
      </w:pPr>
      <w:r>
        <w:rPr>
          <w:rFonts w:hint="eastAsia" w:ascii="黑体" w:hAnsi="黑体" w:eastAsia="黑体"/>
          <w:sz w:val="32"/>
          <w:szCs w:val="32"/>
        </w:rPr>
        <w:t>　　平桥区教体局2021年没有使用政府性基金预算拨款安排的支出。</w:t>
      </w:r>
    </w:p>
    <w:p>
      <w:pPr>
        <w:adjustRightInd w:val="0"/>
        <w:snapToGrid w:val="0"/>
        <w:spacing w:line="600" w:lineRule="exact"/>
        <w:ind w:firstLine="643" w:firstLineChars="200"/>
        <w:rPr>
          <w:rFonts w:ascii="黑体" w:hAnsi="黑体" w:eastAsia="黑体"/>
          <w:b/>
          <w:sz w:val="32"/>
          <w:szCs w:val="32"/>
        </w:rPr>
      </w:pPr>
      <w:r>
        <w:rPr>
          <w:rFonts w:hint="eastAsia" w:ascii="黑体" w:hAnsi="黑体" w:eastAsia="黑体"/>
          <w:b/>
          <w:sz w:val="32"/>
          <w:szCs w:val="32"/>
        </w:rPr>
        <w:t>九、 “三公”经费支出预算情况说明</w:t>
      </w:r>
    </w:p>
    <w:p>
      <w:pPr>
        <w:adjustRightInd w:val="0"/>
        <w:snapToGrid w:val="0"/>
        <w:spacing w:line="600" w:lineRule="exact"/>
        <w:jc w:val="left"/>
        <w:rPr>
          <w:rFonts w:ascii="黑体" w:hAnsi="黑体" w:eastAsia="黑体"/>
          <w:sz w:val="32"/>
          <w:szCs w:val="32"/>
        </w:rPr>
      </w:pPr>
      <w:r>
        <w:rPr>
          <w:rFonts w:hint="eastAsia" w:ascii="黑体" w:hAnsi="黑体" w:eastAsia="黑体"/>
          <w:sz w:val="32"/>
          <w:szCs w:val="32"/>
        </w:rPr>
        <w:t>　　平桥区教体局2021年未安排“三公”经费中的因公出国出境费、公务接待费、公务用车购置费和公务用车运行维护费等相关支出。2021年“三公”经费支出预算数比2020年预算相比无增加。具体支出情况如下：</w:t>
      </w:r>
    </w:p>
    <w:p>
      <w:pPr>
        <w:adjustRightInd w:val="0"/>
        <w:snapToGrid w:val="0"/>
        <w:spacing w:line="600" w:lineRule="exact"/>
        <w:jc w:val="left"/>
        <w:rPr>
          <w:rFonts w:ascii="黑体" w:hAnsi="黑体" w:eastAsia="黑体"/>
          <w:sz w:val="32"/>
          <w:szCs w:val="32"/>
        </w:rPr>
      </w:pPr>
      <w:r>
        <w:rPr>
          <w:rFonts w:hint="eastAsia" w:ascii="黑体" w:hAnsi="黑体" w:eastAsia="黑体"/>
          <w:sz w:val="32"/>
          <w:szCs w:val="32"/>
        </w:rPr>
        <w:t>　　(一)因公出国(境)费0万元，预算数比2020年无增减变动。</w:t>
      </w:r>
    </w:p>
    <w:p>
      <w:pPr>
        <w:adjustRightInd w:val="0"/>
        <w:snapToGrid w:val="0"/>
        <w:spacing w:line="600" w:lineRule="exact"/>
        <w:jc w:val="left"/>
        <w:rPr>
          <w:rFonts w:ascii="黑体" w:hAnsi="黑体" w:eastAsia="黑体"/>
          <w:sz w:val="32"/>
          <w:szCs w:val="32"/>
        </w:rPr>
      </w:pPr>
      <w:r>
        <w:rPr>
          <w:rFonts w:hint="eastAsia" w:ascii="黑体" w:hAnsi="黑体" w:eastAsia="黑体"/>
          <w:sz w:val="32"/>
          <w:szCs w:val="32"/>
        </w:rPr>
        <w:t>　　(二)公务用车购置及运行费0万元，其中，公务用车购置费0万元；公务用车运行维护费0万元。预算数比2020年无增减变动。</w:t>
      </w:r>
    </w:p>
    <w:p>
      <w:pPr>
        <w:adjustRightInd w:val="0"/>
        <w:snapToGrid w:val="0"/>
        <w:spacing w:line="600" w:lineRule="exact"/>
        <w:jc w:val="left"/>
        <w:rPr>
          <w:rFonts w:ascii="黑体" w:hAnsi="黑体" w:eastAsia="黑体"/>
          <w:sz w:val="32"/>
          <w:szCs w:val="32"/>
        </w:rPr>
      </w:pPr>
      <w:r>
        <w:rPr>
          <w:rFonts w:hint="eastAsia" w:ascii="黑体" w:hAnsi="黑体" w:eastAsia="黑体"/>
          <w:sz w:val="32"/>
          <w:szCs w:val="32"/>
        </w:rPr>
        <w:t>　　(三)公务接待费0万元，预算数比2020年无增减变动。</w:t>
      </w:r>
    </w:p>
    <w:p>
      <w:pPr>
        <w:adjustRightInd w:val="0"/>
        <w:snapToGrid w:val="0"/>
        <w:spacing w:line="600" w:lineRule="exact"/>
        <w:jc w:val="left"/>
        <w:rPr>
          <w:rFonts w:ascii="黑体" w:hAnsi="黑体" w:eastAsia="黑体"/>
          <w:sz w:val="32"/>
          <w:szCs w:val="32"/>
        </w:rPr>
      </w:pPr>
    </w:p>
    <w:p>
      <w:pPr>
        <w:adjustRightInd w:val="0"/>
        <w:snapToGrid w:val="0"/>
        <w:spacing w:line="600" w:lineRule="exact"/>
        <w:jc w:val="left"/>
        <w:rPr>
          <w:rFonts w:ascii="黑体" w:hAnsi="黑体" w:eastAsia="黑体"/>
          <w:b/>
          <w:sz w:val="32"/>
          <w:szCs w:val="32"/>
        </w:rPr>
      </w:pPr>
      <w:r>
        <w:rPr>
          <w:rFonts w:hint="eastAsia" w:ascii="黑体" w:hAnsi="黑体" w:eastAsia="黑体"/>
          <w:sz w:val="32"/>
          <w:szCs w:val="32"/>
        </w:rPr>
        <w:t>　　</w:t>
      </w:r>
      <w:r>
        <w:rPr>
          <w:rFonts w:hint="eastAsia" w:ascii="黑体" w:hAnsi="黑体" w:eastAsia="黑体"/>
          <w:b/>
          <w:sz w:val="32"/>
          <w:szCs w:val="32"/>
        </w:rPr>
        <w:t>十、其他重要事项的情况说明</w:t>
      </w:r>
    </w:p>
    <w:p>
      <w:pPr>
        <w:adjustRightInd w:val="0"/>
        <w:snapToGrid w:val="0"/>
        <w:spacing w:line="600" w:lineRule="exact"/>
        <w:ind w:firstLine="660"/>
        <w:jc w:val="left"/>
        <w:rPr>
          <w:rFonts w:ascii="黑体" w:hAnsi="黑体" w:eastAsia="黑体"/>
          <w:sz w:val="32"/>
          <w:szCs w:val="32"/>
        </w:rPr>
      </w:pPr>
      <w:r>
        <w:rPr>
          <w:rFonts w:hint="eastAsia" w:ascii="黑体" w:hAnsi="黑体" w:eastAsia="黑体"/>
          <w:sz w:val="32"/>
          <w:szCs w:val="32"/>
        </w:rPr>
        <w:t>(一)机关运行经费支出情况</w:t>
      </w:r>
    </w:p>
    <w:p>
      <w:pPr>
        <w:adjustRightInd w:val="0"/>
        <w:snapToGrid w:val="0"/>
        <w:spacing w:line="600" w:lineRule="exact"/>
        <w:jc w:val="left"/>
        <w:rPr>
          <w:rFonts w:ascii="黑体" w:hAnsi="黑体" w:eastAsia="黑体"/>
          <w:sz w:val="32"/>
          <w:szCs w:val="32"/>
        </w:rPr>
      </w:pPr>
      <w:r>
        <w:rPr>
          <w:rFonts w:hint="eastAsia" w:ascii="黑体" w:hAnsi="黑体" w:eastAsia="黑体"/>
          <w:sz w:val="32"/>
          <w:szCs w:val="32"/>
        </w:rPr>
        <w:t>　平桥区教体局2021年机关运行经费支出预算</w:t>
      </w:r>
      <w:r>
        <w:rPr>
          <w:rFonts w:hint="eastAsia" w:ascii="黑体" w:hAnsi="黑体" w:eastAsia="黑体"/>
          <w:sz w:val="32"/>
          <w:szCs w:val="32"/>
          <w:lang w:val="en-US" w:eastAsia="zh-CN"/>
        </w:rPr>
        <w:t>45.62</w:t>
      </w:r>
      <w:bookmarkStart w:id="0" w:name="_GoBack"/>
      <w:bookmarkEnd w:id="0"/>
      <w:r>
        <w:rPr>
          <w:rFonts w:hint="eastAsia" w:ascii="黑体" w:hAnsi="黑体" w:eastAsia="黑体"/>
          <w:sz w:val="32"/>
          <w:szCs w:val="32"/>
        </w:rPr>
        <w:t>万元，主要保障机关机构正常运转及正常履职、义务教育均衡发展需要。</w:t>
      </w:r>
    </w:p>
    <w:p>
      <w:pPr>
        <w:adjustRightInd w:val="0"/>
        <w:snapToGrid w:val="0"/>
        <w:spacing w:line="600" w:lineRule="exact"/>
        <w:jc w:val="left"/>
        <w:rPr>
          <w:rFonts w:ascii="黑体" w:hAnsi="黑体" w:eastAsia="黑体"/>
          <w:sz w:val="32"/>
          <w:szCs w:val="32"/>
        </w:rPr>
      </w:pPr>
      <w:r>
        <w:rPr>
          <w:rFonts w:hint="eastAsia" w:ascii="黑体" w:hAnsi="黑体" w:eastAsia="黑体"/>
          <w:sz w:val="32"/>
          <w:szCs w:val="32"/>
        </w:rPr>
        <w:t>　　(二)政府采购支出情况</w:t>
      </w:r>
    </w:p>
    <w:p>
      <w:pPr>
        <w:adjustRightInd w:val="0"/>
        <w:snapToGrid w:val="0"/>
        <w:spacing w:line="600" w:lineRule="exact"/>
        <w:jc w:val="left"/>
        <w:rPr>
          <w:rFonts w:ascii="黑体" w:hAnsi="黑体" w:eastAsia="黑体"/>
          <w:sz w:val="32"/>
          <w:szCs w:val="32"/>
        </w:rPr>
      </w:pPr>
      <w:r>
        <w:rPr>
          <w:rFonts w:hint="eastAsia" w:ascii="黑体" w:hAnsi="黑体" w:eastAsia="黑体"/>
          <w:sz w:val="32"/>
          <w:szCs w:val="32"/>
        </w:rPr>
        <w:t>　　2021年政府采购预算我单位没有政府采购项目，政府采购预算安排 0万元，其中：政府采购货物预算0万元、政府采购工程预算0万元、政府采购服务预算0万元。</w:t>
      </w:r>
    </w:p>
    <w:p>
      <w:pPr>
        <w:adjustRightInd w:val="0"/>
        <w:snapToGrid w:val="0"/>
        <w:spacing w:line="600" w:lineRule="exact"/>
        <w:jc w:val="left"/>
        <w:rPr>
          <w:rFonts w:ascii="黑体" w:hAnsi="黑体" w:eastAsia="黑体"/>
          <w:sz w:val="32"/>
          <w:szCs w:val="32"/>
        </w:rPr>
      </w:pPr>
      <w:r>
        <w:rPr>
          <w:rFonts w:hint="eastAsia" w:ascii="黑体" w:hAnsi="黑体" w:eastAsia="黑体"/>
          <w:sz w:val="32"/>
          <w:szCs w:val="32"/>
        </w:rPr>
        <w:t>　　(三)</w:t>
      </w:r>
      <w:r>
        <w:rPr>
          <w:rFonts w:hint="eastAsia"/>
        </w:rPr>
        <w:t xml:space="preserve"> </w:t>
      </w:r>
      <w:r>
        <w:rPr>
          <w:rFonts w:hint="eastAsia" w:ascii="黑体" w:hAnsi="黑体" w:eastAsia="黑体"/>
          <w:sz w:val="32"/>
          <w:szCs w:val="32"/>
        </w:rPr>
        <w:t>关于预算绩效管理工作开展及重点项目预算绩效目标设置情况说明</w:t>
      </w:r>
    </w:p>
    <w:p>
      <w:pPr>
        <w:adjustRightInd w:val="0"/>
        <w:snapToGrid w:val="0"/>
        <w:spacing w:line="600" w:lineRule="exact"/>
        <w:ind w:firstLine="640" w:firstLineChars="200"/>
        <w:jc w:val="left"/>
        <w:rPr>
          <w:rFonts w:ascii="黑体" w:hAnsi="黑体" w:eastAsia="黑体"/>
          <w:sz w:val="32"/>
          <w:szCs w:val="32"/>
        </w:rPr>
      </w:pPr>
      <w:r>
        <w:rPr>
          <w:rFonts w:hint="eastAsia" w:ascii="黑体" w:hAnsi="黑体" w:eastAsia="黑体"/>
          <w:sz w:val="32"/>
          <w:szCs w:val="32"/>
        </w:rPr>
        <w:t>2021年，我单位拟对重点项目预算绩效目标进行编制，从项目产出、项目效益、满意度等方面完成设置，以便能够综合反映项目预期完成的数量、实效、质量，预期达到的社会经济效益、可持续影响以及服务对象满意度等情况。</w:t>
      </w:r>
    </w:p>
    <w:p>
      <w:pPr>
        <w:adjustRightInd w:val="0"/>
        <w:snapToGrid w:val="0"/>
        <w:spacing w:line="600" w:lineRule="exact"/>
        <w:jc w:val="left"/>
        <w:rPr>
          <w:rFonts w:ascii="黑体" w:hAnsi="黑体" w:eastAsia="黑体"/>
          <w:sz w:val="32"/>
          <w:szCs w:val="32"/>
        </w:rPr>
      </w:pPr>
      <w:r>
        <w:rPr>
          <w:rFonts w:hint="eastAsia" w:ascii="黑体" w:hAnsi="黑体" w:eastAsia="黑体"/>
          <w:sz w:val="32"/>
          <w:szCs w:val="32"/>
        </w:rPr>
        <w:t>　　(四)国有资产占用情况。</w:t>
      </w:r>
    </w:p>
    <w:p>
      <w:pPr>
        <w:adjustRightInd w:val="0"/>
        <w:snapToGrid w:val="0"/>
        <w:spacing w:line="600" w:lineRule="exact"/>
        <w:jc w:val="left"/>
        <w:rPr>
          <w:rFonts w:ascii="黑体" w:hAnsi="黑体" w:eastAsia="黑体"/>
          <w:sz w:val="32"/>
          <w:szCs w:val="32"/>
        </w:rPr>
      </w:pPr>
      <w:r>
        <w:rPr>
          <w:rFonts w:hint="eastAsia" w:ascii="黑体" w:hAnsi="黑体" w:eastAsia="黑体"/>
          <w:sz w:val="32"/>
          <w:szCs w:val="32"/>
        </w:rPr>
        <w:t>　　公车改革后，我单位严格按照车改办核准保留的公务用车执行。2020年底，我单位共有公车0辆，单价50万元以上的通用设备0台（套），单位价值100万以上的专业设备0台（套）。</w:t>
      </w:r>
    </w:p>
    <w:p>
      <w:pPr>
        <w:adjustRightInd w:val="0"/>
        <w:snapToGrid w:val="0"/>
        <w:spacing w:line="600" w:lineRule="exact"/>
        <w:jc w:val="left"/>
        <w:rPr>
          <w:rFonts w:ascii="黑体" w:hAnsi="黑体" w:eastAsia="黑体"/>
          <w:sz w:val="32"/>
          <w:szCs w:val="32"/>
        </w:rPr>
      </w:pPr>
      <w:r>
        <w:rPr>
          <w:rFonts w:hint="eastAsia" w:ascii="黑体" w:hAnsi="黑体" w:eastAsia="黑体"/>
          <w:sz w:val="32"/>
          <w:szCs w:val="32"/>
        </w:rPr>
        <w:t>　　(五)专项转移支付项目情况</w:t>
      </w:r>
    </w:p>
    <w:p>
      <w:pPr>
        <w:adjustRightInd w:val="0"/>
        <w:snapToGrid w:val="0"/>
        <w:spacing w:line="600" w:lineRule="exact"/>
        <w:jc w:val="left"/>
        <w:rPr>
          <w:rFonts w:ascii="黑体" w:hAnsi="黑体" w:eastAsia="黑体"/>
          <w:sz w:val="32"/>
          <w:szCs w:val="32"/>
        </w:rPr>
      </w:pPr>
      <w:r>
        <w:rPr>
          <w:rFonts w:hint="eastAsia" w:ascii="黑体" w:hAnsi="黑体" w:eastAsia="黑体"/>
          <w:sz w:val="32"/>
          <w:szCs w:val="32"/>
        </w:rPr>
        <w:t>　　我单位没有负责管理的专项转移支付项目。</w:t>
      </w:r>
    </w:p>
    <w:p>
      <w:pPr>
        <w:adjustRightInd w:val="0"/>
        <w:snapToGrid w:val="0"/>
        <w:spacing w:line="600" w:lineRule="exact"/>
        <w:jc w:val="center"/>
        <w:rPr>
          <w:rFonts w:ascii="黑体" w:hAnsi="黑体" w:eastAsia="黑体"/>
          <w:sz w:val="32"/>
          <w:szCs w:val="32"/>
        </w:rPr>
      </w:pPr>
    </w:p>
    <w:p>
      <w:pPr>
        <w:adjustRightInd w:val="0"/>
        <w:snapToGrid w:val="0"/>
        <w:spacing w:line="600" w:lineRule="exact"/>
        <w:jc w:val="center"/>
        <w:rPr>
          <w:rFonts w:ascii="黑体" w:hAnsi="黑体" w:eastAsia="黑体"/>
          <w:b/>
          <w:sz w:val="32"/>
          <w:szCs w:val="32"/>
        </w:rPr>
      </w:pPr>
      <w:r>
        <w:rPr>
          <w:rFonts w:hint="eastAsia" w:ascii="黑体" w:hAnsi="黑体" w:eastAsia="黑体"/>
          <w:b/>
          <w:sz w:val="32"/>
          <w:szCs w:val="32"/>
        </w:rPr>
        <w:t>第三部分</w:t>
      </w:r>
    </w:p>
    <w:p>
      <w:pPr>
        <w:adjustRightInd w:val="0"/>
        <w:snapToGrid w:val="0"/>
        <w:spacing w:line="600" w:lineRule="exact"/>
        <w:jc w:val="center"/>
        <w:rPr>
          <w:rFonts w:ascii="黑体" w:hAnsi="黑体" w:eastAsia="黑体"/>
          <w:b/>
          <w:sz w:val="32"/>
          <w:szCs w:val="32"/>
        </w:rPr>
      </w:pPr>
      <w:r>
        <w:rPr>
          <w:rFonts w:hint="eastAsia" w:ascii="黑体" w:hAnsi="黑体" w:eastAsia="黑体"/>
          <w:b/>
          <w:sz w:val="32"/>
          <w:szCs w:val="32"/>
        </w:rPr>
        <w:t>名词解释</w:t>
      </w:r>
    </w:p>
    <w:p>
      <w:pPr>
        <w:adjustRightInd w:val="0"/>
        <w:snapToGrid w:val="0"/>
        <w:spacing w:line="600" w:lineRule="exact"/>
        <w:jc w:val="center"/>
        <w:rPr>
          <w:rFonts w:ascii="黑体" w:hAnsi="黑体" w:eastAsia="黑体"/>
          <w:sz w:val="32"/>
          <w:szCs w:val="32"/>
        </w:rPr>
      </w:pPr>
    </w:p>
    <w:p>
      <w:pPr>
        <w:kinsoku w:val="0"/>
        <w:overflowPunct w:val="0"/>
        <w:autoSpaceDE w:val="0"/>
        <w:autoSpaceDN w:val="0"/>
        <w:adjustRightInd w:val="0"/>
        <w:snapToGrid w:val="0"/>
        <w:spacing w:line="600" w:lineRule="exact"/>
        <w:ind w:firstLine="640" w:firstLineChars="200"/>
        <w:rPr>
          <w:rFonts w:ascii="黑体" w:hAnsi="黑体" w:eastAsia="黑体" w:cs="Courier New"/>
          <w:sz w:val="32"/>
          <w:szCs w:val="32"/>
        </w:rPr>
      </w:pPr>
      <w:r>
        <w:rPr>
          <w:rFonts w:hint="eastAsia" w:ascii="黑体" w:hAnsi="黑体" w:eastAsia="黑体" w:cs="Courier New"/>
          <w:sz w:val="32"/>
          <w:szCs w:val="32"/>
        </w:rPr>
        <w:t>一、财政拨款收入：是指省级财政当年拨付的资金。</w:t>
      </w:r>
    </w:p>
    <w:p>
      <w:pPr>
        <w:kinsoku w:val="0"/>
        <w:overflowPunct w:val="0"/>
        <w:autoSpaceDE w:val="0"/>
        <w:autoSpaceDN w:val="0"/>
        <w:adjustRightInd w:val="0"/>
        <w:snapToGrid w:val="0"/>
        <w:spacing w:line="600" w:lineRule="exact"/>
        <w:ind w:firstLine="640" w:firstLineChars="200"/>
        <w:rPr>
          <w:rFonts w:ascii="黑体" w:hAnsi="黑体" w:eastAsia="黑体" w:cs="Courier New"/>
          <w:sz w:val="32"/>
          <w:szCs w:val="32"/>
        </w:rPr>
      </w:pPr>
      <w:r>
        <w:rPr>
          <w:rFonts w:hint="eastAsia" w:ascii="黑体" w:hAnsi="黑体" w:eastAsia="黑体" w:cs="Courier New"/>
          <w:sz w:val="32"/>
          <w:szCs w:val="32"/>
        </w:rPr>
        <w:t>二、事业收入：是指事业单位开展专业活动及辅助活动所取 得的收入。</w:t>
      </w:r>
    </w:p>
    <w:p>
      <w:pPr>
        <w:kinsoku w:val="0"/>
        <w:overflowPunct w:val="0"/>
        <w:autoSpaceDE w:val="0"/>
        <w:autoSpaceDN w:val="0"/>
        <w:adjustRightInd w:val="0"/>
        <w:snapToGrid w:val="0"/>
        <w:spacing w:line="600" w:lineRule="exact"/>
        <w:ind w:firstLine="640" w:firstLineChars="200"/>
        <w:rPr>
          <w:rFonts w:ascii="黑体" w:hAnsi="黑体" w:eastAsia="黑体" w:cs="Courier New"/>
          <w:sz w:val="32"/>
          <w:szCs w:val="32"/>
        </w:rPr>
      </w:pPr>
      <w:r>
        <w:rPr>
          <w:rFonts w:hint="eastAsia" w:ascii="黑体" w:hAnsi="黑体" w:eastAsia="黑体" w:cs="Courier New"/>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600" w:lineRule="exact"/>
        <w:ind w:firstLine="640" w:firstLineChars="200"/>
        <w:rPr>
          <w:rFonts w:ascii="黑体" w:hAnsi="黑体" w:eastAsia="黑体" w:cs="Courier New"/>
          <w:sz w:val="32"/>
          <w:szCs w:val="32"/>
        </w:rPr>
      </w:pPr>
      <w:r>
        <w:rPr>
          <w:rFonts w:hint="eastAsia" w:ascii="黑体" w:hAnsi="黑体" w:eastAsia="黑体"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kinsoku w:val="0"/>
        <w:overflowPunct w:val="0"/>
        <w:autoSpaceDE w:val="0"/>
        <w:autoSpaceDN w:val="0"/>
        <w:adjustRightInd w:val="0"/>
        <w:snapToGrid w:val="0"/>
        <w:spacing w:line="600" w:lineRule="exact"/>
        <w:ind w:firstLine="640" w:firstLineChars="200"/>
        <w:rPr>
          <w:rFonts w:ascii="黑体" w:hAnsi="黑体" w:eastAsia="黑体" w:cs="Courier New"/>
          <w:sz w:val="32"/>
          <w:szCs w:val="32"/>
        </w:rPr>
      </w:pPr>
      <w:r>
        <w:rPr>
          <w:rFonts w:hint="eastAsia" w:ascii="黑体" w:hAnsi="黑体" w:eastAsia="黑体"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600" w:lineRule="exact"/>
        <w:ind w:firstLine="640" w:firstLineChars="200"/>
        <w:rPr>
          <w:rFonts w:ascii="黑体" w:hAnsi="黑体" w:eastAsia="黑体" w:cs="Courier New"/>
          <w:sz w:val="32"/>
          <w:szCs w:val="32"/>
        </w:rPr>
      </w:pPr>
      <w:r>
        <w:rPr>
          <w:rFonts w:hint="eastAsia" w:ascii="黑体" w:hAnsi="黑体" w:eastAsia="黑体"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600" w:lineRule="exact"/>
        <w:ind w:firstLine="640" w:firstLineChars="200"/>
        <w:rPr>
          <w:rFonts w:ascii="黑体" w:hAnsi="黑体" w:eastAsia="黑体" w:cs="Courier New"/>
          <w:sz w:val="32"/>
          <w:szCs w:val="32"/>
        </w:rPr>
      </w:pPr>
      <w:r>
        <w:rPr>
          <w:rFonts w:hint="eastAsia" w:ascii="黑体" w:hAnsi="黑体" w:eastAsia="黑体"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600" w:lineRule="exact"/>
        <w:ind w:firstLine="640" w:firstLineChars="200"/>
        <w:rPr>
          <w:rFonts w:ascii="黑体" w:hAnsi="黑体" w:eastAsia="黑体"/>
          <w:sz w:val="32"/>
          <w:szCs w:val="32"/>
        </w:rPr>
      </w:pPr>
      <w:r>
        <w:rPr>
          <w:rFonts w:hint="eastAsia" w:ascii="黑体" w:hAnsi="黑体" w:eastAsia="黑体"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sectPr>
      <w:footerReference r:id="rId3" w:type="even"/>
      <w:pgSz w:w="11906" w:h="16838"/>
      <w:pgMar w:top="1440" w:right="1700" w:bottom="1440"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210" w:leftChars="100"/>
      <w:rPr>
        <w:rFonts w:ascii="新宋体" w:hAnsi="新宋体" w:eastAsia="新宋体"/>
        <w:sz w:val="28"/>
        <w:szCs w:val="28"/>
      </w:rPr>
    </w:pPr>
  </w:p>
  <w:p>
    <w:pPr>
      <w:pStyle w:val="2"/>
      <w:ind w:left="210" w:leftChars="100"/>
      <w:rPr>
        <w:rFonts w:ascii="新宋体" w:hAnsi="新宋体" w:eastAsia="新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E0NjkxNmNiZDQyYzhkYzk1ZTAyOGM5MWZlOWY0NDMifQ=="/>
  </w:docVars>
  <w:rsids>
    <w:rsidRoot w:val="006B131A"/>
    <w:rsid w:val="00006969"/>
    <w:rsid w:val="000131A6"/>
    <w:rsid w:val="0002630A"/>
    <w:rsid w:val="00026408"/>
    <w:rsid w:val="00055E3D"/>
    <w:rsid w:val="00093CBD"/>
    <w:rsid w:val="001321A6"/>
    <w:rsid w:val="00132B17"/>
    <w:rsid w:val="001B56E6"/>
    <w:rsid w:val="001C2BFD"/>
    <w:rsid w:val="001E4402"/>
    <w:rsid w:val="001F300B"/>
    <w:rsid w:val="002535BE"/>
    <w:rsid w:val="0026074A"/>
    <w:rsid w:val="002C257F"/>
    <w:rsid w:val="00336CED"/>
    <w:rsid w:val="0034588B"/>
    <w:rsid w:val="0038527C"/>
    <w:rsid w:val="003A19E4"/>
    <w:rsid w:val="003A1AAF"/>
    <w:rsid w:val="003E1736"/>
    <w:rsid w:val="003F517E"/>
    <w:rsid w:val="00496230"/>
    <w:rsid w:val="004C36DE"/>
    <w:rsid w:val="004D752A"/>
    <w:rsid w:val="005731C3"/>
    <w:rsid w:val="0059030E"/>
    <w:rsid w:val="005B249A"/>
    <w:rsid w:val="005C725F"/>
    <w:rsid w:val="00632835"/>
    <w:rsid w:val="006600CD"/>
    <w:rsid w:val="0067328B"/>
    <w:rsid w:val="006749F5"/>
    <w:rsid w:val="006B131A"/>
    <w:rsid w:val="006B1943"/>
    <w:rsid w:val="006F36DA"/>
    <w:rsid w:val="0072658E"/>
    <w:rsid w:val="007444E3"/>
    <w:rsid w:val="007D392E"/>
    <w:rsid w:val="007F5080"/>
    <w:rsid w:val="00872D38"/>
    <w:rsid w:val="008836C0"/>
    <w:rsid w:val="00897A6C"/>
    <w:rsid w:val="008A74B8"/>
    <w:rsid w:val="008B2775"/>
    <w:rsid w:val="008D0DE5"/>
    <w:rsid w:val="009D1C97"/>
    <w:rsid w:val="009E22FC"/>
    <w:rsid w:val="009F59AD"/>
    <w:rsid w:val="00A103EF"/>
    <w:rsid w:val="00A24F9A"/>
    <w:rsid w:val="00A73849"/>
    <w:rsid w:val="00A7666F"/>
    <w:rsid w:val="00BF79A4"/>
    <w:rsid w:val="00C67356"/>
    <w:rsid w:val="00C95F73"/>
    <w:rsid w:val="00D21ADE"/>
    <w:rsid w:val="00D55C1B"/>
    <w:rsid w:val="00D62808"/>
    <w:rsid w:val="00D9030F"/>
    <w:rsid w:val="00E54E43"/>
    <w:rsid w:val="00E64B8C"/>
    <w:rsid w:val="00E725E1"/>
    <w:rsid w:val="00E856BE"/>
    <w:rsid w:val="00E85AEA"/>
    <w:rsid w:val="00F2663C"/>
    <w:rsid w:val="00F34EBF"/>
    <w:rsid w:val="00F814D6"/>
    <w:rsid w:val="00FD43CF"/>
    <w:rsid w:val="0C4A5BFC"/>
    <w:rsid w:val="0F855A99"/>
    <w:rsid w:val="1A9E121A"/>
    <w:rsid w:val="4813154B"/>
    <w:rsid w:val="54D66CF2"/>
    <w:rsid w:val="554F3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7">
    <w:name w:val="页脚 Char"/>
    <w:basedOn w:val="6"/>
    <w:link w:val="2"/>
    <w:qFormat/>
    <w:uiPriority w:val="99"/>
    <w:rPr>
      <w:rFonts w:ascii="Calibri" w:hAnsi="Calibri" w:eastAsia="宋体" w:cs="Times New Roman"/>
      <w:sz w:val="18"/>
      <w:szCs w:val="18"/>
    </w:rPr>
  </w:style>
  <w:style w:type="character" w:customStyle="1" w:styleId="8">
    <w:name w:val="页眉 Char"/>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11</Pages>
  <Words>4444</Words>
  <Characters>4696</Characters>
  <Lines>34</Lines>
  <Paragraphs>9</Paragraphs>
  <TotalTime>14</TotalTime>
  <ScaleCrop>false</ScaleCrop>
  <LinksUpToDate>false</LinksUpToDate>
  <CharactersWithSpaces>4755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2020-10-27T07:56:00Z</dcterms:created>
  <dc:creator>Administrator</dc:creator>
  <cp:lastModifiedBy>zJoy</cp:lastModifiedBy>
  <dcterms:modified xsi:type="dcterms:W3CDTF">2022-09-06T03:11:43Z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4333CF85EE8F4DBB848771CD4791C7DF</vt:lpwstr>
  </property>
</Properties>
</file>