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Style w:val="8"/>
          <w:rFonts w:ascii="ˎ̥" w:hAnsi="ˎ̥" w:cs="Arial"/>
          <w:color w:val="000000"/>
          <w:sz w:val="32"/>
          <w:szCs w:val="32"/>
        </w:rPr>
      </w:pPr>
      <w:r>
        <w:rPr>
          <w:rStyle w:val="8"/>
          <w:rFonts w:hint="eastAsia" w:ascii="ˎ̥" w:hAnsi="ˎ̥" w:cs="Arial"/>
          <w:color w:val="000000"/>
          <w:sz w:val="32"/>
          <w:szCs w:val="32"/>
        </w:rPr>
        <w:t>信阳市平桥区人力资源和社会保障局2021年部门预算</w:t>
      </w:r>
    </w:p>
    <w:p>
      <w:pPr>
        <w:pStyle w:val="5"/>
        <w:spacing w:line="360" w:lineRule="auto"/>
        <w:rPr>
          <w:rStyle w:val="8"/>
          <w:rFonts w:ascii="ˎ̥" w:hAnsi="ˎ̥" w:cs="Arial"/>
          <w:color w:val="000000"/>
        </w:rPr>
      </w:pPr>
    </w:p>
    <w:p>
      <w:pPr>
        <w:pStyle w:val="5"/>
        <w:spacing w:line="360" w:lineRule="auto"/>
        <w:ind w:firstLine="482" w:firstLineChars="200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第一部分　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ascii="ˎ̥" w:hAnsi="ˎ̥" w:cs="Arial"/>
          <w:color w:val="000000"/>
        </w:rPr>
        <w:t>概况</w:t>
      </w:r>
    </w:p>
    <w:p>
      <w:pPr>
        <w:pStyle w:val="5"/>
        <w:spacing w:line="360" w:lineRule="auto"/>
        <w:ind w:firstLine="481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一、主要职能</w:t>
      </w:r>
    </w:p>
    <w:p>
      <w:pPr>
        <w:pStyle w:val="5"/>
        <w:spacing w:line="360" w:lineRule="auto"/>
        <w:ind w:firstLine="481"/>
        <w:rPr>
          <w:rFonts w:hint="default" w:ascii="ˎ̥" w:hAnsi="ˎ̥" w:eastAsia="宋体" w:cs="Arial"/>
          <w:color w:val="000000"/>
          <w:lang w:val="en-US" w:eastAsia="zh-CN"/>
        </w:rPr>
      </w:pPr>
      <w:r>
        <w:rPr>
          <w:rFonts w:hint="eastAsia" w:ascii="ˎ̥" w:hAnsi="ˎ̥" w:cs="Arial"/>
          <w:color w:val="000000"/>
          <w:lang w:val="en-US" w:eastAsia="zh-CN"/>
        </w:rPr>
        <w:t>二、机构设置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  <w:lang w:val="en-US" w:eastAsia="zh-CN"/>
        </w:rPr>
        <w:t>三</w:t>
      </w:r>
      <w:r>
        <w:rPr>
          <w:rFonts w:ascii="ˎ̥" w:hAnsi="ˎ̥" w:cs="Arial"/>
          <w:color w:val="000000"/>
        </w:rPr>
        <w:t>、部门预算单位构成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　　第二部分　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ascii="ˎ̥" w:hAnsi="ˎ̥" w:cs="Arial"/>
          <w:color w:val="000000"/>
        </w:rPr>
        <w:t>20</w:t>
      </w:r>
      <w:r>
        <w:rPr>
          <w:rStyle w:val="8"/>
          <w:rFonts w:hint="eastAsia" w:ascii="ˎ̥" w:hAnsi="ˎ̥" w:cs="Arial"/>
          <w:color w:val="000000"/>
        </w:rPr>
        <w:t>21</w:t>
      </w:r>
      <w:r>
        <w:rPr>
          <w:rStyle w:val="8"/>
          <w:rFonts w:ascii="ˎ̥" w:hAnsi="ˎ̥" w:cs="Arial"/>
          <w:color w:val="000000"/>
        </w:rPr>
        <w:t>年度部门预算情况说明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　　第三部分　名词解释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附件：</w:t>
      </w:r>
      <w:r>
        <w:rPr>
          <w:rFonts w:hint="eastAsia"/>
          <w:bCs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hint="eastAsia" w:ascii="ˎ̥" w:hAnsi="ˎ̥" w:cs="Arial"/>
          <w:color w:val="000000"/>
        </w:rPr>
        <w:t>2021</w:t>
      </w:r>
      <w:r>
        <w:rPr>
          <w:rFonts w:ascii="ˎ̥" w:hAnsi="ˎ̥" w:cs="Arial"/>
          <w:color w:val="000000"/>
        </w:rPr>
        <w:t>年度部门预算表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一、部门收支总体情况表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二、部门收入总体情况表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三、部门支出总体情况表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四、非税收入预算表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五、财政拨款收支总体情况表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六、一般公共预算支出情况表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七、一般公共预算基本支出情况表　　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八、一般公共预算“三公”经费支出情况表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九、政府性基金预算支出情况表</w:t>
      </w:r>
    </w:p>
    <w:p>
      <w:pPr>
        <w:pStyle w:val="5"/>
        <w:spacing w:line="360" w:lineRule="auto"/>
        <w:ind w:firstLine="240" w:firstLineChars="1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十、2021年支出项目表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</w:p>
    <w:p>
      <w:pPr>
        <w:pStyle w:val="5"/>
        <w:spacing w:line="360" w:lineRule="auto"/>
        <w:rPr>
          <w:rFonts w:ascii="ˎ̥" w:hAnsi="ˎ̥" w:cs="Arial"/>
          <w:color w:val="000000"/>
        </w:rPr>
      </w:pPr>
    </w:p>
    <w:p>
      <w:pPr>
        <w:pStyle w:val="5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　　第一部分</w:t>
      </w:r>
    </w:p>
    <w:p>
      <w:pPr>
        <w:pStyle w:val="5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　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ascii="ˎ̥" w:hAnsi="ˎ̥" w:cs="Arial"/>
          <w:color w:val="000000"/>
        </w:rPr>
        <w:t>概况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8"/>
          <w:rFonts w:ascii="ˎ̥" w:hAnsi="ˎ̥" w:cs="Arial"/>
          <w:color w:val="000000"/>
        </w:rPr>
        <w:t>　一、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ascii="ˎ̥" w:hAnsi="ˎ̥" w:cs="Arial"/>
          <w:color w:val="000000"/>
        </w:rPr>
        <w:t>主要职责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1、贯彻执行国家、省、市人力资源和社会保障法律、法规、政策；拟订全区人力资源和社会保障事业发展规划、政策措施，起草全区人力资源和社会保障地方性规章草案，并组织实施和监督检查。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2、拟订全区人力资源市场发展规划和人力资源流动政策措施，建立统一规范的人力资源市场，促进人力资源合理流动、有效配置。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统筹建立覆盖全区城乡的社会保障体系。统筹拟订全区城乡社会保险及补充保险实施意见和标准，组织拟订全区统一的社会保险关系转续办法，统筹拟订全区机关企事业单位基本养老保险实施意见，会同有关部门拟订全区社会保险及其补充保险基金管理和监督制度，编制全区社会保险基金预决算草案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负责全区就业、失业、社会保险基金预测预警和信息引导，拟订应对预案，实施预防、调节和控制；拟订全区经济结构调整中涉及职工安置权益保障的有关政策措施，保持全区就业形势稳定和社会保险基金总体收支平衡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5、会同有关部门拟订全区机关、事业单位人员工资收入分配实施意见，建立全区机关企事业单位人员工资正常增长和支付保障机制；拟订全区机关企事业单位人员福利和离退休实施意见。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会同有关部门指导全区事业单位人事制度改革，拟订全区事业单位人员和机关工勤人员管理实施意见，参与人才管理工作，制定全区专业技术人员管理和继续教育政策措施；负责全区职称制度改革工作；协同区委组织部做好享受政府特殊津贴人员的推荐、选拔和管理工作；负责全区其他高层次专业技术人才选拔和培养工作；拟订吸引国（境）外专家、留学人员来平桥工作或定居的意见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7、会同有关部门拟订全区军队转业干部安置措施和安置计划；负责全区军队转业干部教育培训工作；组织拟订部分企业军队转业干部解困和稳定实施办法；负责自主择业军队转业干部管理服务工作。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8、负责全区行政机关公务员综合管理；拟订有关人员调配实施意见和特殊人员安置实施意见；会同有关部门组织落实国家荣誉制度；拟订政府奖励制度。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9、会同有关部门拟订全区农民工工作综合性政策措施和规划，推动农民工相关政策的落实，协调解决重点难点问题，维护农民工合法权益。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10、负责全区引进国外智力工作，组织实施引进国外人才和出国（境）培训项目；负责我区人力资源和社会保障领域国际交流与合作工作。</w:t>
      </w:r>
    </w:p>
    <w:p>
      <w:pPr>
        <w:spacing w:line="6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11、负责局机关及直属单位的政务信息化工作。</w:t>
      </w:r>
    </w:p>
    <w:p>
      <w:pPr>
        <w:spacing w:line="600" w:lineRule="exact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宋体" w:hAnsi="宋体"/>
          <w:sz w:val="24"/>
          <w:szCs w:val="24"/>
        </w:rPr>
        <w:t>12、承办区政府交办的其他事项。</w:t>
      </w:r>
    </w:p>
    <w:p>
      <w:pPr>
        <w:pStyle w:val="5"/>
        <w:spacing w:line="360" w:lineRule="auto"/>
        <w:ind w:firstLine="480"/>
        <w:rPr>
          <w:rStyle w:val="8"/>
          <w:rFonts w:hint="eastAsia" w:ascii="ˎ̥" w:hAnsi="ˎ̥" w:eastAsia="宋体" w:cs="Arial"/>
          <w:color w:val="000000"/>
          <w:lang w:val="en-US" w:eastAsia="zh-CN"/>
        </w:rPr>
      </w:pPr>
      <w:r>
        <w:rPr>
          <w:rStyle w:val="8"/>
          <w:rFonts w:hint="eastAsia" w:ascii="ˎ̥" w:hAnsi="ˎ̥" w:cs="Arial"/>
          <w:color w:val="000000"/>
          <w:lang w:val="en-US" w:eastAsia="zh-CN"/>
        </w:rPr>
        <w:t>二、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hint="eastAsia" w:ascii="ˎ̥" w:hAnsi="ˎ̥" w:cs="Arial"/>
          <w:color w:val="000000"/>
          <w:lang w:val="en-US" w:eastAsia="zh-CN"/>
        </w:rPr>
        <w:t>机构设置</w:t>
      </w:r>
    </w:p>
    <w:p>
      <w:pPr>
        <w:pStyle w:val="5"/>
        <w:spacing w:line="360" w:lineRule="auto"/>
        <w:ind w:firstLine="480"/>
        <w:rPr>
          <w:rFonts w:hint="eastAsia" w:ascii="ˎ̥" w:hAnsi="ˎ̥" w:cs="Arial"/>
          <w:b/>
          <w:color w:val="000000"/>
        </w:rPr>
      </w:pP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人力资源和社会保障局有内设机构7个，二级机构3个。2021年</w:t>
      </w:r>
      <w:r>
        <w:rPr>
          <w:rStyle w:val="8"/>
          <w:rFonts w:hint="eastAsia" w:ascii="ˎ̥" w:hAnsi="ˎ̥" w:cs="Arial"/>
          <w:b w:val="0"/>
          <w:color w:val="000000"/>
          <w:lang w:eastAsia="zh-CN"/>
        </w:rPr>
        <w:t>信阳市平桥区人力资源和社会保障局</w:t>
      </w:r>
      <w:r>
        <w:rPr>
          <w:rFonts w:hint="eastAsia" w:ascii="ˎ̥" w:hAnsi="ˎ̥" w:cs="Arial"/>
          <w:color w:val="000000"/>
        </w:rPr>
        <w:t>部门预算编制范围为人社局本级和3个二级机构的</w:t>
      </w:r>
      <w:r>
        <w:rPr>
          <w:rFonts w:hint="eastAsia" w:ascii="ˎ̥" w:hAnsi="ˎ̥" w:cs="Arial"/>
          <w:b w:val="0"/>
          <w:bCs/>
          <w:color w:val="000000"/>
        </w:rPr>
        <w:t>汇总预算。</w:t>
      </w:r>
    </w:p>
    <w:p>
      <w:pPr>
        <w:pStyle w:val="5"/>
        <w:spacing w:line="360" w:lineRule="auto"/>
        <w:ind w:firstLine="480"/>
        <w:rPr>
          <w:rFonts w:hint="eastAsia" w:ascii="ˎ̥" w:hAnsi="ˎ̥" w:cs="Arial"/>
          <w:b/>
          <w:color w:val="000000"/>
        </w:rPr>
      </w:pPr>
      <w:r>
        <w:rPr>
          <w:rStyle w:val="8"/>
          <w:rFonts w:hint="eastAsia" w:ascii="ˎ̥" w:hAnsi="ˎ̥" w:cs="Arial"/>
          <w:color w:val="000000"/>
          <w:lang w:val="en-US" w:eastAsia="zh-CN"/>
        </w:rPr>
        <w:t>三</w:t>
      </w:r>
      <w:r>
        <w:rPr>
          <w:rStyle w:val="8"/>
          <w:rFonts w:ascii="ˎ̥" w:hAnsi="ˎ̥" w:cs="Arial"/>
          <w:color w:val="000000"/>
        </w:rPr>
        <w:t>、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ascii="ˎ̥" w:hAnsi="ˎ̥" w:cs="Arial"/>
          <w:color w:val="000000"/>
        </w:rPr>
        <w:t>预算单位构成</w:t>
      </w:r>
    </w:p>
    <w:p>
      <w:pPr>
        <w:pStyle w:val="5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  <w:lang w:val="en-US" w:eastAsia="zh-CN"/>
        </w:rPr>
        <w:t>信阳市</w:t>
      </w:r>
      <w:r>
        <w:rPr>
          <w:rFonts w:hint="eastAsia" w:ascii="ˎ̥" w:hAnsi="ˎ̥" w:cs="Arial"/>
          <w:color w:val="000000"/>
        </w:rPr>
        <w:t>平桥区人力资源和社会保障局</w:t>
      </w:r>
      <w:r>
        <w:rPr>
          <w:rFonts w:hint="eastAsia" w:ascii="ˎ̥" w:hAnsi="ˎ̥" w:cs="Arial"/>
          <w:b/>
          <w:color w:val="000000"/>
        </w:rPr>
        <w:t>7个内设机构包括：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城乡养老保险中心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事业单位养老保险所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劳动仲裁院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工资福利股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劳动关系股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事业单位管理股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人才交流中心</w:t>
      </w:r>
    </w:p>
    <w:p>
      <w:pPr>
        <w:pStyle w:val="5"/>
        <w:spacing w:line="360" w:lineRule="auto"/>
        <w:rPr>
          <w:rFonts w:ascii="ˎ̥" w:hAnsi="ˎ̥" w:cs="Arial"/>
          <w:b/>
          <w:color w:val="000000"/>
        </w:rPr>
      </w:pPr>
      <w:r>
        <w:rPr>
          <w:rFonts w:hint="eastAsia" w:ascii="ˎ̥" w:hAnsi="ˎ̥" w:cs="Arial"/>
          <w:b/>
          <w:color w:val="000000"/>
        </w:rPr>
        <w:t>二级机构3个包括：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基本医疗保险中心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失业所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工伤所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</w:p>
    <w:p>
      <w:pPr>
        <w:pStyle w:val="5"/>
        <w:spacing w:line="360" w:lineRule="auto"/>
        <w:jc w:val="center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Style w:val="8"/>
          <w:rFonts w:ascii="ˎ̥" w:hAnsi="ˎ̥" w:cs="Arial"/>
          <w:color w:val="000000"/>
        </w:rPr>
        <w:t>第二部分</w:t>
      </w:r>
    </w:p>
    <w:p>
      <w:pPr>
        <w:pStyle w:val="5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　　</w:t>
      </w:r>
      <w:r>
        <w:rPr>
          <w:rStyle w:val="8"/>
          <w:rFonts w:hint="eastAsia" w:ascii="ˎ̥" w:hAnsi="ˎ̥" w:cs="Arial"/>
          <w:color w:val="000000"/>
        </w:rPr>
        <w:t>信阳市平桥区人力资源和社会保障局</w:t>
      </w:r>
      <w:r>
        <w:rPr>
          <w:rStyle w:val="8"/>
          <w:rFonts w:ascii="ˎ̥" w:hAnsi="ˎ̥" w:cs="Arial"/>
          <w:color w:val="000000"/>
        </w:rPr>
        <w:t>20</w:t>
      </w:r>
      <w:r>
        <w:rPr>
          <w:rStyle w:val="8"/>
          <w:rFonts w:hint="eastAsia" w:ascii="ˎ̥" w:hAnsi="ˎ̥" w:cs="Arial"/>
          <w:color w:val="000000"/>
        </w:rPr>
        <w:t>21</w:t>
      </w:r>
      <w:r>
        <w:rPr>
          <w:rStyle w:val="8"/>
          <w:rFonts w:ascii="ˎ̥" w:hAnsi="ˎ̥" w:cs="Arial"/>
          <w:color w:val="000000"/>
        </w:rPr>
        <w:t>年度部门预算情况说明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8"/>
          <w:rFonts w:ascii="ˎ̥" w:hAnsi="ˎ̥" w:cs="Arial"/>
          <w:color w:val="000000"/>
        </w:rPr>
        <w:t>　一、收入支出预算总体情况说明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21</w:t>
      </w:r>
      <w:r>
        <w:rPr>
          <w:rFonts w:ascii="ˎ̥" w:hAnsi="ˎ̥" w:cs="Arial"/>
          <w:color w:val="000000"/>
        </w:rPr>
        <w:t>年收入总计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</w:t>
      </w:r>
      <w:r>
        <w:rPr>
          <w:rFonts w:hint="eastAsia" w:ascii="ˎ̥" w:hAnsi="ˎ̥" w:cs="Arial"/>
          <w:color w:val="000000"/>
        </w:rPr>
        <w:t>，</w:t>
      </w:r>
      <w:r>
        <w:rPr>
          <w:rFonts w:ascii="ˎ̥" w:hAnsi="ˎ̥" w:cs="Arial"/>
          <w:color w:val="000000"/>
        </w:rPr>
        <w:t>支出总计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</w:t>
      </w:r>
      <w:r>
        <w:rPr>
          <w:rFonts w:hint="eastAsia" w:ascii="ˎ̥" w:hAnsi="ˎ̥" w:cs="Arial"/>
          <w:color w:val="000000"/>
        </w:rPr>
        <w:t>。</w:t>
      </w:r>
      <w:r>
        <w:rPr>
          <w:rFonts w:ascii="ˎ̥" w:hAnsi="ˎ̥" w:cs="Arial"/>
          <w:color w:val="000000"/>
        </w:rPr>
        <w:t>与2021年相比，收入</w:t>
      </w:r>
      <w:r>
        <w:rPr>
          <w:rFonts w:hint="eastAsia" w:ascii="ˎ̥" w:hAnsi="ˎ̥" w:cs="Arial"/>
          <w:color w:val="000000"/>
        </w:rPr>
        <w:t>、支出均</w:t>
      </w:r>
      <w:r>
        <w:rPr>
          <w:rFonts w:ascii="ˎ̥" w:hAnsi="ˎ̥" w:cs="Arial"/>
          <w:color w:val="000000"/>
        </w:rPr>
        <w:t>增加</w:t>
      </w:r>
      <w:r>
        <w:rPr>
          <w:rFonts w:hint="eastAsia" w:ascii="ˎ̥" w:hAnsi="ˎ̥" w:cs="Arial"/>
          <w:color w:val="000000"/>
        </w:rPr>
        <w:t>21881</w:t>
      </w:r>
      <w:r>
        <w:rPr>
          <w:rFonts w:ascii="ˎ̥" w:hAnsi="ˎ̥" w:cs="Arial"/>
          <w:color w:val="000000"/>
        </w:rPr>
        <w:t>元，增加</w:t>
      </w:r>
      <w:r>
        <w:rPr>
          <w:rFonts w:hint="eastAsia" w:ascii="ˎ̥" w:hAnsi="ˎ̥" w:cs="Arial"/>
          <w:color w:val="000000"/>
        </w:rPr>
        <w:t>0.12%，主</w:t>
      </w:r>
      <w:r>
        <w:rPr>
          <w:rFonts w:ascii="ˎ̥" w:hAnsi="ˎ̥" w:cs="Arial"/>
          <w:color w:val="000000"/>
        </w:rPr>
        <w:t>要原因是：人员工资、奖金，医保、住房公积金、养老保险等经费的增加。　　</w:t>
      </w:r>
    </w:p>
    <w:p>
      <w:pPr>
        <w:pStyle w:val="5"/>
        <w:spacing w:line="360" w:lineRule="auto"/>
        <w:ind w:firstLine="482" w:firstLineChars="200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二、收入预算总体情况说明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ascii="ˎ̥" w:hAnsi="ˎ̥" w:cs="Arial"/>
          <w:color w:val="000000"/>
        </w:rPr>
        <w:t>2021年收入合计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元，其中一般公共预算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</w:t>
      </w:r>
      <w:r>
        <w:rPr>
          <w:rFonts w:hint="eastAsia" w:ascii="ˎ̥" w:hAnsi="ˎ̥" w:cs="Arial"/>
          <w:color w:val="000000"/>
        </w:rPr>
        <w:t>，占比100%。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8"/>
          <w:rFonts w:ascii="ˎ̥" w:hAnsi="ˎ̥" w:cs="Arial"/>
          <w:color w:val="000000"/>
        </w:rPr>
        <w:t>　三、支出预算总体情况说明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ascii="ˎ̥" w:hAnsi="ˎ̥" w:cs="Arial"/>
          <w:color w:val="000000"/>
        </w:rPr>
        <w:t>2021年支出合计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元，其中：基本支出</w:t>
      </w:r>
      <w:r>
        <w:rPr>
          <w:rFonts w:hint="eastAsia" w:ascii="ˎ̥" w:hAnsi="ˎ̥" w:cs="Arial"/>
          <w:color w:val="000000"/>
        </w:rPr>
        <w:t>17970317</w:t>
      </w:r>
      <w:r>
        <w:rPr>
          <w:rFonts w:ascii="ˎ̥" w:hAnsi="ˎ̥" w:cs="Arial"/>
          <w:color w:val="000000"/>
        </w:rPr>
        <w:t>元</w:t>
      </w:r>
      <w:r>
        <w:rPr>
          <w:rFonts w:hint="eastAsia" w:ascii="ˎ̥" w:hAnsi="ˎ̥" w:cs="Arial"/>
          <w:color w:val="000000"/>
        </w:rPr>
        <w:t>，占比86.5%；项目支出2800000元，占比13.5%。</w:t>
      </w:r>
    </w:p>
    <w:p>
      <w:pPr>
        <w:pStyle w:val="5"/>
        <w:spacing w:line="360" w:lineRule="auto"/>
        <w:ind w:firstLine="482" w:firstLineChars="200"/>
        <w:rPr>
          <w:rFonts w:ascii="ˎ̥" w:hAnsi="ˎ̥" w:cs="Arial"/>
          <w:color w:val="000000"/>
        </w:rPr>
      </w:pPr>
      <w:r>
        <w:rPr>
          <w:rStyle w:val="8"/>
          <w:rFonts w:hint="eastAsia" w:ascii="ˎ̥" w:hAnsi="ˎ̥" w:cs="Arial"/>
          <w:color w:val="000000"/>
        </w:rPr>
        <w:t>四</w:t>
      </w:r>
      <w:r>
        <w:rPr>
          <w:rStyle w:val="8"/>
          <w:rFonts w:ascii="ˎ̥" w:hAnsi="ˎ̥" w:cs="Arial"/>
          <w:color w:val="000000"/>
        </w:rPr>
        <w:t>、财政拨款收入支出预算总体情况说明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ascii="ˎ̥" w:hAnsi="ˎ̥" w:cs="Arial"/>
          <w:color w:val="000000"/>
        </w:rPr>
        <w:t>2021年</w:t>
      </w:r>
      <w:r>
        <w:rPr>
          <w:rFonts w:hint="eastAsia" w:ascii="ˎ̥" w:hAnsi="ˎ̥" w:cs="Arial"/>
          <w:color w:val="000000"/>
        </w:rPr>
        <w:t>财政拨款</w:t>
      </w:r>
      <w:r>
        <w:rPr>
          <w:rFonts w:ascii="ˎ̥" w:hAnsi="ˎ̥" w:cs="Arial"/>
          <w:color w:val="000000"/>
        </w:rPr>
        <w:t>收入</w:t>
      </w:r>
      <w:r>
        <w:rPr>
          <w:rFonts w:hint="eastAsia" w:ascii="ˎ̥" w:hAnsi="ˎ̥" w:cs="Arial"/>
          <w:color w:val="000000"/>
        </w:rPr>
        <w:t>、支出</w:t>
      </w:r>
      <w:r>
        <w:rPr>
          <w:rFonts w:ascii="ˎ̥" w:hAnsi="ˎ̥" w:cs="Arial"/>
          <w:color w:val="000000"/>
        </w:rPr>
        <w:t>预算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元，与2021年相比，</w:t>
      </w:r>
      <w:r>
        <w:rPr>
          <w:rFonts w:hint="eastAsia" w:ascii="ˎ̥" w:hAnsi="ˎ̥" w:cs="Arial"/>
          <w:color w:val="000000"/>
        </w:rPr>
        <w:t>财政拨款</w:t>
      </w:r>
      <w:r>
        <w:rPr>
          <w:rFonts w:ascii="ˎ̥" w:hAnsi="ˎ̥" w:cs="Arial"/>
          <w:color w:val="000000"/>
        </w:rPr>
        <w:t>收入</w:t>
      </w:r>
      <w:r>
        <w:rPr>
          <w:rFonts w:hint="eastAsia" w:ascii="ˎ̥" w:hAnsi="ˎ̥" w:cs="Arial"/>
          <w:color w:val="000000"/>
        </w:rPr>
        <w:t>、支出</w:t>
      </w:r>
      <w:r>
        <w:rPr>
          <w:rFonts w:ascii="ˎ̥" w:hAnsi="ˎ̥" w:cs="Arial"/>
          <w:color w:val="000000"/>
        </w:rPr>
        <w:t>预算</w:t>
      </w:r>
      <w:r>
        <w:rPr>
          <w:rFonts w:hint="eastAsia" w:ascii="ˎ̥" w:hAnsi="ˎ̥" w:cs="Arial"/>
          <w:color w:val="000000"/>
        </w:rPr>
        <w:t>均</w:t>
      </w:r>
      <w:r>
        <w:rPr>
          <w:rFonts w:ascii="ˎ̥" w:hAnsi="ˎ̥" w:cs="Arial"/>
          <w:color w:val="000000"/>
        </w:rPr>
        <w:t>增加</w:t>
      </w:r>
      <w:r>
        <w:rPr>
          <w:rFonts w:hint="eastAsia" w:ascii="ˎ̥" w:hAnsi="ˎ̥" w:cs="Arial"/>
          <w:color w:val="000000"/>
        </w:rPr>
        <w:t>21881</w:t>
      </w:r>
      <w:r>
        <w:rPr>
          <w:rFonts w:ascii="ˎ̥" w:hAnsi="ˎ̥" w:cs="Arial"/>
          <w:color w:val="000000"/>
        </w:rPr>
        <w:t>元，增加</w:t>
      </w:r>
      <w:r>
        <w:rPr>
          <w:rFonts w:hint="eastAsia" w:ascii="ˎ̥" w:hAnsi="ˎ̥" w:cs="Arial"/>
          <w:color w:val="000000"/>
        </w:rPr>
        <w:t>0.12%，主</w:t>
      </w:r>
      <w:r>
        <w:rPr>
          <w:rFonts w:ascii="ˎ̥" w:hAnsi="ˎ̥" w:cs="Arial"/>
          <w:color w:val="000000"/>
        </w:rPr>
        <w:t>要原因是：人员工资、奖金，医保、住房公积金、养老保险等经费的增加。　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Fonts w:hint="eastAsia" w:ascii="ˎ̥" w:hAnsi="ˎ̥" w:cs="Arial"/>
          <w:color w:val="000000"/>
        </w:rPr>
        <w:t xml:space="preserve">  </w:t>
      </w:r>
      <w:r>
        <w:rPr>
          <w:rStyle w:val="8"/>
          <w:rFonts w:hint="eastAsia" w:ascii="ˎ̥" w:hAnsi="ˎ̥" w:cs="Arial"/>
          <w:color w:val="000000"/>
        </w:rPr>
        <w:t>五</w:t>
      </w:r>
      <w:r>
        <w:rPr>
          <w:rStyle w:val="8"/>
          <w:rFonts w:ascii="ˎ̥" w:hAnsi="ˎ̥" w:cs="Arial"/>
          <w:color w:val="000000"/>
        </w:rPr>
        <w:t>、一般公共预算支出预算情况说明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ascii="ˎ̥" w:hAnsi="ˎ̥" w:cs="Arial"/>
          <w:color w:val="000000"/>
        </w:rPr>
        <w:t>2021年一般公共预算支出年初预算为　</w:t>
      </w:r>
      <w:r>
        <w:rPr>
          <w:rFonts w:hint="eastAsia" w:ascii="ˎ̥" w:hAnsi="ˎ̥" w:cs="Arial"/>
          <w:color w:val="000000"/>
        </w:rPr>
        <w:t>20770317</w:t>
      </w:r>
      <w:r>
        <w:rPr>
          <w:rFonts w:ascii="ˎ̥" w:hAnsi="ˎ̥" w:cs="Arial"/>
          <w:color w:val="000000"/>
        </w:rPr>
        <w:t>元。主要用于以下方面：</w:t>
      </w:r>
      <w:r>
        <w:rPr>
          <w:rFonts w:hint="eastAsia" w:ascii="ˎ̥" w:hAnsi="ˎ̥" w:cs="Arial"/>
          <w:color w:val="000000"/>
          <w:lang w:val="en-US" w:eastAsia="zh-CN"/>
        </w:rPr>
        <w:t>行政运行</w:t>
      </w:r>
      <w:r>
        <w:rPr>
          <w:rFonts w:ascii="ˎ̥" w:hAnsi="ˎ̥" w:cs="Arial"/>
          <w:color w:val="000000"/>
        </w:rPr>
        <w:t>支出</w:t>
      </w:r>
      <w:r>
        <w:rPr>
          <w:rFonts w:hint="eastAsia" w:ascii="ˎ̥" w:hAnsi="ˎ̥" w:cs="Arial"/>
          <w:color w:val="000000"/>
        </w:rPr>
        <w:t>13614680</w:t>
      </w:r>
      <w:r>
        <w:rPr>
          <w:rFonts w:ascii="ˎ̥" w:hAnsi="ˎ̥" w:cs="Arial"/>
          <w:color w:val="000000"/>
        </w:rPr>
        <w:t>元，占</w:t>
      </w:r>
      <w:r>
        <w:rPr>
          <w:rFonts w:hint="eastAsia" w:ascii="ˎ̥" w:hAnsi="ˎ̥" w:cs="Arial"/>
          <w:color w:val="000000"/>
          <w:lang w:val="en-US" w:eastAsia="zh-CN"/>
        </w:rPr>
        <w:t>65.55</w:t>
      </w:r>
      <w:r>
        <w:rPr>
          <w:rFonts w:ascii="ˎ̥" w:hAnsi="ˎ̥" w:cs="Arial"/>
          <w:color w:val="000000"/>
        </w:rPr>
        <w:t>%；</w:t>
      </w:r>
      <w:r>
        <w:rPr>
          <w:rFonts w:hint="eastAsia" w:ascii="ˎ̥" w:hAnsi="ˎ̥" w:cs="Arial"/>
          <w:color w:val="000000"/>
          <w:lang w:val="en-US" w:eastAsia="zh-CN"/>
        </w:rPr>
        <w:t>工伤保险支出1875439</w:t>
      </w:r>
      <w:r>
        <w:rPr>
          <w:rFonts w:ascii="ˎ̥" w:hAnsi="ˎ̥" w:cs="Arial"/>
          <w:color w:val="000000"/>
        </w:rPr>
        <w:t>元，占</w:t>
      </w:r>
      <w:r>
        <w:rPr>
          <w:rFonts w:hint="eastAsia" w:ascii="ˎ̥" w:hAnsi="ˎ̥" w:cs="Arial"/>
          <w:color w:val="000000"/>
          <w:lang w:val="en-US" w:eastAsia="zh-CN"/>
        </w:rPr>
        <w:t>9.02</w:t>
      </w:r>
      <w:r>
        <w:rPr>
          <w:rFonts w:ascii="ˎ̥" w:hAnsi="ˎ̥" w:cs="Arial"/>
          <w:color w:val="000000"/>
        </w:rPr>
        <w:t>%</w:t>
      </w:r>
      <w:r>
        <w:rPr>
          <w:rFonts w:hint="eastAsia" w:ascii="ˎ̥" w:hAnsi="ˎ̥" w:cs="Arial"/>
          <w:color w:val="000000"/>
        </w:rPr>
        <w:t>；</w:t>
      </w:r>
      <w:r>
        <w:rPr>
          <w:rFonts w:hint="eastAsia" w:ascii="ˎ̥" w:hAnsi="ˎ̥" w:cs="Arial"/>
          <w:color w:val="000000"/>
          <w:lang w:val="en-US" w:eastAsia="zh-CN"/>
        </w:rPr>
        <w:t>失业保险</w:t>
      </w:r>
      <w:r>
        <w:rPr>
          <w:rFonts w:hint="eastAsia" w:ascii="ˎ̥" w:hAnsi="ˎ̥" w:cs="Arial"/>
          <w:color w:val="000000"/>
        </w:rPr>
        <w:t>支出1930691</w:t>
      </w:r>
      <w:r>
        <w:rPr>
          <w:rFonts w:ascii="ˎ̥" w:hAnsi="ˎ̥" w:cs="Arial"/>
          <w:color w:val="000000"/>
        </w:rPr>
        <w:t>元，占</w:t>
      </w:r>
      <w:r>
        <w:rPr>
          <w:rFonts w:hint="eastAsia" w:ascii="ˎ̥" w:hAnsi="ˎ̥" w:cs="Arial"/>
          <w:color w:val="000000"/>
          <w:lang w:val="en-US" w:eastAsia="zh-CN"/>
        </w:rPr>
        <w:t>9.30</w:t>
      </w:r>
      <w:r>
        <w:rPr>
          <w:rFonts w:ascii="ˎ̥" w:hAnsi="ˎ̥" w:cs="Arial"/>
          <w:color w:val="000000"/>
        </w:rPr>
        <w:t>%</w:t>
      </w:r>
      <w:r>
        <w:rPr>
          <w:rFonts w:hint="eastAsia" w:ascii="ˎ̥" w:hAnsi="ˎ̥" w:cs="Arial"/>
          <w:color w:val="000000"/>
          <w:lang w:eastAsia="zh-CN"/>
        </w:rPr>
        <w:t>；</w:t>
      </w:r>
      <w:r>
        <w:rPr>
          <w:rFonts w:hint="eastAsia" w:ascii="ˎ̥" w:hAnsi="ˎ̥" w:cs="Arial"/>
          <w:color w:val="000000"/>
          <w:lang w:val="en-US" w:eastAsia="zh-CN"/>
        </w:rPr>
        <w:t>医疗保险支出3349507元，占16.13%</w:t>
      </w:r>
      <w:r>
        <w:rPr>
          <w:rFonts w:hint="eastAsia" w:ascii="ˎ̥" w:hAnsi="ˎ̥" w:cs="Arial"/>
          <w:color w:val="000000"/>
        </w:rPr>
        <w:t>。</w:t>
      </w:r>
    </w:p>
    <w:p>
      <w:pPr>
        <w:pStyle w:val="5"/>
        <w:spacing w:line="360" w:lineRule="auto"/>
        <w:ind w:firstLine="472" w:firstLineChars="196"/>
        <w:rPr>
          <w:rFonts w:ascii="ˎ̥" w:hAnsi="ˎ̥" w:cs="Arial"/>
          <w:color w:val="000000"/>
        </w:rPr>
      </w:pPr>
      <w:r>
        <w:rPr>
          <w:rStyle w:val="8"/>
          <w:rFonts w:hint="eastAsia" w:ascii="ˎ̥" w:hAnsi="ˎ̥" w:cs="Arial"/>
          <w:color w:val="000000"/>
        </w:rPr>
        <w:t>六、</w:t>
      </w:r>
      <w:r>
        <w:rPr>
          <w:rStyle w:val="8"/>
          <w:rFonts w:ascii="ˎ̥" w:hAnsi="ˎ̥" w:cs="Arial"/>
          <w:color w:val="000000"/>
        </w:rPr>
        <w:t>一般公共预算</w:t>
      </w:r>
      <w:r>
        <w:rPr>
          <w:rStyle w:val="8"/>
          <w:rFonts w:hint="eastAsia" w:ascii="ˎ̥" w:hAnsi="ˎ̥" w:cs="Arial"/>
          <w:color w:val="000000"/>
        </w:rPr>
        <w:t>基本</w:t>
      </w:r>
      <w:r>
        <w:rPr>
          <w:rStyle w:val="8"/>
          <w:rFonts w:ascii="ˎ̥" w:hAnsi="ˎ̥" w:cs="Arial"/>
          <w:color w:val="000000"/>
        </w:rPr>
        <w:t>支出预算情况说明</w:t>
      </w:r>
      <w:r>
        <w:rPr>
          <w:rFonts w:ascii="ˎ̥" w:hAnsi="ˎ̥" w:cs="Arial"/>
          <w:color w:val="000000"/>
        </w:rPr>
        <w:t>　</w:t>
      </w:r>
    </w:p>
    <w:p>
      <w:pPr>
        <w:spacing w:line="560" w:lineRule="exact"/>
        <w:ind w:firstLine="480" w:firstLineChars="200"/>
        <w:rPr>
          <w:rFonts w:ascii="ˎ̥" w:hAnsi="ˎ̥" w:cs="Arial"/>
          <w:color w:val="000000"/>
          <w:sz w:val="24"/>
          <w:szCs w:val="24"/>
        </w:rPr>
      </w:pPr>
      <w:r>
        <w:rPr>
          <w:rFonts w:hint="eastAsia" w:ascii="ˎ̥" w:hAnsi="ˎ̥" w:cs="Arial"/>
          <w:color w:val="000000"/>
          <w:sz w:val="24"/>
          <w:szCs w:val="24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  <w:sz w:val="24"/>
          <w:szCs w:val="24"/>
        </w:rPr>
        <w:t>人力资源和社会保障局</w:t>
      </w:r>
      <w:r>
        <w:rPr>
          <w:rFonts w:ascii="ˎ̥" w:hAnsi="ˎ̥" w:cs="Arial"/>
          <w:color w:val="000000"/>
          <w:sz w:val="24"/>
          <w:szCs w:val="24"/>
        </w:rPr>
        <w:t>20</w:t>
      </w:r>
      <w:r>
        <w:rPr>
          <w:rFonts w:hint="eastAsia" w:ascii="ˎ̥" w:hAnsi="ˎ̥" w:cs="Arial"/>
          <w:color w:val="000000"/>
          <w:sz w:val="24"/>
          <w:szCs w:val="24"/>
        </w:rPr>
        <w:t>21</w:t>
      </w:r>
      <w:r>
        <w:rPr>
          <w:rFonts w:ascii="ˎ̥" w:hAnsi="ˎ̥" w:cs="Arial"/>
          <w:color w:val="000000"/>
          <w:sz w:val="24"/>
          <w:szCs w:val="24"/>
        </w:rPr>
        <w:t>年一般公共预算</w:t>
      </w:r>
      <w:r>
        <w:rPr>
          <w:rFonts w:hint="eastAsia" w:ascii="ˎ̥" w:hAnsi="ˎ̥" w:cs="Arial"/>
          <w:color w:val="000000"/>
          <w:sz w:val="24"/>
          <w:szCs w:val="24"/>
        </w:rPr>
        <w:t>基本</w:t>
      </w:r>
      <w:r>
        <w:rPr>
          <w:rFonts w:ascii="ˎ̥" w:hAnsi="ˎ̥" w:cs="Arial"/>
          <w:color w:val="000000"/>
          <w:sz w:val="24"/>
          <w:szCs w:val="24"/>
        </w:rPr>
        <w:t>支出年初预算为</w:t>
      </w:r>
      <w:r>
        <w:rPr>
          <w:rFonts w:hint="eastAsia" w:ascii="ˎ̥" w:hAnsi="ˎ̥" w:cs="Arial"/>
          <w:color w:val="000000"/>
        </w:rPr>
        <w:t>17970317</w:t>
      </w:r>
      <w:r>
        <w:rPr>
          <w:rFonts w:ascii="ˎ̥" w:hAnsi="ˎ̥" w:cs="Arial"/>
          <w:color w:val="000000"/>
          <w:sz w:val="24"/>
          <w:szCs w:val="24"/>
        </w:rPr>
        <w:t>元。主要用于以下方面：</w:t>
      </w:r>
      <w:r>
        <w:rPr>
          <w:rFonts w:hint="eastAsia" w:ascii="ˎ̥" w:hAnsi="ˎ̥" w:cs="Arial"/>
          <w:color w:val="000000"/>
          <w:sz w:val="24"/>
          <w:szCs w:val="24"/>
        </w:rPr>
        <w:t>工资福利</w:t>
      </w:r>
      <w:r>
        <w:rPr>
          <w:rFonts w:ascii="ˎ̥" w:hAnsi="ˎ̥" w:cs="Arial"/>
          <w:color w:val="000000"/>
          <w:sz w:val="24"/>
          <w:szCs w:val="24"/>
        </w:rPr>
        <w:t>支出</w:t>
      </w:r>
      <w:r>
        <w:rPr>
          <w:rFonts w:hint="eastAsia" w:ascii="ˎ̥" w:hAnsi="ˎ̥" w:cs="Arial"/>
          <w:color w:val="000000"/>
        </w:rPr>
        <w:t>16582391</w:t>
      </w:r>
      <w:r>
        <w:rPr>
          <w:rFonts w:ascii="ˎ̥" w:hAnsi="ˎ̥" w:cs="Arial"/>
          <w:color w:val="000000"/>
          <w:sz w:val="24"/>
          <w:szCs w:val="24"/>
        </w:rPr>
        <w:t>元，</w:t>
      </w:r>
      <w:r>
        <w:rPr>
          <w:rFonts w:hint="eastAsia" w:ascii="ˎ̥" w:hAnsi="ˎ̥" w:cs="Arial"/>
          <w:color w:val="000000"/>
          <w:sz w:val="24"/>
          <w:szCs w:val="24"/>
        </w:rPr>
        <w:t>主要包括：基本工资、津贴补贴、奖金、社会保障缴费、伙食补助费、绩效工资、其他工资福利支出；对个人和家庭的补助支出</w:t>
      </w:r>
      <w:r>
        <w:rPr>
          <w:rFonts w:hint="eastAsia" w:ascii="ˎ̥" w:hAnsi="ˎ̥" w:cs="Arial"/>
          <w:color w:val="000000"/>
        </w:rPr>
        <w:t>24624</w:t>
      </w:r>
      <w:r>
        <w:rPr>
          <w:rFonts w:hint="eastAsia" w:ascii="ˎ̥" w:hAnsi="ˎ̥" w:cs="Arial"/>
          <w:color w:val="000000"/>
          <w:sz w:val="24"/>
          <w:szCs w:val="24"/>
        </w:rPr>
        <w:t>元，主要包括：离休费、退休费、退职（役）费、抚恤金、生活补助、 医疗费、助学金、奖励金、住房公积金、购房补贴、其他对个人和家庭的补助支出；商品和服务支出</w:t>
      </w:r>
      <w:r>
        <w:rPr>
          <w:rFonts w:hint="eastAsia" w:ascii="ˎ̥" w:hAnsi="ˎ̥" w:cs="Arial"/>
          <w:color w:val="000000"/>
        </w:rPr>
        <w:t>1363303</w:t>
      </w:r>
      <w:r>
        <w:rPr>
          <w:rFonts w:hint="eastAsia" w:ascii="ˎ̥" w:hAnsi="ˎ̥" w:cs="Arial"/>
          <w:color w:val="000000"/>
          <w:sz w:val="24"/>
          <w:szCs w:val="24"/>
        </w:rPr>
        <w:t>元。主要包括：办公费、印刷费、咨询费、手续费、水费、电费、邮电费、取暖费、物业管理费、差旅费、因公出国（境）费、维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行维护费、其他交通费用、其他商品和服务支出，办公设备购置、大型修缮、信息网络及软件购置更新。</w:t>
      </w:r>
    </w:p>
    <w:p>
      <w:pPr>
        <w:pStyle w:val="5"/>
        <w:spacing w:line="360" w:lineRule="auto"/>
        <w:ind w:firstLine="472" w:firstLineChars="196"/>
        <w:rPr>
          <w:rStyle w:val="8"/>
          <w:rFonts w:ascii="ˎ̥" w:hAnsi="ˎ̥" w:cs="Arial"/>
          <w:color w:val="000000"/>
        </w:rPr>
      </w:pPr>
      <w:r>
        <w:rPr>
          <w:rFonts w:hint="eastAsia" w:ascii="ˎ̥" w:hAnsi="ˎ̥" w:cs="Arial"/>
          <w:b/>
          <w:color w:val="000000"/>
        </w:rPr>
        <w:t>七、</w:t>
      </w:r>
      <w:r>
        <w:rPr>
          <w:rFonts w:ascii="ˎ̥" w:hAnsi="ˎ̥" w:cs="Arial"/>
          <w:b/>
          <w:color w:val="000000"/>
        </w:rPr>
        <w:t>一般公共预算“三公”经费支出情况</w:t>
      </w:r>
      <w:r>
        <w:rPr>
          <w:rStyle w:val="8"/>
          <w:rFonts w:ascii="ˎ̥" w:hAnsi="ˎ̥" w:cs="Arial"/>
          <w:color w:val="000000"/>
        </w:rPr>
        <w:t>说明</w:t>
      </w:r>
    </w:p>
    <w:p>
      <w:pPr>
        <w:spacing w:line="560" w:lineRule="exact"/>
        <w:ind w:firstLine="480" w:firstLineChars="200"/>
        <w:rPr>
          <w:rFonts w:hint="eastAsia" w:ascii="ˎ̥" w:hAnsi="ˎ̥" w:cs="Arial"/>
          <w:color w:val="000000"/>
          <w:sz w:val="24"/>
          <w:szCs w:val="24"/>
        </w:rPr>
      </w:pPr>
      <w:r>
        <w:rPr>
          <w:rFonts w:hint="eastAsia" w:ascii="ˎ̥" w:hAnsi="ˎ̥" w:cs="Arial"/>
          <w:color w:val="000000"/>
          <w:sz w:val="24"/>
          <w:szCs w:val="24"/>
        </w:rPr>
        <w:t>信阳市平桥区人力资源和社会保障局2021年没有“三公”经费支出，没有安排公务接待费、因公出国出境费和公务用车运行及购置费，三公经费支出与上年相比无增减变动。未安排三公经费的原因是落实中央八项规定，例行勤俭节约。具体支出情况如下：</w:t>
      </w:r>
    </w:p>
    <w:p>
      <w:pPr>
        <w:spacing w:line="560" w:lineRule="exact"/>
        <w:ind w:firstLine="482" w:firstLineChars="200"/>
        <w:rPr>
          <w:rFonts w:hint="eastAsia" w:ascii="ˎ̥" w:hAnsi="ˎ̥" w:cs="Arial"/>
          <w:color w:val="000000"/>
          <w:sz w:val="24"/>
          <w:szCs w:val="24"/>
        </w:rPr>
      </w:pPr>
      <w:r>
        <w:rPr>
          <w:rFonts w:hint="eastAsia" w:ascii="ˎ̥" w:hAnsi="ˎ̥" w:cs="Arial"/>
          <w:b/>
          <w:bCs/>
          <w:color w:val="000000"/>
          <w:sz w:val="24"/>
          <w:szCs w:val="24"/>
        </w:rPr>
        <w:t>（一）因公出国（境）费</w:t>
      </w:r>
      <w:r>
        <w:rPr>
          <w:rFonts w:hint="eastAsia" w:ascii="ˎ̥" w:hAnsi="ˎ̥" w:cs="Arial"/>
          <w:b/>
          <w:bCs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b/>
          <w:bCs/>
          <w:color w:val="000000"/>
          <w:sz w:val="24"/>
          <w:szCs w:val="24"/>
        </w:rPr>
        <w:t>万元</w:t>
      </w:r>
      <w:r>
        <w:rPr>
          <w:rFonts w:hint="eastAsia" w:ascii="ˎ̥" w:hAnsi="ˎ̥" w:cs="Arial"/>
          <w:color w:val="000000"/>
          <w:sz w:val="24"/>
          <w:szCs w:val="24"/>
        </w:rPr>
        <w:t>，无该项支出。预算数比20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ˎ̥" w:hAnsi="ˎ̥" w:cs="Arial"/>
          <w:color w:val="000000"/>
          <w:sz w:val="24"/>
          <w:szCs w:val="24"/>
        </w:rPr>
        <w:t>年减少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万元，下降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%</w:t>
      </w:r>
      <w:r>
        <w:rPr>
          <w:rFonts w:hint="eastAsia" w:ascii="ˎ̥" w:hAnsi="ˎ̥" w:cs="Arial"/>
          <w:color w:val="000000"/>
          <w:sz w:val="24"/>
          <w:szCs w:val="24"/>
          <w:lang w:eastAsia="zh-CN"/>
        </w:rPr>
        <w:t>，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无增减变动</w:t>
      </w:r>
      <w:r>
        <w:rPr>
          <w:rFonts w:hint="eastAsia" w:ascii="ˎ̥" w:hAnsi="ˎ̥" w:cs="Arial"/>
          <w:color w:val="000000"/>
          <w:sz w:val="24"/>
          <w:szCs w:val="24"/>
        </w:rPr>
        <w:t>。</w:t>
      </w:r>
    </w:p>
    <w:p>
      <w:pPr>
        <w:spacing w:line="560" w:lineRule="exact"/>
        <w:ind w:firstLine="482" w:firstLineChars="200"/>
        <w:rPr>
          <w:rFonts w:hint="eastAsia" w:ascii="ˎ̥" w:hAnsi="ˎ̥" w:cs="Arial"/>
          <w:color w:val="000000"/>
          <w:sz w:val="24"/>
          <w:szCs w:val="24"/>
        </w:rPr>
      </w:pPr>
      <w:r>
        <w:rPr>
          <w:rFonts w:hint="eastAsia" w:ascii="ˎ̥" w:hAnsi="ˎ̥" w:cs="Arial"/>
          <w:b/>
          <w:bCs/>
          <w:color w:val="000000"/>
          <w:sz w:val="24"/>
          <w:szCs w:val="24"/>
        </w:rPr>
        <w:t>（二）公务接待费</w:t>
      </w:r>
      <w:r>
        <w:rPr>
          <w:rFonts w:hint="eastAsia" w:ascii="ˎ̥" w:hAnsi="ˎ̥" w:cs="Arial"/>
          <w:b/>
          <w:bCs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b/>
          <w:bCs/>
          <w:color w:val="000000"/>
          <w:sz w:val="24"/>
          <w:szCs w:val="24"/>
        </w:rPr>
        <w:t>万元，</w:t>
      </w:r>
      <w:r>
        <w:rPr>
          <w:rFonts w:hint="eastAsia" w:ascii="ˎ̥" w:hAnsi="ˎ̥" w:cs="Arial"/>
          <w:color w:val="000000"/>
          <w:sz w:val="24"/>
          <w:szCs w:val="24"/>
        </w:rPr>
        <w:t>无该项支出，比20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ˎ̥" w:hAnsi="ˎ̥" w:cs="Arial"/>
          <w:color w:val="000000"/>
          <w:sz w:val="24"/>
          <w:szCs w:val="24"/>
        </w:rPr>
        <w:t>年减少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万元，下降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%，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无增减变动</w:t>
      </w:r>
      <w:r>
        <w:rPr>
          <w:rFonts w:hint="eastAsia" w:ascii="ˎ̥" w:hAnsi="ˎ̥" w:cs="Arial"/>
          <w:color w:val="000000"/>
          <w:sz w:val="24"/>
          <w:szCs w:val="24"/>
        </w:rPr>
        <w:t>。</w:t>
      </w:r>
    </w:p>
    <w:p>
      <w:pPr>
        <w:spacing w:line="560" w:lineRule="exact"/>
        <w:ind w:firstLine="482" w:firstLineChars="200"/>
        <w:rPr>
          <w:rFonts w:hint="default" w:ascii="ˎ̥" w:hAnsi="ˎ̥" w:cs="Arial"/>
          <w:color w:val="000000"/>
          <w:sz w:val="24"/>
          <w:szCs w:val="24"/>
          <w:lang w:val="en-US" w:eastAsia="zh-CN"/>
        </w:rPr>
      </w:pPr>
      <w:r>
        <w:rPr>
          <w:rFonts w:hint="eastAsia" w:ascii="ˎ̥" w:hAnsi="ˎ̥" w:cs="Arial"/>
          <w:b/>
          <w:bCs/>
          <w:color w:val="000000"/>
          <w:sz w:val="24"/>
          <w:szCs w:val="24"/>
        </w:rPr>
        <w:t>（三）公务用车购置及运行费</w:t>
      </w:r>
      <w:r>
        <w:rPr>
          <w:rFonts w:hint="eastAsia" w:ascii="ˎ̥" w:hAnsi="ˎ̥" w:cs="Arial"/>
          <w:b/>
          <w:bCs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b/>
          <w:bCs/>
          <w:color w:val="000000"/>
          <w:sz w:val="24"/>
          <w:szCs w:val="24"/>
        </w:rPr>
        <w:t>万元，</w:t>
      </w:r>
      <w:r>
        <w:rPr>
          <w:rFonts w:hint="eastAsia" w:ascii="ˎ̥" w:hAnsi="ˎ̥" w:cs="Arial"/>
          <w:color w:val="000000"/>
          <w:sz w:val="24"/>
          <w:szCs w:val="24"/>
        </w:rPr>
        <w:t>其中，公务用车运行维护费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万元，无该项支出，比20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ˎ̥" w:hAnsi="ˎ̥" w:cs="Arial"/>
          <w:color w:val="000000"/>
          <w:sz w:val="24"/>
          <w:szCs w:val="24"/>
        </w:rPr>
        <w:t>年减少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万元，下降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%，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无增减变动</w:t>
      </w:r>
      <w:r>
        <w:rPr>
          <w:rFonts w:hint="eastAsia" w:ascii="ˎ̥" w:hAnsi="ˎ̥" w:cs="Arial"/>
          <w:color w:val="000000"/>
          <w:sz w:val="24"/>
          <w:szCs w:val="24"/>
        </w:rPr>
        <w:t>；公务用车购置费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万元，无该项支出，比20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ˎ̥" w:hAnsi="ˎ̥" w:cs="Arial"/>
          <w:color w:val="000000"/>
          <w:sz w:val="24"/>
          <w:szCs w:val="24"/>
        </w:rPr>
        <w:t>年减少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万元，下降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0</w:t>
      </w:r>
      <w:r>
        <w:rPr>
          <w:rFonts w:hint="eastAsia" w:ascii="ˎ̥" w:hAnsi="ˎ̥" w:cs="Arial"/>
          <w:color w:val="000000"/>
          <w:sz w:val="24"/>
          <w:szCs w:val="24"/>
        </w:rPr>
        <w:t>%，</w:t>
      </w:r>
      <w:r>
        <w:rPr>
          <w:rFonts w:hint="eastAsia" w:ascii="ˎ̥" w:hAnsi="ˎ̥" w:cs="Arial"/>
          <w:color w:val="000000"/>
          <w:sz w:val="24"/>
          <w:szCs w:val="24"/>
          <w:lang w:val="en-US" w:eastAsia="zh-CN"/>
        </w:rPr>
        <w:t>无增减变动</w:t>
      </w:r>
      <w:r>
        <w:rPr>
          <w:rFonts w:hint="eastAsia" w:ascii="ˎ̥" w:hAnsi="ˎ̥" w:cs="Arial"/>
          <w:color w:val="000000"/>
          <w:sz w:val="24"/>
          <w:szCs w:val="24"/>
        </w:rPr>
        <w:t>。</w:t>
      </w:r>
    </w:p>
    <w:p>
      <w:pPr>
        <w:pStyle w:val="5"/>
        <w:spacing w:line="360" w:lineRule="auto"/>
        <w:ind w:firstLine="472" w:firstLineChars="196"/>
        <w:rPr>
          <w:rFonts w:ascii="ˎ̥" w:hAnsi="ˎ̥" w:cs="Arial"/>
          <w:color w:val="000000"/>
        </w:rPr>
      </w:pPr>
      <w:r>
        <w:rPr>
          <w:rFonts w:hint="eastAsia" w:ascii="ˎ̥" w:hAnsi="ˎ̥" w:cs="Arial"/>
          <w:b/>
          <w:color w:val="000000"/>
        </w:rPr>
        <w:t>八</w:t>
      </w:r>
      <w:r>
        <w:rPr>
          <w:rFonts w:ascii="ˎ̥" w:hAnsi="ˎ̥" w:cs="Arial"/>
          <w:b/>
          <w:color w:val="000000"/>
        </w:rPr>
        <w:t>、政府性基金预算支出情况</w:t>
      </w:r>
      <w:r>
        <w:rPr>
          <w:rStyle w:val="8"/>
          <w:rFonts w:ascii="ˎ̥" w:hAnsi="ˎ̥" w:cs="Arial"/>
          <w:color w:val="000000"/>
        </w:rPr>
        <w:t>说明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hint="eastAsia" w:ascii="ˎ̥" w:hAnsi="ˎ̥" w:cs="Arial"/>
          <w:color w:val="000000"/>
        </w:rPr>
        <w:t>2021年没有</w:t>
      </w:r>
      <w:r>
        <w:rPr>
          <w:rFonts w:ascii="ˎ̥" w:hAnsi="ˎ̥" w:cs="Arial"/>
          <w:color w:val="000000"/>
        </w:rPr>
        <w:t>政府性基金预算支出</w:t>
      </w:r>
      <w:r>
        <w:rPr>
          <w:rFonts w:hint="eastAsia" w:ascii="ˎ̥" w:hAnsi="ˎ̥" w:cs="Arial"/>
          <w:color w:val="000000"/>
        </w:rPr>
        <w:t>。</w:t>
      </w:r>
    </w:p>
    <w:p>
      <w:pPr>
        <w:pStyle w:val="5"/>
        <w:spacing w:line="360" w:lineRule="auto"/>
        <w:ind w:firstLine="472" w:firstLineChars="196"/>
        <w:rPr>
          <w:rFonts w:ascii="ˎ̥" w:hAnsi="ˎ̥" w:cs="Arial"/>
          <w:b/>
          <w:color w:val="000000"/>
        </w:rPr>
      </w:pPr>
      <w:r>
        <w:rPr>
          <w:rFonts w:hint="eastAsia" w:ascii="ˎ̥" w:hAnsi="ˎ̥" w:cs="Arial"/>
          <w:b/>
          <w:color w:val="000000"/>
        </w:rPr>
        <w:t>九、支出项目表（按政府经济分类）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信阳市平桥区人力资源和社会保障局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21年工资福利支出16582391元，其中：基本工资6888300元，津贴补贴4158972元，文明奖1612800元，社会保障缴费2573201元，其他社会保险缴费488684元，住房公积金1270723元；办公经费支出1363303元，其中：福利费</w:t>
      </w:r>
      <w:r>
        <w:rPr>
          <w:rFonts w:ascii="ˎ̥" w:hAnsi="ˎ̥" w:cs="Arial"/>
          <w:color w:val="000000"/>
        </w:rPr>
        <w:t>2329</w:t>
      </w:r>
      <w:r>
        <w:rPr>
          <w:rFonts w:hint="eastAsia" w:ascii="ˎ̥" w:hAnsi="ˎ̥" w:cs="Arial"/>
          <w:color w:val="000000"/>
        </w:rPr>
        <w:t>68元，工会经费</w:t>
      </w:r>
      <w:r>
        <w:rPr>
          <w:rFonts w:ascii="ˎ̥" w:hAnsi="ˎ̥" w:cs="Arial"/>
          <w:color w:val="000000"/>
        </w:rPr>
        <w:t>2117</w:t>
      </w:r>
      <w:r>
        <w:rPr>
          <w:rFonts w:hint="eastAsia" w:ascii="ˎ̥" w:hAnsi="ˎ̥" w:cs="Arial"/>
          <w:color w:val="000000"/>
        </w:rPr>
        <w:t>89元，教育经费</w:t>
      </w:r>
      <w:r>
        <w:rPr>
          <w:rFonts w:ascii="ˎ̥" w:hAnsi="ˎ̥" w:cs="Arial"/>
          <w:color w:val="000000"/>
        </w:rPr>
        <w:t>1588</w:t>
      </w:r>
      <w:r>
        <w:rPr>
          <w:rFonts w:hint="eastAsia" w:ascii="ˎ̥" w:hAnsi="ˎ̥" w:cs="Arial"/>
          <w:color w:val="000000"/>
        </w:rPr>
        <w:t>46元，公车补贴262200元，人员公用经费497500元；社会福利和救助遗属补助24624元。</w:t>
      </w:r>
    </w:p>
    <w:p>
      <w:pPr>
        <w:pStyle w:val="5"/>
        <w:spacing w:line="360" w:lineRule="auto"/>
        <w:rPr>
          <w:rFonts w:ascii="ˎ̥" w:hAnsi="ˎ̥" w:cs="Arial"/>
          <w:b/>
          <w:color w:val="000000"/>
        </w:rPr>
      </w:pPr>
      <w:r>
        <w:rPr>
          <w:rStyle w:val="8"/>
          <w:rFonts w:ascii="ˎ̥" w:hAnsi="ˎ̥" w:cs="Arial"/>
          <w:color w:val="000000"/>
        </w:rPr>
        <w:t>　</w:t>
      </w:r>
      <w:r>
        <w:rPr>
          <w:rStyle w:val="8"/>
          <w:rFonts w:hint="eastAsia" w:ascii="ˎ̥" w:hAnsi="ˎ̥" w:cs="Arial"/>
          <w:color w:val="000000"/>
        </w:rPr>
        <w:t xml:space="preserve">  </w:t>
      </w:r>
      <w:r>
        <w:rPr>
          <w:rFonts w:hint="eastAsia" w:ascii="ˎ̥" w:hAnsi="ˎ̥" w:cs="Arial"/>
          <w:b/>
          <w:color w:val="000000"/>
        </w:rPr>
        <w:t>十、</w:t>
      </w:r>
      <w:r>
        <w:rPr>
          <w:b/>
          <w:bCs/>
        </w:rPr>
        <w:t>支出预算经济分类情况说明</w:t>
      </w:r>
    </w:p>
    <w:p>
      <w:pPr>
        <w:pStyle w:val="5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按照《财政部关于印发&lt;支出经济分类科目改革方案&gt;的通知》(财预〔2017〕98号)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</w:t>
      </w:r>
      <w:r>
        <w:rPr>
          <w:rFonts w:hint="eastAsia" w:ascii="ˎ̥" w:hAnsi="ˎ̥" w:cs="Arial"/>
          <w:color w:val="000000"/>
        </w:rPr>
        <w:t>局</w:t>
      </w:r>
      <w:r>
        <w:rPr>
          <w:rFonts w:ascii="ˎ̥" w:hAnsi="ˎ̥" w:cs="Arial"/>
          <w:color w:val="000000"/>
        </w:rPr>
        <w:t>《支出经济分类汇总表》由仅反映一般公共预算基本支出经济分类科目预算，调整为按两套经济分类科目分别反映不同资金来源的全部预算支出。</w:t>
      </w:r>
    </w:p>
    <w:p>
      <w:pPr>
        <w:pStyle w:val="5"/>
        <w:spacing w:line="360" w:lineRule="auto"/>
        <w:ind w:firstLine="472" w:firstLineChars="196"/>
        <w:rPr>
          <w:rFonts w:ascii="ˎ̥" w:hAnsi="ˎ̥" w:cs="Arial"/>
          <w:b/>
          <w:color w:val="000000"/>
        </w:rPr>
      </w:pPr>
      <w:r>
        <w:rPr>
          <w:rFonts w:hint="eastAsia" w:ascii="ˎ̥" w:hAnsi="ˎ̥" w:cs="Arial"/>
          <w:b/>
          <w:color w:val="000000"/>
        </w:rPr>
        <w:t>十一、其他重要事项的情况说明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　　(一)单位运行经费支出情况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　　信阳市平桥区</w:t>
      </w:r>
      <w:r>
        <w:rPr>
          <w:rStyle w:val="8"/>
          <w:rFonts w:hint="eastAsia" w:ascii="ˎ̥" w:hAnsi="ˎ̥" w:cs="Arial"/>
          <w:b w:val="0"/>
          <w:color w:val="000000"/>
        </w:rPr>
        <w:t>人力资源和社会保障局</w:t>
      </w:r>
      <w:r>
        <w:rPr>
          <w:rFonts w:hint="eastAsia" w:ascii="ˎ̥" w:hAnsi="ˎ̥" w:cs="Arial"/>
          <w:color w:val="000000"/>
        </w:rPr>
        <w:t>2021年机关运行经费支出预算136.33万元，主要保障机关、机构正常运转及正常</w:t>
      </w:r>
      <w:bookmarkStart w:id="0" w:name="_GoBack"/>
      <w:bookmarkEnd w:id="0"/>
      <w:r>
        <w:rPr>
          <w:rFonts w:hint="eastAsia" w:ascii="ˎ̥" w:hAnsi="ˎ̥" w:cs="Arial"/>
          <w:color w:val="000000"/>
        </w:rPr>
        <w:t>履职需要。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　　(二)政府采购支出情况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　　2021年</w:t>
      </w:r>
      <w:r>
        <w:rPr>
          <w:rFonts w:hint="eastAsia" w:ascii="ˎ̥" w:hAnsi="ˎ̥" w:cs="Arial"/>
          <w:color w:val="000000"/>
          <w:lang w:eastAsia="zh-CN"/>
        </w:rPr>
        <w:t>信阳市平桥区人力资源和社会保障局</w:t>
      </w:r>
      <w:r>
        <w:rPr>
          <w:rFonts w:hint="eastAsia" w:ascii="ˎ̥" w:hAnsi="ˎ̥" w:cs="Arial"/>
          <w:color w:val="000000"/>
        </w:rPr>
        <w:t>没有政府采购预算。没有安排工程类、货物类及服务类采购预算，政府采购预算安排 0万元，其中：政府采购货物预算0万元、政府采购工程预算0万元、政府采购服务预算0万元。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　　(三)关于预算绩效管理工作开展及重点项目预算绩效目标设置情况说明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2021年，</w:t>
      </w:r>
      <w:r>
        <w:rPr>
          <w:rFonts w:hint="eastAsia" w:ascii="ˎ̥" w:hAnsi="ˎ̥" w:cs="Arial"/>
          <w:color w:val="000000"/>
          <w:lang w:eastAsia="zh-CN"/>
        </w:rPr>
        <w:t>信阳市平桥区人力资源和社会保障局</w:t>
      </w:r>
      <w:r>
        <w:rPr>
          <w:rFonts w:hint="eastAsia" w:ascii="ˎ̥" w:hAnsi="ˎ̥" w:cs="Arial"/>
          <w:color w:val="000000"/>
        </w:rPr>
        <w:t>拟对重点项目预算绩效目标进行编制，从项目产出、项目效益、满意度等方面完成设置，以便能够综合反映项目预期完成的数量、实效、质量，预期达到的社会经济效益、可持续影响以及服务对象满意度等情况。　　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(四)国有资产占用情况。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　　2021年期末，</w:t>
      </w:r>
      <w:r>
        <w:rPr>
          <w:rFonts w:hint="eastAsia" w:ascii="ˎ̥" w:hAnsi="ˎ̥" w:cs="Arial"/>
          <w:color w:val="000000"/>
          <w:lang w:eastAsia="zh-CN"/>
        </w:rPr>
        <w:t>信阳市平桥区人力资源和社会保障局</w:t>
      </w:r>
      <w:r>
        <w:rPr>
          <w:rFonts w:hint="eastAsia" w:ascii="ˎ̥" w:hAnsi="ˎ̥" w:cs="Arial"/>
          <w:color w:val="000000"/>
        </w:rPr>
        <w:t>严格按照公车改革后核准的公务用车执行。2021年底，</w:t>
      </w:r>
      <w:r>
        <w:rPr>
          <w:rFonts w:hint="eastAsia" w:ascii="ˎ̥" w:hAnsi="ˎ̥" w:cs="Arial"/>
          <w:color w:val="000000"/>
          <w:lang w:eastAsia="zh-CN"/>
        </w:rPr>
        <w:t>信阳市平桥区人力资源和社会保障局</w:t>
      </w:r>
      <w:r>
        <w:rPr>
          <w:rFonts w:hint="eastAsia" w:ascii="ˎ̥" w:hAnsi="ˎ̥" w:cs="Arial"/>
          <w:color w:val="000000"/>
        </w:rPr>
        <w:t>共有公车0辆，单价50万元以上的通用设备0台（套），单位价值100万以上的专业设备0台（套）。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(五)专项转移支付项目情况</w:t>
      </w:r>
    </w:p>
    <w:p>
      <w:pPr>
        <w:pStyle w:val="5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  <w:lang w:eastAsia="zh-CN"/>
        </w:rPr>
        <w:t>信阳市平桥区人力资源和社会保障局</w:t>
      </w:r>
      <w:r>
        <w:rPr>
          <w:rFonts w:hint="eastAsia" w:ascii="ˎ̥" w:hAnsi="ˎ̥" w:cs="Arial"/>
          <w:color w:val="000000"/>
        </w:rPr>
        <w:t>没有负责管理的专项转移支付项目。</w:t>
      </w:r>
    </w:p>
    <w:p>
      <w:pPr>
        <w:pStyle w:val="5"/>
        <w:spacing w:line="360" w:lineRule="auto"/>
        <w:ind w:firstLine="3614" w:firstLineChars="1500"/>
        <w:rPr>
          <w:rStyle w:val="8"/>
          <w:rFonts w:ascii="ˎ̥" w:hAnsi="ˎ̥" w:cs="Arial"/>
          <w:color w:val="000000"/>
        </w:rPr>
      </w:pPr>
    </w:p>
    <w:p>
      <w:pPr>
        <w:pStyle w:val="5"/>
        <w:spacing w:line="360" w:lineRule="auto"/>
        <w:ind w:firstLine="3614" w:firstLineChars="1500"/>
        <w:rPr>
          <w:rFonts w:ascii="ˎ̥" w:hAnsi="ˎ̥" w:cs="Arial"/>
          <w:b/>
          <w:color w:val="000000"/>
        </w:rPr>
      </w:pPr>
      <w:r>
        <w:rPr>
          <w:rStyle w:val="8"/>
          <w:rFonts w:ascii="ˎ̥" w:hAnsi="ˎ̥" w:cs="Arial"/>
          <w:color w:val="000000"/>
        </w:rPr>
        <w:t>第三部分</w:t>
      </w:r>
    </w:p>
    <w:p>
      <w:pPr>
        <w:pStyle w:val="5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8"/>
          <w:rFonts w:ascii="ˎ̥" w:hAnsi="ˎ̥" w:cs="Arial"/>
          <w:color w:val="000000"/>
        </w:rPr>
        <w:t>　　名词解释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一、财政拨款收入：是指</w:t>
      </w:r>
      <w:r>
        <w:rPr>
          <w:rFonts w:hint="eastAsia" w:ascii="ˎ̥" w:hAnsi="ˎ̥" w:cs="Arial"/>
          <w:color w:val="000000"/>
        </w:rPr>
        <w:t>区</w:t>
      </w:r>
      <w:r>
        <w:rPr>
          <w:rFonts w:ascii="ˎ̥" w:hAnsi="ˎ̥" w:cs="Arial"/>
          <w:color w:val="000000"/>
        </w:rPr>
        <w:t>级财政当年拨付的资金。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二、事业收入：是指事业单位开展专业活动及辅助活动所取得的收入。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三、其他收入：是指部门取得的除“财政拨款”、“事业收入”、“事业单位经营收入”等以外的收入。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四、用事业基金弥补收支差额：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五、基本支出：是指为保障机构正常运转、完成日常工作任务所必需的开支，其内容包括人员经费和日常公用经费两部分。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六、项目支出：是指在基本支出之外，为完成特定的行政工作任务或事业发展目标所发生的支出。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七、“三公”经费：是指纳入省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>
      <w:pPr>
        <w:pStyle w:val="5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八、机关运行经费：是指为保障行政单位(含参照公务员法管理的事业单位)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NjkxNmNiZDQyYzhkYzk1ZTAyOGM5MWZlOWY0NDMifQ=="/>
  </w:docVars>
  <w:rsids>
    <w:rsidRoot w:val="00F47E44"/>
    <w:rsid w:val="007F7AEC"/>
    <w:rsid w:val="00F47E44"/>
    <w:rsid w:val="01BF37C7"/>
    <w:rsid w:val="03764359"/>
    <w:rsid w:val="17C84600"/>
    <w:rsid w:val="214E201A"/>
    <w:rsid w:val="229E0D7F"/>
    <w:rsid w:val="23452FA8"/>
    <w:rsid w:val="26914E82"/>
    <w:rsid w:val="2A375D41"/>
    <w:rsid w:val="2C361B49"/>
    <w:rsid w:val="326D67D0"/>
    <w:rsid w:val="329C3C72"/>
    <w:rsid w:val="33802506"/>
    <w:rsid w:val="3BEB6D04"/>
    <w:rsid w:val="3C814BF9"/>
    <w:rsid w:val="4DC64B62"/>
    <w:rsid w:val="51220301"/>
    <w:rsid w:val="574865E8"/>
    <w:rsid w:val="59017396"/>
    <w:rsid w:val="5B264E92"/>
    <w:rsid w:val="5B3A179F"/>
    <w:rsid w:val="5D081F51"/>
    <w:rsid w:val="5E6F08FE"/>
    <w:rsid w:val="60E03D35"/>
    <w:rsid w:val="690E2528"/>
    <w:rsid w:val="69674FF3"/>
    <w:rsid w:val="6BD108EF"/>
    <w:rsid w:val="6C494E84"/>
    <w:rsid w:val="6DC40040"/>
    <w:rsid w:val="6F241291"/>
    <w:rsid w:val="727F515C"/>
    <w:rsid w:val="75DA08FB"/>
    <w:rsid w:val="769A6A08"/>
    <w:rsid w:val="7BF3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宋体" w:cs="Times New Roman"/>
      <w:szCs w:val="24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link w:val="4"/>
    <w:qFormat/>
    <w:uiPriority w:val="99"/>
    <w:rPr>
      <w:sz w:val="18"/>
      <w:szCs w:val="18"/>
    </w:rPr>
  </w:style>
  <w:style w:type="character" w:customStyle="1" w:styleId="11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4161</Words>
  <Characters>4494</Characters>
  <Lines>31</Lines>
  <Paragraphs>8</Paragraphs>
  <TotalTime>1</TotalTime>
  <ScaleCrop>false</ScaleCrop>
  <LinksUpToDate>false</LinksUpToDate>
  <CharactersWithSpaces>4576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2018-05-03T09:56:00Z</dcterms:created>
  <dc:creator>larry</dc:creator>
  <cp:lastModifiedBy>zJoy</cp:lastModifiedBy>
  <dcterms:modified xsi:type="dcterms:W3CDTF">2022-09-06T01:15:00Z</dcterms:modified>
  <dc:title>信阳市平桥区人力资源和社会保障局2021年部门预算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9C1FF97D21A74C3991466EFB3A48A680</vt:lpwstr>
  </property>
</Properties>
</file>