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360" w:lineRule="auto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left="101" w:right="42" w:firstLine="1040" w:firstLineChars="2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right="42" w:firstLine="520" w:firstLineChars="100"/>
        <w:jc w:val="center"/>
        <w:rPr>
          <w:rFonts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信阳市平桥区商务局</w:t>
      </w: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right="42" w:firstLine="520" w:firstLineChars="1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right="42" w:firstLine="520" w:firstLineChars="1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right="42" w:firstLine="520" w:firstLineChars="1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right="42" w:firstLine="520" w:firstLineChars="100"/>
        <w:jc w:val="center"/>
        <w:rPr>
          <w:rFonts w:ascii="黑体" w:hAnsi="黑体" w:eastAsia="黑体"/>
          <w:sz w:val="52"/>
          <w:szCs w:val="52"/>
        </w:rPr>
      </w:pPr>
    </w:p>
    <w:p>
      <w:pPr>
        <w:tabs>
          <w:tab w:val="left" w:pos="8364"/>
        </w:tabs>
        <w:kinsoku w:val="0"/>
        <w:overflowPunct w:val="0"/>
        <w:adjustRightInd w:val="0"/>
        <w:snapToGrid w:val="0"/>
        <w:spacing w:line="560" w:lineRule="exact"/>
        <w:ind w:right="42" w:firstLine="520" w:firstLineChars="100"/>
        <w:jc w:val="center"/>
        <w:rPr>
          <w:rFonts w:ascii="黑体" w:hAnsi="黑体" w:eastAsia="黑体"/>
          <w:sz w:val="52"/>
          <w:szCs w:val="52"/>
        </w:rPr>
      </w:pPr>
      <w:r>
        <w:rPr>
          <w:rFonts w:ascii="黑体" w:hAnsi="Times New Roman" w:eastAsia="黑体" w:cs="黑体"/>
          <w:sz w:val="52"/>
          <w:szCs w:val="52"/>
        </w:rPr>
        <w:t>20</w:t>
      </w:r>
      <w:r>
        <w:rPr>
          <w:rFonts w:hint="eastAsia" w:ascii="黑体" w:hAnsi="Times New Roman" w:eastAsia="黑体" w:cs="黑体"/>
          <w:sz w:val="52"/>
          <w:szCs w:val="52"/>
        </w:rPr>
        <w:t>21年度部门预算</w:t>
      </w: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left="-142" w:right="51" w:firstLine="39" w:firstLineChars="7"/>
        <w:jc w:val="center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 xml:space="preserve">  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</w:p>
    <w:p>
      <w:pPr>
        <w:kinsoku w:val="0"/>
        <w:overflowPunct w:val="0"/>
        <w:adjustRightInd w:val="0"/>
        <w:snapToGrid w:val="0"/>
        <w:spacing w:line="560" w:lineRule="exact"/>
        <w:ind w:right="51" w:firstLine="3360" w:firstLineChars="600"/>
        <w:rPr>
          <w:rFonts w:ascii="黑体" w:hAnsi="Times New Roman" w:eastAsia="黑体" w:cs="黑体"/>
          <w:sz w:val="56"/>
          <w:szCs w:val="56"/>
        </w:rPr>
      </w:pPr>
      <w:r>
        <w:rPr>
          <w:rFonts w:hint="eastAsia" w:ascii="黑体" w:hAnsi="Times New Roman" w:eastAsia="黑体" w:cs="黑体"/>
          <w:sz w:val="56"/>
          <w:szCs w:val="56"/>
        </w:rPr>
        <w:t>目</w:t>
      </w:r>
      <w:r>
        <w:rPr>
          <w:rFonts w:ascii="黑体" w:hAnsi="Times New Roman" w:eastAsia="黑体" w:cs="黑体"/>
          <w:spacing w:val="2"/>
          <w:sz w:val="56"/>
          <w:szCs w:val="56"/>
        </w:rPr>
        <w:t xml:space="preserve"> </w:t>
      </w:r>
      <w:r>
        <w:rPr>
          <w:rFonts w:hint="eastAsia" w:ascii="黑体" w:hAnsi="Times New Roman" w:eastAsia="黑体" w:cs="黑体"/>
          <w:sz w:val="56"/>
          <w:szCs w:val="56"/>
        </w:rPr>
        <w:t>录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632" w:firstLineChars="200"/>
        <w:jc w:val="left"/>
        <w:rPr>
          <w:rFonts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w w:val="99"/>
          <w:sz w:val="32"/>
          <w:szCs w:val="32"/>
        </w:rPr>
        <w:t>第一部分  商务局概况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960" w:firstLineChars="300"/>
        <w:jc w:val="left"/>
        <w:rPr>
          <w:rFonts w:hint="eastAsia"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一、主要职能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960" w:firstLineChars="300"/>
        <w:jc w:val="left"/>
        <w:rPr>
          <w:rFonts w:hint="default" w:ascii="仿宋_GB2312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二、机构设置</w:t>
      </w:r>
    </w:p>
    <w:p>
      <w:pPr>
        <w:kinsoku w:val="0"/>
        <w:overflowPunct w:val="0"/>
        <w:adjustRightInd w:val="0"/>
        <w:snapToGrid w:val="0"/>
        <w:spacing w:line="560" w:lineRule="exact"/>
        <w:ind w:right="3569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Times New Roman" w:eastAsia="仿宋_GB2312" w:cs="仿宋_GB2312"/>
          <w:sz w:val="32"/>
          <w:szCs w:val="32"/>
        </w:rPr>
        <w:t>、部门预算单位构成</w:t>
      </w:r>
    </w:p>
    <w:p>
      <w:pPr>
        <w:kinsoku w:val="0"/>
        <w:overflowPunct w:val="0"/>
        <w:adjustRightInd w:val="0"/>
        <w:snapToGrid w:val="0"/>
        <w:spacing w:line="560" w:lineRule="exact"/>
        <w:ind w:right="521" w:firstLine="640" w:firstLineChars="200"/>
        <w:rPr>
          <w:rFonts w:ascii="黑体" w:hAnsi="Times New Roman" w:eastAsia="黑体" w:cs="黑体"/>
          <w:w w:val="99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 xml:space="preserve">第二部分 </w:t>
      </w:r>
      <w:r>
        <w:rPr>
          <w:rFonts w:hint="eastAsia" w:ascii="黑体" w:hAnsi="黑体" w:eastAsia="黑体"/>
          <w:sz w:val="32"/>
          <w:szCs w:val="32"/>
        </w:rPr>
        <w:t>商务局</w:t>
      </w:r>
      <w:r>
        <w:rPr>
          <w:rFonts w:ascii="黑体" w:hAnsi="Times New Roman" w:eastAsia="黑体" w:cs="黑体"/>
          <w:spacing w:val="-119"/>
          <w:sz w:val="32"/>
          <w:szCs w:val="32"/>
        </w:rPr>
        <w:t xml:space="preserve"> </w:t>
      </w:r>
      <w:r>
        <w:rPr>
          <w:rFonts w:ascii="黑体" w:hAnsi="Times New Roman" w:eastAsia="黑体" w:cs="黑体"/>
          <w:sz w:val="32"/>
          <w:szCs w:val="32"/>
        </w:rPr>
        <w:t>20</w:t>
      </w:r>
      <w:r>
        <w:rPr>
          <w:rFonts w:hint="eastAsia" w:ascii="黑体" w:hAnsi="Times New Roman" w:eastAsia="黑体" w:cs="黑体"/>
          <w:sz w:val="32"/>
          <w:szCs w:val="32"/>
        </w:rPr>
        <w:t>21年度部门预算情况说明</w:t>
      </w:r>
      <w:r>
        <w:rPr>
          <w:rFonts w:ascii="黑体" w:hAnsi="Times New Roman" w:eastAsia="黑体" w:cs="黑体"/>
          <w:w w:val="99"/>
          <w:sz w:val="32"/>
          <w:szCs w:val="32"/>
        </w:rPr>
        <w:t xml:space="preserve"> </w:t>
      </w:r>
    </w:p>
    <w:p>
      <w:pPr>
        <w:kinsoku w:val="0"/>
        <w:overflowPunct w:val="0"/>
        <w:adjustRightInd w:val="0"/>
        <w:snapToGrid w:val="0"/>
        <w:spacing w:line="560" w:lineRule="exact"/>
        <w:ind w:right="521" w:firstLine="640" w:firstLineChars="200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第三部分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z w:val="32"/>
          <w:szCs w:val="32"/>
        </w:rPr>
        <w:t>名词解释</w:t>
      </w:r>
    </w:p>
    <w:p>
      <w:pPr>
        <w:kinsoku w:val="0"/>
        <w:overflowPunct w:val="0"/>
        <w:adjustRightInd w:val="0"/>
        <w:snapToGrid w:val="0"/>
        <w:spacing w:line="560" w:lineRule="exact"/>
        <w:ind w:firstLine="640" w:firstLineChars="200"/>
        <w:rPr>
          <w:rFonts w:ascii="黑体" w:hAnsi="Times New Roman" w:eastAsia="黑体" w:cs="黑体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附件：</w:t>
      </w:r>
      <w:r>
        <w:rPr>
          <w:rFonts w:ascii="黑体" w:hAnsi="Times New Roman" w:eastAsia="黑体" w:cs="黑体"/>
          <w:spacing w:val="-32"/>
          <w:sz w:val="32"/>
          <w:szCs w:val="32"/>
        </w:rPr>
        <w:t xml:space="preserve"> </w:t>
      </w:r>
      <w:r>
        <w:rPr>
          <w:rFonts w:hint="eastAsia" w:ascii="黑体" w:hAnsi="黑体" w:eastAsia="黑体"/>
          <w:sz w:val="32"/>
          <w:szCs w:val="32"/>
        </w:rPr>
        <w:t>商务局</w:t>
      </w:r>
      <w:r>
        <w:rPr>
          <w:rFonts w:hint="eastAsia" w:ascii="黑体" w:hAnsi="Times New Roman" w:eastAsia="黑体" w:cs="黑体"/>
          <w:sz w:val="32"/>
          <w:szCs w:val="32"/>
        </w:rPr>
        <w:t>2021年度部门预算表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一、</w:t>
      </w:r>
      <w:r>
        <w:rPr>
          <w:rFonts w:hint="eastAsia" w:ascii="仿宋_GB2312" w:eastAsia="仿宋_GB2312"/>
          <w:sz w:val="32"/>
          <w:szCs w:val="32"/>
        </w:rPr>
        <w:t>部门收支总体情况表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二、</w:t>
      </w:r>
      <w:r>
        <w:rPr>
          <w:rFonts w:hint="eastAsia" w:ascii="仿宋_GB2312" w:eastAsia="仿宋_GB2312"/>
          <w:sz w:val="32"/>
          <w:szCs w:val="32"/>
        </w:rPr>
        <w:t>部门收入总体情况表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三、</w:t>
      </w:r>
      <w:r>
        <w:rPr>
          <w:rFonts w:hint="eastAsia" w:ascii="仿宋_GB2312" w:eastAsia="仿宋_GB2312"/>
          <w:sz w:val="32"/>
          <w:szCs w:val="32"/>
        </w:rPr>
        <w:t>部门支出总体情况表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四、非税收入预算表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五、财政拨款收支总体情况表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六、一般公共预算支出情况表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七、一般公共预算基本支出情况表　　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八、一般公共预算“三公”经费支出情况表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九、政府性基金预算支出情况表</w:t>
      </w:r>
    </w:p>
    <w:p>
      <w:pPr>
        <w:kinsoku w:val="0"/>
        <w:overflowPunct w:val="0"/>
        <w:adjustRightInd w:val="0"/>
        <w:snapToGrid w:val="0"/>
        <w:spacing w:line="560" w:lineRule="exact"/>
        <w:ind w:right="51" w:firstLine="960" w:firstLineChars="300"/>
        <w:jc w:val="left"/>
        <w:rPr>
          <w:rFonts w:ascii="仿宋_GB2312" w:hAnsi="Times New Roman" w:eastAsia="仿宋_GB2312" w:cs="仿宋_GB2312"/>
          <w:sz w:val="32"/>
          <w:szCs w:val="32"/>
        </w:rPr>
      </w:pPr>
      <w:r>
        <w:rPr>
          <w:rFonts w:hint="eastAsia" w:ascii="仿宋_GB2312" w:hAnsi="Times New Roman" w:eastAsia="仿宋_GB2312" w:cs="仿宋_GB2312"/>
          <w:sz w:val="32"/>
          <w:szCs w:val="32"/>
        </w:rPr>
        <w:t>十、2021年支出项目表</w:t>
      </w:r>
    </w:p>
    <w:p>
      <w:pPr>
        <w:kinsoku w:val="0"/>
        <w:overflowPunct w:val="0"/>
        <w:adjustRightInd w:val="0"/>
        <w:snapToGrid w:val="0"/>
        <w:spacing w:line="560" w:lineRule="exact"/>
        <w:ind w:left="101" w:right="521" w:firstLine="640" w:firstLineChars="200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outlineLvl w:val="0"/>
        <w:rPr>
          <w:rFonts w:ascii="隶书" w:hAnsi="隶书" w:eastAsia="隶书" w:cs="隶书"/>
          <w:sz w:val="48"/>
          <w:szCs w:val="48"/>
        </w:rPr>
      </w:pPr>
    </w:p>
    <w:p>
      <w:pPr>
        <w:jc w:val="center"/>
        <w:outlineLvl w:val="0"/>
        <w:rPr>
          <w:rFonts w:ascii="隶书" w:hAnsi="隶书" w:eastAsia="隶书" w:cs="隶书"/>
          <w:sz w:val="48"/>
          <w:szCs w:val="48"/>
        </w:rPr>
      </w:pPr>
      <w:r>
        <w:rPr>
          <w:rFonts w:hint="eastAsia" w:ascii="隶书" w:hAnsi="隶书" w:eastAsia="隶书" w:cs="隶书"/>
          <w:sz w:val="48"/>
          <w:szCs w:val="48"/>
        </w:rPr>
        <w:t>第一部分　　商务局概况</w:t>
      </w:r>
    </w:p>
    <w:p>
      <w:pPr>
        <w:jc w:val="center"/>
        <w:outlineLvl w:val="0"/>
        <w:rPr>
          <w:rFonts w:ascii="隶书" w:hAnsi="隶书" w:eastAsia="隶书" w:cs="隶书"/>
          <w:sz w:val="48"/>
          <w:szCs w:val="48"/>
        </w:rPr>
      </w:pP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平桥区商务局为区政府直属行政单位，内设办公室、招商管理股、外商投资服务股、市场建设运行和消费促进股、对外贸易股、电子商务股等，下辖财政全供事业单位平桥区商务稽查大队和商业集团公司（属原商业局一个机构、两块牌子）、世贸管理中心、物流管理中心、煤炭稽查大队等二级机构。主要职能负责全区对外开放商贸流通、对外贸易、国际经济合作、电子商务、招商引资、市场体系建设、重要消费品市场调控、进出口管理等。</w:t>
      </w:r>
    </w:p>
    <w:p>
      <w:pPr>
        <w:ind w:firstLine="960" w:firstLineChars="200"/>
        <w:rPr>
          <w:rFonts w:ascii="隶书" w:hAnsi="隶书" w:eastAsia="隶书" w:cs="隶书"/>
          <w:sz w:val="48"/>
          <w:szCs w:val="4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主要职能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承担市政府下达给区政府的出口创汇、合同引进外资、实际利用外资目标完成和监控情况，以及招商引资、外资注册年审、物流管理、成品油管理，电子商务、及政府赋予的其他管理职能等。</w:t>
      </w:r>
    </w:p>
    <w:p>
      <w:pPr>
        <w:numPr>
          <w:ilvl w:val="0"/>
          <w:numId w:val="1"/>
        </w:numPr>
        <w:spacing w:line="360" w:lineRule="auto"/>
        <w:ind w:firstLine="640" w:firstLineChars="200"/>
        <w:jc w:val="left"/>
        <w:outlineLvl w:val="1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机构设置</w:t>
      </w:r>
    </w:p>
    <w:p>
      <w:pPr>
        <w:pStyle w:val="10"/>
        <w:spacing w:line="360" w:lineRule="auto"/>
        <w:ind w:firstLineChars="0"/>
        <w:jc w:val="left"/>
        <w:rPr>
          <w:rFonts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平桥区商务局内设：办公室、人事股、财务室、信访室、电商股、对外经济贸易股、招商项目股等。</w:t>
      </w:r>
    </w:p>
    <w:p>
      <w:pPr>
        <w:numPr>
          <w:ilvl w:val="0"/>
          <w:numId w:val="2"/>
        </w:numPr>
        <w:spacing w:line="360" w:lineRule="auto"/>
        <w:ind w:firstLine="640" w:firstLineChars="200"/>
        <w:jc w:val="left"/>
        <w:outlineLvl w:val="1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部门预算单位构成</w:t>
      </w:r>
    </w:p>
    <w:p>
      <w:pPr>
        <w:spacing w:line="360" w:lineRule="auto"/>
        <w:jc w:val="lef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纳入平桥区商务局2020年度部门预算编制范围的单位包括：</w:t>
      </w:r>
    </w:p>
    <w:p>
      <w:pPr>
        <w:spacing w:line="360" w:lineRule="auto"/>
        <w:ind w:left="640"/>
        <w:jc w:val="lef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1.商务局本级</w:t>
      </w:r>
    </w:p>
    <w:p>
      <w:pPr>
        <w:spacing w:line="360" w:lineRule="auto"/>
        <w:ind w:left="400"/>
        <w:jc w:val="left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2.商务局所属的：世贸管理服务中心</w:t>
      </w:r>
    </w:p>
    <w:p>
      <w:pPr>
        <w:ind w:firstLine="64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3.商务稽查大队（二级机构）</w:t>
      </w:r>
    </w:p>
    <w:p>
      <w:pPr>
        <w:ind w:firstLine="64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4、物流管理中心</w:t>
      </w:r>
    </w:p>
    <w:p>
      <w:pPr>
        <w:pStyle w:val="10"/>
        <w:spacing w:line="360" w:lineRule="auto"/>
        <w:ind w:firstLineChars="0"/>
        <w:jc w:val="left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jc w:val="left"/>
        <w:rPr>
          <w:rFonts w:ascii="仿宋_GB2312" w:hAnsi="Times New Roman" w:eastAsia="仿宋_GB2312" w:cs="仿宋_GB2312"/>
          <w:kern w:val="0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0"/>
          <w:sz w:val="32"/>
          <w:szCs w:val="32"/>
        </w:rPr>
        <w:t xml:space="preserve">    </w:t>
      </w:r>
    </w:p>
    <w:p>
      <w:pPr>
        <w:adjustRightInd w:val="0"/>
        <w:snapToGrid w:val="0"/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Times New Roman" w:eastAsia="黑体" w:cs="黑体"/>
          <w:spacing w:val="-38"/>
          <w:sz w:val="32"/>
          <w:szCs w:val="32"/>
        </w:rPr>
      </w:pPr>
      <w:r>
        <w:rPr>
          <w:rFonts w:hint="eastAsia" w:ascii="黑体" w:hAnsi="Times New Roman" w:eastAsia="黑体" w:cs="黑体"/>
          <w:sz w:val="32"/>
          <w:szCs w:val="32"/>
        </w:rPr>
        <w:t>第二部分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河南省信阳市平桥区商务局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Times New Roman" w:eastAsia="黑体" w:cs="黑体"/>
          <w:sz w:val="32"/>
          <w:szCs w:val="32"/>
        </w:rPr>
        <w:t>20</w:t>
      </w:r>
      <w:r>
        <w:rPr>
          <w:rFonts w:hint="eastAsia" w:ascii="黑体" w:hAnsi="Times New Roman" w:eastAsia="黑体" w:cs="黑体"/>
          <w:sz w:val="32"/>
          <w:szCs w:val="32"/>
        </w:rPr>
        <w:t>21年度部门预算情况说明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一、收入支出预算总体情况说明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Courier New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平桥区商务局</w:t>
      </w:r>
      <w:r>
        <w:rPr>
          <w:rFonts w:hint="eastAsia" w:ascii="仿宋" w:hAnsi="仿宋" w:eastAsia="仿宋" w:cs="Courier New"/>
          <w:sz w:val="32"/>
          <w:szCs w:val="32"/>
        </w:rPr>
        <w:t>2021年收入总计</w:t>
      </w:r>
      <w:r>
        <w:rPr>
          <w:rFonts w:hint="eastAsia" w:ascii="仿宋" w:hAnsi="仿宋" w:eastAsia="仿宋"/>
          <w:sz w:val="32"/>
          <w:szCs w:val="32"/>
        </w:rPr>
        <w:t>1337.7</w:t>
      </w:r>
      <w:r>
        <w:rPr>
          <w:rFonts w:hint="eastAsia" w:ascii="仿宋" w:hAnsi="仿宋" w:eastAsia="仿宋" w:cs="Courier New"/>
          <w:sz w:val="32"/>
          <w:szCs w:val="32"/>
        </w:rPr>
        <w:t>万元，支出总计</w:t>
      </w:r>
      <w:r>
        <w:rPr>
          <w:rFonts w:hint="eastAsia" w:ascii="仿宋" w:hAnsi="仿宋" w:eastAsia="仿宋"/>
          <w:sz w:val="32"/>
          <w:szCs w:val="32"/>
        </w:rPr>
        <w:t>1337.7</w:t>
      </w:r>
      <w:r>
        <w:rPr>
          <w:rFonts w:hint="eastAsia" w:ascii="仿宋" w:hAnsi="仿宋" w:eastAsia="仿宋" w:cs="Courier New"/>
          <w:sz w:val="32"/>
          <w:szCs w:val="32"/>
        </w:rPr>
        <w:t>万元，与2020年相比，2020年年初预算1293.46万元。与去年预算安排收入增加44.24万元，</w:t>
      </w:r>
      <w:r>
        <w:rPr>
          <w:rFonts w:hint="eastAsia" w:ascii="仿宋" w:hAnsi="仿宋" w:eastAsia="仿宋" w:cs="Courier New"/>
          <w:sz w:val="32"/>
          <w:szCs w:val="32"/>
          <w:lang w:val="en-US" w:eastAsia="zh-CN"/>
        </w:rPr>
        <w:t>增长3.42%；</w:t>
      </w:r>
      <w:r>
        <w:rPr>
          <w:rFonts w:hint="eastAsia" w:ascii="仿宋" w:hAnsi="仿宋" w:eastAsia="仿宋" w:cs="Courier New"/>
          <w:sz w:val="32"/>
          <w:szCs w:val="32"/>
        </w:rPr>
        <w:t>主要原因是专项经费出口奖励增加等。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二、收入预算总体情况说明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平桥区商务局2021年收入预算合计1337.7万元，其中一般公共预算收入1337.7万元，占比100%，包含专项经费688万元，含招商专用经费90万元，企业出口奖励598万元。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三、支出预算总体情况说明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平桥区商务局</w:t>
      </w:r>
      <w:r>
        <w:rPr>
          <w:rFonts w:hint="eastAsia" w:ascii="仿宋" w:hAnsi="仿宋" w:eastAsia="仿宋" w:cs="Courier New"/>
          <w:sz w:val="32"/>
          <w:szCs w:val="32"/>
        </w:rPr>
        <w:t>2021年支出预算合计</w:t>
      </w:r>
      <w:r>
        <w:rPr>
          <w:rFonts w:hint="eastAsia" w:ascii="仿宋" w:hAnsi="仿宋" w:eastAsia="仿宋"/>
          <w:sz w:val="32"/>
          <w:szCs w:val="32"/>
        </w:rPr>
        <w:t>1337.7</w:t>
      </w:r>
      <w:r>
        <w:rPr>
          <w:rFonts w:hint="eastAsia" w:ascii="仿宋" w:hAnsi="仿宋" w:eastAsia="仿宋" w:cs="Courier New"/>
          <w:sz w:val="32"/>
          <w:szCs w:val="32"/>
        </w:rPr>
        <w:t>万元，其中：基本支出649.7万元，占比48.56%；专项经费支出688万元，占比51.44%。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四、财政拨款收入支出预算总体情况说明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平桥区商务局</w:t>
      </w:r>
      <w:r>
        <w:rPr>
          <w:rFonts w:ascii="仿宋" w:hAnsi="仿宋" w:eastAsia="仿宋" w:cs="Courier New"/>
          <w:sz w:val="32"/>
          <w:szCs w:val="32"/>
        </w:rPr>
        <w:t>20</w:t>
      </w:r>
      <w:r>
        <w:rPr>
          <w:rFonts w:hint="eastAsia" w:ascii="仿宋" w:hAnsi="仿宋" w:eastAsia="仿宋" w:cs="Courier New"/>
          <w:sz w:val="32"/>
          <w:szCs w:val="32"/>
        </w:rPr>
        <w:t>21年财政拨款收支预算</w:t>
      </w:r>
      <w:r>
        <w:rPr>
          <w:rFonts w:hint="eastAsia" w:ascii="仿宋" w:hAnsi="仿宋" w:eastAsia="仿宋"/>
          <w:sz w:val="32"/>
          <w:szCs w:val="32"/>
        </w:rPr>
        <w:t>1337.7</w:t>
      </w:r>
      <w:r>
        <w:rPr>
          <w:rFonts w:hint="eastAsia" w:ascii="仿宋" w:hAnsi="仿宋" w:eastAsia="仿宋" w:cs="Courier New"/>
          <w:sz w:val="32"/>
          <w:szCs w:val="32"/>
        </w:rPr>
        <w:t>万元，与2020年相比，收、支总计均增加44.24万元，增加3.42%，主要原因是专项经费出口奖励增加等。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五、一般公共预算支出预算情况说明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平桥区商务局</w:t>
      </w:r>
      <w:r>
        <w:rPr>
          <w:rFonts w:ascii="仿宋" w:hAnsi="仿宋" w:eastAsia="仿宋" w:cs="Courier New"/>
          <w:sz w:val="32"/>
          <w:szCs w:val="32"/>
        </w:rPr>
        <w:t>20</w:t>
      </w:r>
      <w:r>
        <w:rPr>
          <w:rFonts w:hint="eastAsia" w:ascii="仿宋" w:hAnsi="仿宋" w:eastAsia="仿宋" w:cs="Courier New"/>
          <w:sz w:val="32"/>
          <w:szCs w:val="32"/>
        </w:rPr>
        <w:t>21年一般公共预算支出年初预算</w:t>
      </w:r>
      <w:r>
        <w:rPr>
          <w:rFonts w:hint="eastAsia" w:ascii="仿宋" w:hAnsi="仿宋" w:eastAsia="仿宋"/>
          <w:sz w:val="32"/>
          <w:szCs w:val="32"/>
        </w:rPr>
        <w:t>1337.7</w:t>
      </w:r>
      <w:r>
        <w:rPr>
          <w:rFonts w:hint="eastAsia" w:ascii="仿宋" w:hAnsi="仿宋" w:eastAsia="仿宋" w:cs="Courier New"/>
          <w:sz w:val="32"/>
          <w:szCs w:val="32"/>
        </w:rPr>
        <w:t>万元,其中：基本支出649.7万元</w:t>
      </w:r>
      <w:r>
        <w:rPr>
          <w:rFonts w:ascii="仿宋" w:hAnsi="仿宋" w:eastAsia="仿宋" w:cs="Courier New"/>
          <w:sz w:val="32"/>
          <w:szCs w:val="32"/>
        </w:rPr>
        <w:t>，占</w:t>
      </w:r>
      <w:r>
        <w:rPr>
          <w:rFonts w:hint="eastAsia" w:ascii="仿宋" w:hAnsi="仿宋" w:eastAsia="仿宋" w:cs="Courier New"/>
          <w:sz w:val="32"/>
          <w:szCs w:val="32"/>
        </w:rPr>
        <w:t>48.56</w:t>
      </w:r>
      <w:r>
        <w:rPr>
          <w:rFonts w:ascii="仿宋" w:hAnsi="仿宋" w:eastAsia="仿宋" w:cs="Courier New"/>
          <w:sz w:val="32"/>
          <w:szCs w:val="32"/>
        </w:rPr>
        <w:t>%</w:t>
      </w:r>
      <w:r>
        <w:rPr>
          <w:rFonts w:hint="eastAsia" w:ascii="仿宋" w:hAnsi="仿宋" w:eastAsia="仿宋" w:cs="Courier New"/>
          <w:sz w:val="32"/>
          <w:szCs w:val="32"/>
        </w:rPr>
        <w:t>，主要用于</w:t>
      </w:r>
      <w:r>
        <w:rPr>
          <w:rFonts w:ascii="仿宋" w:hAnsi="仿宋" w:eastAsia="仿宋" w:cs="Courier New"/>
          <w:sz w:val="32"/>
          <w:szCs w:val="32"/>
        </w:rPr>
        <w:t>：</w:t>
      </w:r>
      <w:r>
        <w:rPr>
          <w:rFonts w:hint="eastAsia" w:ascii="仿宋" w:hAnsi="仿宋" w:eastAsia="仿宋" w:cs="Courier New"/>
          <w:sz w:val="32"/>
          <w:szCs w:val="32"/>
        </w:rPr>
        <w:t>基本工资支出256.67万元，津补贴或绩效工资112.88万元，医疗保险缴费30.88万元，养老保险缴费59.53万元；离休经费2.56万元，遗属定补3.88万元，住房公积金44.65万元，在职人员公用经费16.75万元，教育经费5.58万元，福利经费8.19万元，工会经费1.43万元，物业补贴14.57万元，通信补贴6.4万元，工伤保险0.73万元，公务员车补38.15万元，市级文明奖45.36万元；专项经费688万元，占51.44</w:t>
      </w:r>
      <w:r>
        <w:rPr>
          <w:rFonts w:ascii="仿宋" w:hAnsi="仿宋" w:eastAsia="仿宋" w:cs="Courier New"/>
          <w:sz w:val="32"/>
          <w:szCs w:val="32"/>
        </w:rPr>
        <w:t>%</w:t>
      </w:r>
      <w:r>
        <w:rPr>
          <w:rFonts w:hint="eastAsia" w:ascii="仿宋" w:hAnsi="仿宋" w:eastAsia="仿宋" w:cs="Courier New"/>
          <w:sz w:val="32"/>
          <w:szCs w:val="32"/>
        </w:rPr>
        <w:t>，主要用于专项经费出口奖励。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六、一般公共预算基本支出预算情况说明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平桥区商务局</w:t>
      </w:r>
      <w:r>
        <w:rPr>
          <w:rFonts w:ascii="仿宋" w:hAnsi="仿宋" w:eastAsia="仿宋" w:cs="Courier New"/>
          <w:sz w:val="32"/>
          <w:szCs w:val="32"/>
        </w:rPr>
        <w:t>20</w:t>
      </w:r>
      <w:r>
        <w:rPr>
          <w:rFonts w:hint="eastAsia" w:ascii="仿宋" w:hAnsi="仿宋" w:eastAsia="仿宋" w:cs="Courier New"/>
          <w:sz w:val="32"/>
          <w:szCs w:val="32"/>
        </w:rPr>
        <w:t>21年一般公共预算基本支出</w:t>
      </w:r>
      <w:r>
        <w:rPr>
          <w:rFonts w:hint="eastAsia" w:ascii="仿宋" w:hAnsi="仿宋" w:eastAsia="仿宋"/>
          <w:sz w:val="32"/>
          <w:szCs w:val="32"/>
        </w:rPr>
        <w:t>649.7</w:t>
      </w:r>
      <w:r>
        <w:rPr>
          <w:rFonts w:hint="eastAsia" w:ascii="仿宋" w:hAnsi="仿宋" w:eastAsia="仿宋" w:cs="Courier New"/>
          <w:sz w:val="32"/>
          <w:szCs w:val="32"/>
        </w:rPr>
        <w:t>万元，其中：</w:t>
      </w:r>
      <w:r>
        <w:rPr>
          <w:rFonts w:hint="eastAsia" w:ascii="仿宋" w:hAnsi="仿宋" w:eastAsia="仿宋" w:cs="仿宋_GB2312"/>
          <w:b/>
          <w:spacing w:val="-1"/>
          <w:kern w:val="0"/>
          <w:sz w:val="32"/>
          <w:szCs w:val="32"/>
        </w:rPr>
        <w:t>工资福利支出</w:t>
      </w:r>
      <w:r>
        <w:rPr>
          <w:rFonts w:hint="eastAsia" w:ascii="仿宋" w:hAnsi="仿宋" w:eastAsia="仿宋"/>
          <w:sz w:val="32"/>
          <w:szCs w:val="32"/>
        </w:rPr>
        <w:t>567.52</w:t>
      </w:r>
      <w:r>
        <w:rPr>
          <w:rFonts w:hint="eastAsia" w:ascii="仿宋" w:hAnsi="仿宋" w:eastAsia="仿宋" w:cs="Courier New"/>
          <w:sz w:val="32"/>
          <w:szCs w:val="32"/>
        </w:rPr>
        <w:t>万元，主要包括：基本工资、津贴补贴、奖金、社会保障缴费、伙食补助费、绩效工资、其他工资福利支出、离休费、退休费、退职（役）费、抚恤金、生活补助、</w:t>
      </w:r>
      <w:r>
        <w:rPr>
          <w:rFonts w:ascii="仿宋" w:hAnsi="仿宋" w:eastAsia="仿宋" w:cs="Courier New"/>
          <w:sz w:val="32"/>
          <w:szCs w:val="32"/>
        </w:rPr>
        <w:t xml:space="preserve"> </w:t>
      </w:r>
      <w:r>
        <w:rPr>
          <w:rFonts w:hint="eastAsia" w:ascii="仿宋" w:hAnsi="仿宋" w:eastAsia="仿宋" w:cs="Courier New"/>
          <w:sz w:val="32"/>
          <w:szCs w:val="32"/>
        </w:rPr>
        <w:t>医疗费、助学金、奖励金、住房公积金、提租补贴、购房补贴等；</w:t>
      </w:r>
      <w:r>
        <w:rPr>
          <w:rFonts w:hint="eastAsia" w:ascii="仿宋" w:hAnsi="仿宋" w:eastAsia="仿宋" w:cs="仿宋_GB2312"/>
          <w:b/>
          <w:spacing w:val="-1"/>
          <w:kern w:val="0"/>
          <w:sz w:val="32"/>
          <w:szCs w:val="32"/>
        </w:rPr>
        <w:t>商品和服务支出76.33</w:t>
      </w:r>
      <w:r>
        <w:rPr>
          <w:rFonts w:hint="eastAsia" w:ascii="仿宋" w:hAnsi="仿宋" w:eastAsia="仿宋" w:cs="Courier New"/>
          <w:sz w:val="32"/>
          <w:szCs w:val="32"/>
        </w:rPr>
        <w:t>万元，主要包括：办公费、印刷费、咨询费、手续费、水费、电费、邮电费、取暖费、物业管理费、差旅费、维</w:t>
      </w:r>
      <w:r>
        <w:rPr>
          <w:rFonts w:ascii="仿宋" w:hAnsi="仿宋" w:eastAsia="仿宋" w:cs="Courier New"/>
          <w:sz w:val="32"/>
          <w:szCs w:val="32"/>
        </w:rPr>
        <w:t xml:space="preserve"> </w:t>
      </w:r>
      <w:r>
        <w:rPr>
          <w:rFonts w:hint="eastAsia" w:ascii="仿宋" w:hAnsi="仿宋" w:eastAsia="仿宋" w:cs="Courier New"/>
          <w:sz w:val="32"/>
          <w:szCs w:val="32"/>
        </w:rPr>
        <w:t>修（护）费、租赁费、会议费、培训费、公务接待费、专用材料费、劳务费、委托业务费、工会经费、福利费、其他交通费用、税金及附加费用、其他商品和服务支出、办公设备购置、专用设备购置、大型修缮、信息网络及软件购置更新、其他资本性支出；</w:t>
      </w:r>
      <w:r>
        <w:rPr>
          <w:rFonts w:hint="eastAsia" w:ascii="仿宋" w:hAnsi="仿宋" w:eastAsia="仿宋" w:cs="Courier New"/>
          <w:b/>
          <w:sz w:val="32"/>
          <w:szCs w:val="32"/>
        </w:rPr>
        <w:t>对个人和家庭的补助</w:t>
      </w:r>
      <w:r>
        <w:rPr>
          <w:rFonts w:hint="eastAsia" w:ascii="仿宋" w:hAnsi="仿宋" w:eastAsia="仿宋" w:cs="Courier New"/>
          <w:sz w:val="32"/>
          <w:szCs w:val="32"/>
        </w:rPr>
        <w:t>5.85万元，主要包括遗属定补和离休人员经费等支出。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ascii="黑体" w:hAnsi="Times New Roman" w:eastAsia="黑体" w:cs="黑体"/>
          <w:kern w:val="0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政府性基金预算支出情况说明</w:t>
      </w:r>
    </w:p>
    <w:p>
      <w:pPr>
        <w:spacing w:line="560" w:lineRule="exact"/>
        <w:ind w:firstLine="640" w:firstLineChars="200"/>
        <w:rPr>
          <w:rFonts w:ascii="仿宋" w:hAnsi="仿宋" w:eastAsia="仿宋" w:cs="黑体"/>
          <w:kern w:val="0"/>
          <w:sz w:val="32"/>
          <w:szCs w:val="32"/>
        </w:rPr>
      </w:pPr>
      <w:r>
        <w:rPr>
          <w:rFonts w:hint="eastAsia" w:ascii="仿宋" w:hAnsi="仿宋" w:eastAsia="仿宋" w:cs="黑体"/>
          <w:kern w:val="0"/>
          <w:sz w:val="32"/>
          <w:szCs w:val="32"/>
        </w:rPr>
        <w:t>我单位未安排政府性基金相关支出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黑体"/>
          <w:kern w:val="0"/>
          <w:sz w:val="32"/>
          <w:szCs w:val="32"/>
        </w:rPr>
        <w:t>八、“三公”经费支出预算及增减情况变化等说明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36" w:firstLineChars="200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黑体"/>
          <w:spacing w:val="-1"/>
          <w:kern w:val="0"/>
          <w:sz w:val="32"/>
          <w:szCs w:val="32"/>
        </w:rPr>
        <w:t>商务局无保留公务车辆，没有公车购置费和运行维护费，没有安排因公出境、出国经费，仅有公务接待费</w:t>
      </w:r>
      <w:r>
        <w:rPr>
          <w:rFonts w:hint="eastAsia" w:ascii="仿宋" w:hAnsi="仿宋" w:eastAsia="仿宋" w:cs="黑体"/>
          <w:spacing w:val="-1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黑体"/>
          <w:spacing w:val="-1"/>
          <w:kern w:val="0"/>
          <w:sz w:val="32"/>
          <w:szCs w:val="32"/>
        </w:rPr>
        <w:t>万元,与上年相比持平。严格落实党中央、国务院关于过紧日子要求，大力压缩一般性支出。</w:t>
      </w:r>
      <w:r>
        <w:rPr>
          <w:rFonts w:ascii="仿宋" w:hAnsi="仿宋" w:eastAsia="仿宋" w:cs="Arial"/>
          <w:sz w:val="32"/>
          <w:szCs w:val="32"/>
        </w:rPr>
        <w:t>具体支出情况如下：</w:t>
      </w:r>
    </w:p>
    <w:p>
      <w:pPr>
        <w:pStyle w:val="4"/>
        <w:spacing w:line="360" w:lineRule="auto"/>
        <w:rPr>
          <w:rFonts w:ascii="仿宋" w:hAnsi="仿宋" w:eastAsia="仿宋" w:cs="Arial"/>
          <w:sz w:val="32"/>
          <w:szCs w:val="32"/>
        </w:rPr>
      </w:pPr>
      <w:r>
        <w:rPr>
          <w:rFonts w:ascii="仿宋" w:hAnsi="仿宋" w:eastAsia="仿宋" w:cs="Arial"/>
          <w:sz w:val="32"/>
          <w:szCs w:val="32"/>
        </w:rPr>
        <w:t>　　(一)因公出国(境)费</w:t>
      </w:r>
      <w:r>
        <w:rPr>
          <w:rFonts w:hint="eastAsia" w:ascii="仿宋" w:hAnsi="仿宋" w:eastAsia="仿宋" w:cs="Arial"/>
          <w:sz w:val="32"/>
          <w:szCs w:val="32"/>
        </w:rPr>
        <w:t>0</w:t>
      </w:r>
      <w:r>
        <w:rPr>
          <w:rFonts w:ascii="仿宋" w:hAnsi="仿宋" w:eastAsia="仿宋" w:cs="Arial"/>
          <w:sz w:val="32"/>
          <w:szCs w:val="32"/>
        </w:rPr>
        <w:t>万元，预算数比20</w:t>
      </w:r>
      <w:r>
        <w:rPr>
          <w:rFonts w:hint="eastAsia" w:ascii="仿宋" w:hAnsi="仿宋" w:eastAsia="仿宋" w:cs="Arial"/>
          <w:sz w:val="32"/>
          <w:szCs w:val="32"/>
        </w:rPr>
        <w:t>20</w:t>
      </w:r>
      <w:r>
        <w:rPr>
          <w:rFonts w:ascii="仿宋" w:hAnsi="仿宋" w:eastAsia="仿宋" w:cs="Arial"/>
          <w:sz w:val="32"/>
          <w:szCs w:val="32"/>
        </w:rPr>
        <w:t>年无</w:t>
      </w:r>
      <w:r>
        <w:rPr>
          <w:rFonts w:hint="eastAsia" w:ascii="仿宋" w:hAnsi="仿宋" w:eastAsia="仿宋" w:cs="Arial"/>
          <w:sz w:val="32"/>
          <w:szCs w:val="32"/>
        </w:rPr>
        <w:t>增减变动</w:t>
      </w:r>
      <w:r>
        <w:rPr>
          <w:rFonts w:ascii="仿宋" w:hAnsi="仿宋" w:eastAsia="仿宋" w:cs="Arial"/>
          <w:sz w:val="32"/>
          <w:szCs w:val="32"/>
        </w:rPr>
        <w:t>。</w:t>
      </w:r>
    </w:p>
    <w:p>
      <w:pPr>
        <w:pStyle w:val="4"/>
        <w:spacing w:line="360" w:lineRule="auto"/>
        <w:ind w:firstLine="640"/>
        <w:rPr>
          <w:rFonts w:ascii="仿宋" w:hAnsi="仿宋" w:eastAsia="仿宋" w:cs="Arial"/>
          <w:sz w:val="32"/>
          <w:szCs w:val="32"/>
        </w:rPr>
      </w:pPr>
      <w:r>
        <w:rPr>
          <w:rFonts w:ascii="仿宋" w:hAnsi="仿宋" w:eastAsia="仿宋" w:cs="Arial"/>
          <w:sz w:val="32"/>
          <w:szCs w:val="32"/>
        </w:rPr>
        <w:t>(二)公务用车购置及运行费</w:t>
      </w:r>
      <w:r>
        <w:rPr>
          <w:rFonts w:hint="eastAsia" w:ascii="仿宋" w:hAnsi="仿宋" w:eastAsia="仿宋" w:cs="Arial"/>
          <w:sz w:val="32"/>
          <w:szCs w:val="32"/>
        </w:rPr>
        <w:t>0</w:t>
      </w:r>
      <w:r>
        <w:rPr>
          <w:rFonts w:ascii="仿宋" w:hAnsi="仿宋" w:eastAsia="仿宋" w:cs="Arial"/>
          <w:sz w:val="32"/>
          <w:szCs w:val="32"/>
        </w:rPr>
        <w:t>万元，其中，公务用车购置费</w:t>
      </w:r>
      <w:r>
        <w:rPr>
          <w:rFonts w:hint="eastAsia" w:ascii="仿宋" w:hAnsi="仿宋" w:eastAsia="仿宋" w:cs="Arial"/>
          <w:sz w:val="32"/>
          <w:szCs w:val="32"/>
        </w:rPr>
        <w:t>0</w:t>
      </w:r>
      <w:r>
        <w:rPr>
          <w:rFonts w:ascii="仿宋" w:hAnsi="仿宋" w:eastAsia="仿宋" w:cs="Arial"/>
          <w:sz w:val="32"/>
          <w:szCs w:val="32"/>
        </w:rPr>
        <w:t>万元</w:t>
      </w:r>
      <w:r>
        <w:rPr>
          <w:rFonts w:hint="eastAsia" w:ascii="仿宋" w:hAnsi="仿宋" w:eastAsia="仿宋" w:cs="Arial"/>
          <w:sz w:val="32"/>
          <w:szCs w:val="32"/>
        </w:rPr>
        <w:t>，公务用车运行维护费0万元</w:t>
      </w:r>
      <w:r>
        <w:rPr>
          <w:rFonts w:hint="eastAsia" w:ascii="仿宋" w:hAnsi="仿宋" w:eastAsia="仿宋" w:cs="黑体"/>
          <w:spacing w:val="-1"/>
          <w:sz w:val="32"/>
          <w:szCs w:val="32"/>
        </w:rPr>
        <w:t>,与上年持平。</w:t>
      </w:r>
    </w:p>
    <w:p>
      <w:pPr>
        <w:pStyle w:val="4"/>
        <w:spacing w:line="360" w:lineRule="auto"/>
        <w:ind w:firstLine="320" w:firstLineChars="100"/>
        <w:rPr>
          <w:rFonts w:ascii="仿宋" w:hAnsi="仿宋" w:eastAsia="仿宋" w:cs="仿宋_GB2312"/>
          <w:sz w:val="32"/>
          <w:szCs w:val="32"/>
        </w:rPr>
      </w:pPr>
      <w:r>
        <w:rPr>
          <w:rFonts w:ascii="仿宋" w:hAnsi="仿宋" w:eastAsia="仿宋" w:cs="Arial"/>
          <w:sz w:val="32"/>
          <w:szCs w:val="32"/>
        </w:rPr>
        <w:t>　(三)公务接待费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5</w:t>
      </w:r>
      <w:r>
        <w:rPr>
          <w:rFonts w:ascii="仿宋" w:hAnsi="仿宋" w:eastAsia="仿宋" w:cs="Arial"/>
          <w:sz w:val="32"/>
          <w:szCs w:val="32"/>
        </w:rPr>
        <w:t>万元，</w:t>
      </w:r>
      <w:r>
        <w:rPr>
          <w:rFonts w:hint="eastAsia" w:ascii="仿宋" w:hAnsi="仿宋" w:eastAsia="仿宋" w:cs="黑体"/>
          <w:spacing w:val="-1"/>
          <w:sz w:val="32"/>
          <w:szCs w:val="32"/>
        </w:rPr>
        <w:t>与上年相比持平，原因是严格落实党中央、国务院关于过紧日子要求，大力压缩一般性支出。</w:t>
      </w:r>
    </w:p>
    <w:p>
      <w:pPr>
        <w:pStyle w:val="4"/>
        <w:spacing w:line="360" w:lineRule="auto"/>
        <w:ind w:firstLine="640" w:firstLineChars="200"/>
        <w:rPr>
          <w:rFonts w:ascii="黑体" w:hAnsi="黑体" w:eastAsia="黑体" w:cs="Arial"/>
          <w:b/>
          <w:color w:val="000000"/>
          <w:sz w:val="32"/>
          <w:szCs w:val="32"/>
        </w:rPr>
      </w:pPr>
      <w:r>
        <w:rPr>
          <w:rStyle w:val="7"/>
          <w:rFonts w:hint="eastAsia" w:ascii="黑体" w:hAnsi="黑体" w:eastAsia="黑体" w:cs="Arial"/>
          <w:b w:val="0"/>
          <w:color w:val="000000"/>
          <w:sz w:val="32"/>
          <w:szCs w:val="32"/>
        </w:rPr>
        <w:t>九</w:t>
      </w:r>
      <w:r>
        <w:rPr>
          <w:rStyle w:val="7"/>
          <w:rFonts w:ascii="黑体" w:hAnsi="黑体" w:eastAsia="黑体" w:cs="Arial"/>
          <w:b w:val="0"/>
          <w:color w:val="000000"/>
          <w:sz w:val="32"/>
          <w:szCs w:val="32"/>
        </w:rPr>
        <w:t>、支出预算经济分类情况说明</w:t>
      </w:r>
    </w:p>
    <w:p>
      <w:pPr>
        <w:pStyle w:val="4"/>
        <w:spacing w:line="360" w:lineRule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ascii="ˎ̥" w:hAnsi="ˎ̥" w:cs="Arial"/>
          <w:color w:val="000000"/>
        </w:rPr>
        <w:t>　　</w:t>
      </w:r>
      <w:r>
        <w:rPr>
          <w:rFonts w:hint="eastAsia" w:ascii="ˎ̥" w:hAnsi="ˎ̥" w:cs="Arial"/>
          <w:color w:val="000000"/>
        </w:rPr>
        <w:t xml:space="preserve">  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按照《财政部关于印发&lt;支出经济分类科目改革方案&gt;的通知》(财预〔2017〕98号)要求，从2018年起全面实施支出经济分类科目改革，根据政府预算管理和部门预算管理的不同特点，分设部门预算支出经济分类科目和政府预算支出经济分类科目，两套科目之间保持对应关系。为适应改革要求，我单位《支出经济分类汇总表》由仅反映一般公共预算基本支出经济分类科目预算，调整为按两套经济分类科目分别反映不同资金来源的全部预算支出。</w:t>
      </w:r>
    </w:p>
    <w:p>
      <w:pPr>
        <w:pStyle w:val="4"/>
        <w:spacing w:line="360" w:lineRule="auto"/>
        <w:ind w:firstLine="627" w:firstLineChars="196"/>
        <w:rPr>
          <w:rFonts w:ascii="黑体" w:hAnsi="黑体" w:eastAsia="黑体" w:cs="Arial"/>
          <w:b/>
          <w:color w:val="000000"/>
          <w:sz w:val="32"/>
          <w:szCs w:val="32"/>
        </w:rPr>
      </w:pPr>
      <w:r>
        <w:rPr>
          <w:rStyle w:val="7"/>
          <w:rFonts w:hint="eastAsia" w:ascii="黑体" w:hAnsi="黑体" w:eastAsia="黑体" w:cs="Arial"/>
          <w:b w:val="0"/>
          <w:color w:val="000000"/>
          <w:sz w:val="32"/>
          <w:szCs w:val="32"/>
        </w:rPr>
        <w:t>十、其他重要事项的情况说明</w:t>
      </w:r>
    </w:p>
    <w:p>
      <w:pPr>
        <w:pStyle w:val="4"/>
        <w:spacing w:line="360" w:lineRule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　(一)机关运行经费支出情况</w:t>
      </w:r>
    </w:p>
    <w:p>
      <w:pPr>
        <w:pStyle w:val="4"/>
        <w:spacing w:line="360" w:lineRule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　　平桥区商务局2021年机关运行经费支出预算</w:t>
      </w:r>
      <w:r>
        <w:rPr>
          <w:rFonts w:hint="eastAsia" w:ascii="仿宋" w:hAnsi="仿宋" w:eastAsia="仿宋" w:cs="Arial"/>
          <w:color w:val="000000"/>
          <w:sz w:val="32"/>
          <w:szCs w:val="32"/>
          <w:lang w:val="en-US" w:eastAsia="zh-CN"/>
        </w:rPr>
        <w:t>76.33</w:t>
      </w:r>
      <w:bookmarkStart w:id="0" w:name="_GoBack"/>
      <w:bookmarkEnd w:id="0"/>
      <w:r>
        <w:rPr>
          <w:rFonts w:hint="eastAsia" w:ascii="仿宋" w:hAnsi="仿宋" w:eastAsia="仿宋" w:cs="Arial"/>
          <w:color w:val="000000"/>
          <w:sz w:val="32"/>
          <w:szCs w:val="32"/>
        </w:rPr>
        <w:t>万元，主要保障机关人员、及事业单位机构正常运转及正常履职需要。</w:t>
      </w:r>
    </w:p>
    <w:p>
      <w:pPr>
        <w:pStyle w:val="4"/>
        <w:spacing w:line="360" w:lineRule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　　(二)政府采购支出情况</w:t>
      </w:r>
    </w:p>
    <w:p>
      <w:pPr>
        <w:pStyle w:val="4"/>
        <w:spacing w:line="360" w:lineRule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　　2021年政府采购预算我单位没有政府采购项目，政府采购预算安排 0万元，其中：政府采购货物预算0万元、政府采购工程预算0万元、政府采购服务预算0万元。</w:t>
      </w:r>
    </w:p>
    <w:p>
      <w:pPr>
        <w:pStyle w:val="4"/>
        <w:spacing w:line="360" w:lineRule="auto"/>
        <w:ind w:firstLine="645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(三)关于预算绩效管理工作开展及重点项目预算绩效目标设置情况说明</w:t>
      </w:r>
    </w:p>
    <w:p>
      <w:pPr>
        <w:pStyle w:val="4"/>
        <w:spacing w:line="360" w:lineRule="auto"/>
        <w:ind w:firstLine="640" w:firstLineChars="200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" w:hAnsi="仿宋" w:eastAsia="仿宋" w:cs="Arial"/>
          <w:color w:val="000000"/>
          <w:sz w:val="32"/>
          <w:szCs w:val="32"/>
        </w:rPr>
        <w:t>2021年，我单位拟对重点项目预算绩效目标进行编制，从项目产出、项目效益、满意度等方面完成设置，以便能够综合反映项目预期完成的数量、实效、质量，预期达到的社会经济效益、可持续影响以及服务对象满意度等情况。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(四)国有资产占用情况。</w:t>
      </w:r>
    </w:p>
    <w:p>
      <w:pPr>
        <w:pStyle w:val="4"/>
        <w:spacing w:line="360" w:lineRule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 xml:space="preserve">　  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我单位无保留公务车辆。2020年底，我单位共有公车0辆，单价50万元以上的通用设备0台（套），单位价值100万以上的专业设备0台（套）。</w:t>
      </w:r>
    </w:p>
    <w:p>
      <w:pPr>
        <w:pStyle w:val="4"/>
        <w:spacing w:line="360" w:lineRule="auto"/>
        <w:rPr>
          <w:rFonts w:ascii="仿宋_GB2312" w:hAnsi="ˎ̥" w:eastAsia="仿宋_GB2312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(五)专项转移支付项目情况</w:t>
      </w:r>
    </w:p>
    <w:p>
      <w:pPr>
        <w:pStyle w:val="4"/>
        <w:spacing w:line="360" w:lineRule="auto"/>
        <w:rPr>
          <w:rFonts w:ascii="仿宋" w:hAnsi="仿宋" w:eastAsia="仿宋" w:cs="Arial"/>
          <w:color w:val="000000"/>
          <w:sz w:val="32"/>
          <w:szCs w:val="32"/>
        </w:rPr>
      </w:pPr>
      <w:r>
        <w:rPr>
          <w:rFonts w:hint="eastAsia" w:ascii="仿宋_GB2312" w:hAnsi="ˎ̥" w:eastAsia="仿宋_GB2312" w:cs="Arial"/>
          <w:color w:val="000000"/>
          <w:sz w:val="32"/>
          <w:szCs w:val="32"/>
        </w:rPr>
        <w:t>　　</w:t>
      </w:r>
      <w:r>
        <w:rPr>
          <w:rFonts w:hint="eastAsia" w:ascii="仿宋" w:hAnsi="仿宋" w:eastAsia="仿宋" w:cs="Arial"/>
          <w:color w:val="000000"/>
          <w:sz w:val="32"/>
          <w:szCs w:val="32"/>
        </w:rPr>
        <w:t>我单位没有负责管理的专项转移支付项目。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第三部分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名词解释</w:t>
      </w:r>
    </w:p>
    <w:p>
      <w:pPr>
        <w:adjustRightInd w:val="0"/>
        <w:snapToGrid w:val="0"/>
        <w:spacing w:line="560" w:lineRule="exact"/>
        <w:jc w:val="center"/>
        <w:rPr>
          <w:rFonts w:ascii="黑体" w:hAnsi="黑体" w:eastAsia="黑体"/>
          <w:sz w:val="32"/>
          <w:szCs w:val="32"/>
        </w:rPr>
      </w:pP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一、财政拨款收入：是指省级财政当年拨付的资金。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二、事业收入：是指事业单位开展专业活动及辅助活动所取 得的收入。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 xml:space="preserve">三、其他收入：是指部门取得的除“财政拨款”、“事业收入”、“事业单位经营收入”等以外的收入。 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四、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五、基本支出：是指为保障机构正常运转、完成日常工作任务所必需的开支，其内容包括人员经费和日常公用经费两部分。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六、项目支出：是指在基本支出之外，为完成特定的行政工作任务或事业发展目标所发生的支出。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七、“三公”经费：是指纳入省级财政预算管理，部门使用财政拨款安排的因公出国（境）费、公务用车购置及运行费和公务接待费。其中，因公出国（境）费，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，反映单位按规定开支的各类公务接待（含外宾接待）支出。</w:t>
      </w:r>
    </w:p>
    <w:p>
      <w:pPr>
        <w:kinsoku w:val="0"/>
        <w:overflowPunct w:val="0"/>
        <w:autoSpaceDE w:val="0"/>
        <w:autoSpaceDN w:val="0"/>
        <w:adjustRightInd w:val="0"/>
        <w:snapToGrid w:val="0"/>
        <w:spacing w:line="560" w:lineRule="exact"/>
        <w:ind w:firstLine="640" w:firstLineChars="200"/>
        <w:rPr>
          <w:rFonts w:ascii="仿宋_GB2312" w:hAnsi="宋体" w:eastAsia="仿宋_GB2312" w:cs="Courier New"/>
          <w:sz w:val="32"/>
          <w:szCs w:val="32"/>
        </w:rPr>
      </w:pPr>
      <w:r>
        <w:rPr>
          <w:rFonts w:hint="eastAsia" w:ascii="仿宋_GB2312" w:hAnsi="宋体" w:eastAsia="仿宋_GB2312" w:cs="Courier New"/>
          <w:sz w:val="32"/>
          <w:szCs w:val="32"/>
        </w:rPr>
        <w:t>八、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</w:pPr>
    </w:p>
    <w:sectPr>
      <w:pgSz w:w="11906" w:h="16838"/>
      <w:pgMar w:top="1440" w:right="1700" w:bottom="1440" w:left="15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71BF59"/>
    <w:multiLevelType w:val="singleLevel"/>
    <w:tmpl w:val="5971BF59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  <w:lang w:val="en-US"/>
      </w:rPr>
    </w:lvl>
  </w:abstractNum>
  <w:abstractNum w:abstractNumId="1">
    <w:nsid w:val="5971C193"/>
    <w:multiLevelType w:val="singleLevel"/>
    <w:tmpl w:val="5971C193"/>
    <w:lvl w:ilvl="0" w:tentative="0">
      <w:start w:val="2"/>
      <w:numFmt w:val="chineseCounting"/>
      <w:suff w:val="nothing"/>
      <w:lvlText w:val="%1、"/>
      <w:lvlJc w:val="left"/>
    </w:lvl>
  </w:abstractNum>
  <w:abstractNum w:abstractNumId="2">
    <w:nsid w:val="5A435FF8"/>
    <w:multiLevelType w:val="singleLevel"/>
    <w:tmpl w:val="5A435FF8"/>
    <w:lvl w:ilvl="0" w:tentative="0">
      <w:start w:val="7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0NjkxNmNiZDQyYzhkYzk1ZTAyOGM5MWZlOWY0NDMifQ=="/>
  </w:docVars>
  <w:rsids>
    <w:rsidRoot w:val="000E666A"/>
    <w:rsid w:val="000056FE"/>
    <w:rsid w:val="00007CC9"/>
    <w:rsid w:val="00015F07"/>
    <w:rsid w:val="00016ADC"/>
    <w:rsid w:val="000328AD"/>
    <w:rsid w:val="0003777B"/>
    <w:rsid w:val="00044282"/>
    <w:rsid w:val="00046D83"/>
    <w:rsid w:val="00052730"/>
    <w:rsid w:val="00060437"/>
    <w:rsid w:val="00065B9E"/>
    <w:rsid w:val="000667EE"/>
    <w:rsid w:val="000830E3"/>
    <w:rsid w:val="0009107E"/>
    <w:rsid w:val="00092441"/>
    <w:rsid w:val="00093C9D"/>
    <w:rsid w:val="000A07A3"/>
    <w:rsid w:val="000A18BD"/>
    <w:rsid w:val="000A32F6"/>
    <w:rsid w:val="000A3662"/>
    <w:rsid w:val="000B2445"/>
    <w:rsid w:val="000B7D88"/>
    <w:rsid w:val="000C4CC2"/>
    <w:rsid w:val="000D025C"/>
    <w:rsid w:val="000D548C"/>
    <w:rsid w:val="000E5387"/>
    <w:rsid w:val="000E666A"/>
    <w:rsid w:val="000E6F0D"/>
    <w:rsid w:val="000F0D3B"/>
    <w:rsid w:val="000F2010"/>
    <w:rsid w:val="001003CC"/>
    <w:rsid w:val="0010654C"/>
    <w:rsid w:val="00120162"/>
    <w:rsid w:val="0012518F"/>
    <w:rsid w:val="001264BC"/>
    <w:rsid w:val="00130397"/>
    <w:rsid w:val="001316FD"/>
    <w:rsid w:val="001436AF"/>
    <w:rsid w:val="00145E1A"/>
    <w:rsid w:val="00147BEE"/>
    <w:rsid w:val="00150740"/>
    <w:rsid w:val="0016268A"/>
    <w:rsid w:val="00166082"/>
    <w:rsid w:val="00176038"/>
    <w:rsid w:val="00177B9B"/>
    <w:rsid w:val="00183264"/>
    <w:rsid w:val="001847F6"/>
    <w:rsid w:val="00196982"/>
    <w:rsid w:val="00196BEA"/>
    <w:rsid w:val="001A0485"/>
    <w:rsid w:val="001A34DC"/>
    <w:rsid w:val="001A45D6"/>
    <w:rsid w:val="001C5198"/>
    <w:rsid w:val="001C7E81"/>
    <w:rsid w:val="001D2609"/>
    <w:rsid w:val="001F24BC"/>
    <w:rsid w:val="001F64E1"/>
    <w:rsid w:val="001F657E"/>
    <w:rsid w:val="00202770"/>
    <w:rsid w:val="00202D6C"/>
    <w:rsid w:val="00203E27"/>
    <w:rsid w:val="00204E18"/>
    <w:rsid w:val="00204F67"/>
    <w:rsid w:val="0021471A"/>
    <w:rsid w:val="002155E6"/>
    <w:rsid w:val="00220C97"/>
    <w:rsid w:val="002213D7"/>
    <w:rsid w:val="00230456"/>
    <w:rsid w:val="00234B32"/>
    <w:rsid w:val="00242997"/>
    <w:rsid w:val="00251DE8"/>
    <w:rsid w:val="00254A2A"/>
    <w:rsid w:val="00257C27"/>
    <w:rsid w:val="002601F3"/>
    <w:rsid w:val="00267739"/>
    <w:rsid w:val="002B0E36"/>
    <w:rsid w:val="002B612E"/>
    <w:rsid w:val="002B6EF4"/>
    <w:rsid w:val="002B7F7A"/>
    <w:rsid w:val="002C14D9"/>
    <w:rsid w:val="002E0122"/>
    <w:rsid w:val="002E27DE"/>
    <w:rsid w:val="002E3628"/>
    <w:rsid w:val="002E5C55"/>
    <w:rsid w:val="002E5EBE"/>
    <w:rsid w:val="002E734F"/>
    <w:rsid w:val="002F1A34"/>
    <w:rsid w:val="002F53CC"/>
    <w:rsid w:val="002F6CC2"/>
    <w:rsid w:val="0032045B"/>
    <w:rsid w:val="00320FEA"/>
    <w:rsid w:val="00322C06"/>
    <w:rsid w:val="00325628"/>
    <w:rsid w:val="003258AB"/>
    <w:rsid w:val="00327A9A"/>
    <w:rsid w:val="00327ADF"/>
    <w:rsid w:val="00334FC1"/>
    <w:rsid w:val="0034481A"/>
    <w:rsid w:val="003462A3"/>
    <w:rsid w:val="00352AD6"/>
    <w:rsid w:val="00356056"/>
    <w:rsid w:val="00360B9D"/>
    <w:rsid w:val="003615E5"/>
    <w:rsid w:val="00361A66"/>
    <w:rsid w:val="00374335"/>
    <w:rsid w:val="003761B9"/>
    <w:rsid w:val="00396110"/>
    <w:rsid w:val="003B03A0"/>
    <w:rsid w:val="003B5AD6"/>
    <w:rsid w:val="003B6DF2"/>
    <w:rsid w:val="003C5AF1"/>
    <w:rsid w:val="003D5305"/>
    <w:rsid w:val="003E06DB"/>
    <w:rsid w:val="003E0F53"/>
    <w:rsid w:val="003E4F75"/>
    <w:rsid w:val="003F044F"/>
    <w:rsid w:val="00400480"/>
    <w:rsid w:val="00400EC6"/>
    <w:rsid w:val="00406F48"/>
    <w:rsid w:val="004078CB"/>
    <w:rsid w:val="004119E0"/>
    <w:rsid w:val="00412DEE"/>
    <w:rsid w:val="00414D58"/>
    <w:rsid w:val="00423E21"/>
    <w:rsid w:val="00424DB3"/>
    <w:rsid w:val="00425DE7"/>
    <w:rsid w:val="0042656D"/>
    <w:rsid w:val="004408A6"/>
    <w:rsid w:val="0044576C"/>
    <w:rsid w:val="004526EA"/>
    <w:rsid w:val="0045307E"/>
    <w:rsid w:val="004566F7"/>
    <w:rsid w:val="00460D67"/>
    <w:rsid w:val="0046532A"/>
    <w:rsid w:val="00470B16"/>
    <w:rsid w:val="00470E9E"/>
    <w:rsid w:val="004738EF"/>
    <w:rsid w:val="00475E1B"/>
    <w:rsid w:val="00477172"/>
    <w:rsid w:val="004842B6"/>
    <w:rsid w:val="004842D5"/>
    <w:rsid w:val="00490C3B"/>
    <w:rsid w:val="004A15DD"/>
    <w:rsid w:val="004A185C"/>
    <w:rsid w:val="004A2735"/>
    <w:rsid w:val="004B1080"/>
    <w:rsid w:val="004C0B6C"/>
    <w:rsid w:val="004C3AD6"/>
    <w:rsid w:val="004C7BA0"/>
    <w:rsid w:val="004D069E"/>
    <w:rsid w:val="004D0CCC"/>
    <w:rsid w:val="004E5560"/>
    <w:rsid w:val="004F460E"/>
    <w:rsid w:val="0050087E"/>
    <w:rsid w:val="00504D4A"/>
    <w:rsid w:val="005271CC"/>
    <w:rsid w:val="00530C66"/>
    <w:rsid w:val="00540B6A"/>
    <w:rsid w:val="00542462"/>
    <w:rsid w:val="005433FC"/>
    <w:rsid w:val="0054481E"/>
    <w:rsid w:val="00554BEE"/>
    <w:rsid w:val="00556BE7"/>
    <w:rsid w:val="00571108"/>
    <w:rsid w:val="00583C97"/>
    <w:rsid w:val="00591111"/>
    <w:rsid w:val="005930AC"/>
    <w:rsid w:val="005A41AF"/>
    <w:rsid w:val="005A7520"/>
    <w:rsid w:val="005B09E4"/>
    <w:rsid w:val="005B4803"/>
    <w:rsid w:val="005B7D64"/>
    <w:rsid w:val="005C6D7D"/>
    <w:rsid w:val="005D6F68"/>
    <w:rsid w:val="005E51C1"/>
    <w:rsid w:val="005E6CB4"/>
    <w:rsid w:val="005F0E25"/>
    <w:rsid w:val="005F36D1"/>
    <w:rsid w:val="005F7C12"/>
    <w:rsid w:val="00600AAF"/>
    <w:rsid w:val="00602A29"/>
    <w:rsid w:val="006059F4"/>
    <w:rsid w:val="00616688"/>
    <w:rsid w:val="0063500B"/>
    <w:rsid w:val="00641E96"/>
    <w:rsid w:val="00643973"/>
    <w:rsid w:val="00646934"/>
    <w:rsid w:val="006519C1"/>
    <w:rsid w:val="006533BE"/>
    <w:rsid w:val="00655CED"/>
    <w:rsid w:val="00655F9F"/>
    <w:rsid w:val="00660094"/>
    <w:rsid w:val="0066274D"/>
    <w:rsid w:val="0066604F"/>
    <w:rsid w:val="006717CE"/>
    <w:rsid w:val="006877F1"/>
    <w:rsid w:val="00691130"/>
    <w:rsid w:val="006933B5"/>
    <w:rsid w:val="006A1C28"/>
    <w:rsid w:val="006A2177"/>
    <w:rsid w:val="006B104A"/>
    <w:rsid w:val="006B23FE"/>
    <w:rsid w:val="006B4121"/>
    <w:rsid w:val="006C3AA5"/>
    <w:rsid w:val="006C4B05"/>
    <w:rsid w:val="006C6A3D"/>
    <w:rsid w:val="006C6E8C"/>
    <w:rsid w:val="006D163E"/>
    <w:rsid w:val="006D36CC"/>
    <w:rsid w:val="006F7ED2"/>
    <w:rsid w:val="00705E29"/>
    <w:rsid w:val="007131C3"/>
    <w:rsid w:val="007267F5"/>
    <w:rsid w:val="00742C70"/>
    <w:rsid w:val="0074433F"/>
    <w:rsid w:val="00754A11"/>
    <w:rsid w:val="00757588"/>
    <w:rsid w:val="00763FF6"/>
    <w:rsid w:val="007839F4"/>
    <w:rsid w:val="00792E21"/>
    <w:rsid w:val="007B66A7"/>
    <w:rsid w:val="007B748B"/>
    <w:rsid w:val="007C5790"/>
    <w:rsid w:val="007C6035"/>
    <w:rsid w:val="007D582B"/>
    <w:rsid w:val="007F0C11"/>
    <w:rsid w:val="008035D5"/>
    <w:rsid w:val="00803E72"/>
    <w:rsid w:val="00806962"/>
    <w:rsid w:val="00811491"/>
    <w:rsid w:val="00813D8B"/>
    <w:rsid w:val="00813ECE"/>
    <w:rsid w:val="00815377"/>
    <w:rsid w:val="00817547"/>
    <w:rsid w:val="00827977"/>
    <w:rsid w:val="00833376"/>
    <w:rsid w:val="008336B4"/>
    <w:rsid w:val="00836BB8"/>
    <w:rsid w:val="00837085"/>
    <w:rsid w:val="008413E1"/>
    <w:rsid w:val="008477B0"/>
    <w:rsid w:val="00850003"/>
    <w:rsid w:val="00850526"/>
    <w:rsid w:val="00862ACE"/>
    <w:rsid w:val="008662DA"/>
    <w:rsid w:val="00871827"/>
    <w:rsid w:val="00872A52"/>
    <w:rsid w:val="00876F50"/>
    <w:rsid w:val="00880C02"/>
    <w:rsid w:val="008831B0"/>
    <w:rsid w:val="008852A0"/>
    <w:rsid w:val="008854C3"/>
    <w:rsid w:val="008973D6"/>
    <w:rsid w:val="008A07E9"/>
    <w:rsid w:val="008A6827"/>
    <w:rsid w:val="008B1E1C"/>
    <w:rsid w:val="008B22A2"/>
    <w:rsid w:val="008B29FF"/>
    <w:rsid w:val="008C1726"/>
    <w:rsid w:val="008C5433"/>
    <w:rsid w:val="008D73FF"/>
    <w:rsid w:val="008F0E48"/>
    <w:rsid w:val="00900020"/>
    <w:rsid w:val="0090127A"/>
    <w:rsid w:val="00903AC2"/>
    <w:rsid w:val="00903B03"/>
    <w:rsid w:val="009053A0"/>
    <w:rsid w:val="0090741D"/>
    <w:rsid w:val="00907F29"/>
    <w:rsid w:val="009230F9"/>
    <w:rsid w:val="00923715"/>
    <w:rsid w:val="00926C5B"/>
    <w:rsid w:val="00930530"/>
    <w:rsid w:val="00932EE9"/>
    <w:rsid w:val="00942EB9"/>
    <w:rsid w:val="00947589"/>
    <w:rsid w:val="00965DD7"/>
    <w:rsid w:val="00971211"/>
    <w:rsid w:val="00972A21"/>
    <w:rsid w:val="00983CC9"/>
    <w:rsid w:val="00984BB7"/>
    <w:rsid w:val="0099008B"/>
    <w:rsid w:val="00997ABD"/>
    <w:rsid w:val="009A0180"/>
    <w:rsid w:val="009A311C"/>
    <w:rsid w:val="009A3BB3"/>
    <w:rsid w:val="009B779E"/>
    <w:rsid w:val="009C5886"/>
    <w:rsid w:val="009C79D8"/>
    <w:rsid w:val="009D06CC"/>
    <w:rsid w:val="009D2B61"/>
    <w:rsid w:val="009D6176"/>
    <w:rsid w:val="009E1751"/>
    <w:rsid w:val="009E3704"/>
    <w:rsid w:val="009E3744"/>
    <w:rsid w:val="009E5810"/>
    <w:rsid w:val="009F5003"/>
    <w:rsid w:val="00A1196B"/>
    <w:rsid w:val="00A2124E"/>
    <w:rsid w:val="00A23BB0"/>
    <w:rsid w:val="00A27A41"/>
    <w:rsid w:val="00A354EC"/>
    <w:rsid w:val="00A373A8"/>
    <w:rsid w:val="00A52BBA"/>
    <w:rsid w:val="00A632FA"/>
    <w:rsid w:val="00A702F0"/>
    <w:rsid w:val="00A70E40"/>
    <w:rsid w:val="00A75823"/>
    <w:rsid w:val="00A97F07"/>
    <w:rsid w:val="00AA4E11"/>
    <w:rsid w:val="00AB18CB"/>
    <w:rsid w:val="00AB2328"/>
    <w:rsid w:val="00AC5410"/>
    <w:rsid w:val="00AC55CA"/>
    <w:rsid w:val="00AD2EED"/>
    <w:rsid w:val="00AD5F73"/>
    <w:rsid w:val="00B01857"/>
    <w:rsid w:val="00B06D58"/>
    <w:rsid w:val="00B1453C"/>
    <w:rsid w:val="00B377C4"/>
    <w:rsid w:val="00B40914"/>
    <w:rsid w:val="00B40F74"/>
    <w:rsid w:val="00B43E66"/>
    <w:rsid w:val="00B50AE6"/>
    <w:rsid w:val="00B61181"/>
    <w:rsid w:val="00B65C21"/>
    <w:rsid w:val="00B665C0"/>
    <w:rsid w:val="00B6705E"/>
    <w:rsid w:val="00B83046"/>
    <w:rsid w:val="00B83D04"/>
    <w:rsid w:val="00B92341"/>
    <w:rsid w:val="00B932C7"/>
    <w:rsid w:val="00B95788"/>
    <w:rsid w:val="00BA38DA"/>
    <w:rsid w:val="00BA5E9A"/>
    <w:rsid w:val="00BB59DB"/>
    <w:rsid w:val="00BB6DF7"/>
    <w:rsid w:val="00BD030C"/>
    <w:rsid w:val="00BE1903"/>
    <w:rsid w:val="00BE4D35"/>
    <w:rsid w:val="00BE5282"/>
    <w:rsid w:val="00BF0F52"/>
    <w:rsid w:val="00BF226D"/>
    <w:rsid w:val="00BF54AF"/>
    <w:rsid w:val="00C0162B"/>
    <w:rsid w:val="00C03348"/>
    <w:rsid w:val="00C17E7A"/>
    <w:rsid w:val="00C21E04"/>
    <w:rsid w:val="00C23F9E"/>
    <w:rsid w:val="00C40961"/>
    <w:rsid w:val="00C41696"/>
    <w:rsid w:val="00C4757E"/>
    <w:rsid w:val="00C562AA"/>
    <w:rsid w:val="00C61C72"/>
    <w:rsid w:val="00C633C7"/>
    <w:rsid w:val="00C63E2B"/>
    <w:rsid w:val="00C65DCF"/>
    <w:rsid w:val="00C65E72"/>
    <w:rsid w:val="00C66F39"/>
    <w:rsid w:val="00C70F12"/>
    <w:rsid w:val="00C738E2"/>
    <w:rsid w:val="00C8308E"/>
    <w:rsid w:val="00C934AF"/>
    <w:rsid w:val="00CA098C"/>
    <w:rsid w:val="00CA314A"/>
    <w:rsid w:val="00CA6714"/>
    <w:rsid w:val="00CB508D"/>
    <w:rsid w:val="00CC4BF6"/>
    <w:rsid w:val="00CC793C"/>
    <w:rsid w:val="00CE2801"/>
    <w:rsid w:val="00CF458F"/>
    <w:rsid w:val="00D04BF4"/>
    <w:rsid w:val="00D11050"/>
    <w:rsid w:val="00D11912"/>
    <w:rsid w:val="00D21C47"/>
    <w:rsid w:val="00D2537C"/>
    <w:rsid w:val="00D26956"/>
    <w:rsid w:val="00D26DC2"/>
    <w:rsid w:val="00D527ED"/>
    <w:rsid w:val="00D561EE"/>
    <w:rsid w:val="00D6158D"/>
    <w:rsid w:val="00D7195F"/>
    <w:rsid w:val="00D8525D"/>
    <w:rsid w:val="00D92623"/>
    <w:rsid w:val="00D93A37"/>
    <w:rsid w:val="00DD6466"/>
    <w:rsid w:val="00DD7A47"/>
    <w:rsid w:val="00DE6A63"/>
    <w:rsid w:val="00DF09BF"/>
    <w:rsid w:val="00DF19C8"/>
    <w:rsid w:val="00E04054"/>
    <w:rsid w:val="00E1289B"/>
    <w:rsid w:val="00E2542E"/>
    <w:rsid w:val="00E33E50"/>
    <w:rsid w:val="00E4080C"/>
    <w:rsid w:val="00E43ED0"/>
    <w:rsid w:val="00E52E3A"/>
    <w:rsid w:val="00E53165"/>
    <w:rsid w:val="00E549CB"/>
    <w:rsid w:val="00E941A6"/>
    <w:rsid w:val="00EA24A7"/>
    <w:rsid w:val="00EA6378"/>
    <w:rsid w:val="00EB05F1"/>
    <w:rsid w:val="00EB6F57"/>
    <w:rsid w:val="00ED50F7"/>
    <w:rsid w:val="00ED7886"/>
    <w:rsid w:val="00EE05C3"/>
    <w:rsid w:val="00EE276A"/>
    <w:rsid w:val="00EE59D1"/>
    <w:rsid w:val="00EF0C3B"/>
    <w:rsid w:val="00F01287"/>
    <w:rsid w:val="00F1283B"/>
    <w:rsid w:val="00F12983"/>
    <w:rsid w:val="00F25745"/>
    <w:rsid w:val="00F33362"/>
    <w:rsid w:val="00F34E65"/>
    <w:rsid w:val="00F44EC4"/>
    <w:rsid w:val="00F506ED"/>
    <w:rsid w:val="00F63CE3"/>
    <w:rsid w:val="00F8759D"/>
    <w:rsid w:val="00F903AD"/>
    <w:rsid w:val="00F93BB7"/>
    <w:rsid w:val="00F955DA"/>
    <w:rsid w:val="00FA62F8"/>
    <w:rsid w:val="00FB1000"/>
    <w:rsid w:val="00FB153D"/>
    <w:rsid w:val="00FB334A"/>
    <w:rsid w:val="00FB4F52"/>
    <w:rsid w:val="00FB698F"/>
    <w:rsid w:val="00FC238F"/>
    <w:rsid w:val="00FD05B8"/>
    <w:rsid w:val="00FD05FC"/>
    <w:rsid w:val="00FD493D"/>
    <w:rsid w:val="00FD5580"/>
    <w:rsid w:val="00FE0BED"/>
    <w:rsid w:val="00FE0EB5"/>
    <w:rsid w:val="00FE21B8"/>
    <w:rsid w:val="00FE3A2E"/>
    <w:rsid w:val="00FE5B62"/>
    <w:rsid w:val="00FE6833"/>
    <w:rsid w:val="00FE7E98"/>
    <w:rsid w:val="00FF37A9"/>
    <w:rsid w:val="00FF613C"/>
    <w:rsid w:val="00FF7546"/>
    <w:rsid w:val="03C60605"/>
    <w:rsid w:val="087E7870"/>
    <w:rsid w:val="0B732FBB"/>
    <w:rsid w:val="12660302"/>
    <w:rsid w:val="275E11DC"/>
    <w:rsid w:val="2B1328C7"/>
    <w:rsid w:val="32AB30A9"/>
    <w:rsid w:val="35A60025"/>
    <w:rsid w:val="3A733CCB"/>
    <w:rsid w:val="3DE274B8"/>
    <w:rsid w:val="503B5326"/>
    <w:rsid w:val="56B228E8"/>
    <w:rsid w:val="5B165850"/>
    <w:rsid w:val="5EEB1CFB"/>
    <w:rsid w:val="63DE7966"/>
    <w:rsid w:val="72610410"/>
    <w:rsid w:val="75DB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qFormat/>
    <w:uiPriority w:val="22"/>
    <w:rPr>
      <w:b/>
      <w:bCs/>
    </w:rPr>
  </w:style>
  <w:style w:type="character" w:customStyle="1" w:styleId="8">
    <w:name w:val="页脚 Char"/>
    <w:link w:val="2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眉 Char"/>
    <w:link w:val="3"/>
    <w:uiPriority w:val="0"/>
    <w:rPr>
      <w:rFonts w:ascii="Calibri" w:hAnsi="Calibr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3087</Words>
  <Characters>3335</Characters>
  <Lines>25</Lines>
  <Paragraphs>7</Paragraphs>
  <TotalTime>35</TotalTime>
  <ScaleCrop>false</ScaleCrop>
  <LinksUpToDate>false</LinksUpToDate>
  <CharactersWithSpaces>3403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2021-10-13T09:07:00Z</dcterms:created>
  <dc:creator>谢斐</dc:creator>
  <cp:lastModifiedBy>zJoy</cp:lastModifiedBy>
  <cp:lastPrinted>2017-02-23T01:31:00Z</cp:lastPrinted>
  <dcterms:modified xsi:type="dcterms:W3CDTF">2022-09-06T03:02:19Z</dcterms:modified>
  <dc:title>2017年度省级部门预算公开参考格式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42AF79D5913E419FBDFD9548E6B17D7D</vt:lpwstr>
  </property>
</Properties>
</file>