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spacing w:line="580" w:lineRule="exact"/>
        <w:jc w:val="center"/>
        <w:rPr>
          <w:rFonts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2"/>
          <w:szCs w:val="52"/>
        </w:rPr>
        <w:t>信阳市平桥区纪委监察委</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pStyle w:val="4"/>
        <w:ind w:left="637" w:right="585"/>
        <w:jc w:val="center"/>
        <w:rPr>
          <w:rFonts w:ascii="Times New Roman" w:hAnsi="Times New Roman" w:eastAsia="Times New Roman" w:cs="Times New Roman"/>
          <w:sz w:val="17"/>
          <w:szCs w:val="17"/>
        </w:rPr>
        <w:sectPr>
          <w:pgSz w:w="11910" w:h="16840"/>
          <w:pgMar w:top="1580" w:right="1680" w:bottom="280" w:left="1680" w:header="720" w:footer="720" w:gutter="0"/>
          <w:cols w:space="720" w:num="1"/>
        </w:sectPr>
      </w:pPr>
      <w:r>
        <w:rPr>
          <w:rFonts w:ascii="黑体" w:hAnsi="黑体" w:eastAsia="黑体" w:cs="黑体"/>
        </w:rPr>
        <w:t>二〇</w:t>
      </w:r>
      <w:r>
        <w:rPr>
          <w:rFonts w:hint="eastAsia" w:ascii="黑体" w:hAnsi="黑体" w:eastAsia="黑体" w:cs="黑体"/>
          <w:lang w:eastAsia="zh-CN"/>
        </w:rPr>
        <w:t>二一</w:t>
      </w:r>
      <w:r>
        <w:rPr>
          <w:rFonts w:ascii="黑体" w:hAnsi="黑体" w:eastAsia="黑体" w:cs="黑体"/>
        </w:rPr>
        <w:t>年</w:t>
      </w:r>
      <w:r>
        <w:rPr>
          <w:rFonts w:hint="eastAsia" w:ascii="黑体" w:hAnsi="黑体" w:eastAsia="黑体" w:cs="黑体"/>
          <w:lang w:eastAsia="zh-CN"/>
        </w:rPr>
        <w:t>九</w:t>
      </w:r>
      <w:r>
        <w:rPr>
          <w:rFonts w:ascii="黑体" w:hAnsi="黑体" w:eastAsia="黑体" w:cs="黑体"/>
        </w:rPr>
        <w:t>月</w:t>
      </w:r>
    </w:p>
    <w:p>
      <w:pPr>
        <w:jc w:val="cente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信阳市平桥区纪委监察委概况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第一部分　　信阳市平桥区纪委监察委</w:t>
      </w:r>
    </w:p>
    <w:p>
      <w:pPr>
        <w:jc w:val="center"/>
        <w:rPr>
          <w:rFonts w:ascii="黑体" w:eastAsia="黑体"/>
          <w:color w:val="000000"/>
          <w:sz w:val="44"/>
          <w:szCs w:val="44"/>
        </w:rPr>
      </w:pPr>
      <w:r>
        <w:rPr>
          <w:rFonts w:hint="eastAsia" w:ascii="黑体" w:hAnsi="黑体" w:eastAsia="黑体" w:cs="黑体"/>
          <w:sz w:val="44"/>
          <w:szCs w:val="44"/>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580" w:lineRule="exact"/>
        <w:rPr>
          <w:rFonts w:ascii="仿宋" w:hAnsi="仿宋" w:eastAsia="仿宋"/>
          <w:sz w:val="32"/>
          <w:szCs w:val="32"/>
        </w:rPr>
      </w:pPr>
      <w:r>
        <w:rPr>
          <w:rFonts w:hint="eastAsia" w:ascii="仿宋" w:hAnsi="仿宋" w:eastAsia="仿宋"/>
          <w:sz w:val="32"/>
          <w:szCs w:val="32"/>
        </w:rPr>
        <w:t>1、负责贯彻落实党中央、中央纪委监察委、省委、省纪委监察委、市委、市纪委监察委和区委关于加强党风廉政建设的决定；实施党章规定范围内的监督，维护党的章程和党内法规；检查党的路线、方针、政策和决议的执行情况，重点检查乡科级党员领导干部执行党的路线、方针、政策情况及思想作风方面的问题；负责反腐败的组织协调工作，协助区委抓好党风廉政建设工作。</w:t>
      </w:r>
    </w:p>
    <w:p>
      <w:pPr>
        <w:spacing w:line="580" w:lineRule="exact"/>
        <w:rPr>
          <w:rFonts w:ascii="仿宋" w:hAnsi="仿宋" w:eastAsia="仿宋"/>
          <w:sz w:val="32"/>
          <w:szCs w:val="32"/>
        </w:rPr>
      </w:pPr>
      <w:r>
        <w:rPr>
          <w:rFonts w:hint="eastAsia" w:ascii="仿宋" w:hAnsi="仿宋" w:eastAsia="仿宋"/>
          <w:sz w:val="32"/>
          <w:szCs w:val="32"/>
        </w:rPr>
        <w:t>2、检查处理区委和区政府各部门、各乡镇管理的党员领导干部违反党的章程及党内法规的案件，决定或取消对这些案件中党员的处分；受理党员的控告和申诉；必要时直接查处下级党的纪律检查组织管辖范围内比较重要复杂的案件。</w:t>
      </w:r>
    </w:p>
    <w:p>
      <w:pPr>
        <w:spacing w:line="58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依照</w:t>
      </w:r>
      <w:r>
        <w:rPr>
          <w:rFonts w:hint="eastAsia" w:ascii="仿宋" w:hAnsi="仿宋" w:eastAsia="仿宋"/>
          <w:sz w:val="32"/>
          <w:szCs w:val="32"/>
        </w:rPr>
        <w:t>《国家监察法》</w:t>
      </w:r>
      <w:r>
        <w:rPr>
          <w:rFonts w:ascii="仿宋" w:hAnsi="仿宋" w:eastAsia="仿宋"/>
          <w:sz w:val="32"/>
          <w:szCs w:val="32"/>
        </w:rPr>
        <w:t>和有关法律规定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向本级中国共产党机关、国家机关、法律法规授权或者委托管理公共事务的组织和单位以及所管辖的行政区域、国有企业等派驻或者派出监察机构、监察专员。监察机构、监察专员对派驻或者派出它的监察委员会负责。派驻或者派出的监察机构、监察专员根据授权，按照管理权限依法对公职人员进行监督，提出监察建议，依法对公职人员进行调查、处置。</w:t>
      </w:r>
    </w:p>
    <w:p>
      <w:pPr>
        <w:spacing w:line="58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监察机关对下列公职人员和有关人员进行监察：</w:t>
      </w:r>
      <w:r>
        <w:rPr>
          <w:rFonts w:hint="eastAsia" w:ascii="仿宋" w:hAnsi="仿宋" w:eastAsia="仿宋"/>
          <w:sz w:val="32"/>
          <w:szCs w:val="32"/>
        </w:rPr>
        <w:t>第一，</w:t>
      </w:r>
      <w:r>
        <w:rPr>
          <w:rFonts w:ascii="仿宋" w:hAnsi="仿宋" w:eastAsia="仿宋"/>
          <w:sz w:val="32"/>
          <w:szCs w:val="32"/>
        </w:rPr>
        <w:t>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r>
        <w:rPr>
          <w:rFonts w:hint="eastAsia" w:ascii="仿宋" w:hAnsi="仿宋" w:eastAsia="仿宋"/>
          <w:sz w:val="32"/>
          <w:szCs w:val="32"/>
        </w:rPr>
        <w:t>第二，</w:t>
      </w:r>
      <w:r>
        <w:rPr>
          <w:rFonts w:ascii="仿宋" w:hAnsi="仿宋" w:eastAsia="仿宋"/>
          <w:sz w:val="32"/>
          <w:szCs w:val="32"/>
        </w:rPr>
        <w:t>法律、法规授权或者受国家机关依法委托管理公共事务的组织中从事公务的人员；</w:t>
      </w:r>
      <w:r>
        <w:rPr>
          <w:rFonts w:hint="eastAsia" w:ascii="仿宋" w:hAnsi="仿宋" w:eastAsia="仿宋"/>
          <w:sz w:val="32"/>
          <w:szCs w:val="32"/>
        </w:rPr>
        <w:t>第三，</w:t>
      </w:r>
      <w:r>
        <w:rPr>
          <w:rFonts w:ascii="仿宋" w:hAnsi="仿宋" w:eastAsia="仿宋"/>
          <w:sz w:val="32"/>
          <w:szCs w:val="32"/>
        </w:rPr>
        <w:t>国有企业管理人员；</w:t>
      </w:r>
      <w:r>
        <w:rPr>
          <w:rFonts w:hint="eastAsia" w:ascii="仿宋" w:hAnsi="仿宋" w:eastAsia="仿宋"/>
          <w:sz w:val="32"/>
          <w:szCs w:val="32"/>
        </w:rPr>
        <w:t>第四，</w:t>
      </w:r>
      <w:r>
        <w:rPr>
          <w:rFonts w:ascii="仿宋" w:hAnsi="仿宋" w:eastAsia="仿宋"/>
          <w:sz w:val="32"/>
          <w:szCs w:val="32"/>
        </w:rPr>
        <w:t>公办的教育、科研、文化、医疗卫生、体育等单位中从事管理的人员；</w:t>
      </w:r>
      <w:r>
        <w:rPr>
          <w:rFonts w:hint="eastAsia" w:ascii="仿宋" w:hAnsi="仿宋" w:eastAsia="仿宋"/>
          <w:sz w:val="32"/>
          <w:szCs w:val="32"/>
        </w:rPr>
        <w:t>第五，</w:t>
      </w:r>
      <w:r>
        <w:rPr>
          <w:rFonts w:ascii="仿宋" w:hAnsi="仿宋" w:eastAsia="仿宋"/>
          <w:sz w:val="32"/>
          <w:szCs w:val="32"/>
        </w:rPr>
        <w:t>基层群众性自治组织中从事管理的人员；</w:t>
      </w:r>
      <w:r>
        <w:rPr>
          <w:rFonts w:hint="eastAsia" w:ascii="仿宋" w:hAnsi="仿宋" w:eastAsia="仿宋"/>
          <w:sz w:val="32"/>
          <w:szCs w:val="32"/>
        </w:rPr>
        <w:t>第六，</w:t>
      </w:r>
      <w:r>
        <w:rPr>
          <w:rFonts w:ascii="仿宋" w:hAnsi="仿宋" w:eastAsia="仿宋"/>
          <w:sz w:val="32"/>
          <w:szCs w:val="32"/>
        </w:rPr>
        <w:t>其他依法履行公职的人员。</w:t>
      </w:r>
    </w:p>
    <w:p>
      <w:pPr>
        <w:spacing w:line="580" w:lineRule="exact"/>
        <w:rPr>
          <w:rFonts w:ascii="仿宋" w:hAnsi="仿宋" w:eastAsia="仿宋"/>
          <w:sz w:val="32"/>
          <w:szCs w:val="32"/>
        </w:rPr>
      </w:pPr>
      <w:r>
        <w:rPr>
          <w:rFonts w:hint="eastAsia" w:ascii="仿宋" w:hAnsi="仿宋" w:eastAsia="仿宋"/>
          <w:sz w:val="32"/>
          <w:szCs w:val="32"/>
        </w:rPr>
        <w:t>6、负责作出关于维护党纪政务的决定，制定全区党风党纪教育规划；会同有关部门做好党的纪律检查和监察工作方针、政策和法律法规的宣传教育工作。</w:t>
      </w:r>
    </w:p>
    <w:p>
      <w:pPr>
        <w:spacing w:line="580" w:lineRule="exact"/>
        <w:rPr>
          <w:rFonts w:ascii="仿宋" w:hAnsi="仿宋" w:eastAsia="仿宋"/>
          <w:sz w:val="32"/>
          <w:szCs w:val="32"/>
        </w:rPr>
      </w:pPr>
      <w:r>
        <w:rPr>
          <w:rFonts w:hint="eastAsia" w:ascii="仿宋" w:hAnsi="仿宋" w:eastAsia="仿宋"/>
          <w:sz w:val="32"/>
          <w:szCs w:val="32"/>
        </w:rPr>
        <w:t>7、负责对党的纪律检查工作政策、理论及有关问题进行调查研究；拟订全区党纪条规和政策规定，参与制定党内法规。</w:t>
      </w:r>
    </w:p>
    <w:p>
      <w:pPr>
        <w:spacing w:line="580" w:lineRule="exact"/>
        <w:rPr>
          <w:rFonts w:ascii="仿宋" w:hAnsi="仿宋" w:eastAsia="仿宋"/>
          <w:sz w:val="32"/>
          <w:szCs w:val="32"/>
        </w:rPr>
      </w:pPr>
      <w:r>
        <w:rPr>
          <w:rFonts w:hint="eastAsia" w:ascii="仿宋" w:hAnsi="仿宋" w:eastAsia="仿宋"/>
          <w:sz w:val="32"/>
          <w:szCs w:val="32"/>
        </w:rPr>
        <w:t>8、调查了解区政府各部门、各乡镇政府制定的有关制度、规定的情况，对违反国家法律和有损国家利益的条款提出修改建议；变更或撤销区以下行政监察组织不适当的决定和规定。</w:t>
      </w:r>
    </w:p>
    <w:p>
      <w:pPr>
        <w:spacing w:line="580" w:lineRule="exact"/>
        <w:rPr>
          <w:rFonts w:ascii="仿宋" w:hAnsi="仿宋" w:eastAsia="仿宋"/>
          <w:sz w:val="32"/>
          <w:szCs w:val="32"/>
        </w:rPr>
      </w:pPr>
      <w:r>
        <w:rPr>
          <w:rFonts w:hint="eastAsia" w:ascii="仿宋" w:hAnsi="仿宋" w:eastAsia="仿宋"/>
          <w:sz w:val="32"/>
          <w:szCs w:val="32"/>
        </w:rPr>
        <w:t>9、会同有关部门做好纪检监察干部的管理工作。由区纪委商区委组织部对乡镇办事处管理区纪检组织的区管干部进行提名和其他干部的任免工作；对区直纪检监察派驻机构实行统一管理，由区纪委商区委组织部对派驻机构的区管干部进行提名和其他干部的任免工作；组织和指导全区纪检监察系统干部培训和组织建设工作。</w:t>
      </w:r>
    </w:p>
    <w:p>
      <w:pPr>
        <w:spacing w:line="580" w:lineRule="exact"/>
        <w:rPr>
          <w:rFonts w:ascii="仿宋" w:hAnsi="仿宋" w:eastAsia="仿宋"/>
          <w:sz w:val="32"/>
          <w:szCs w:val="32"/>
        </w:rPr>
      </w:pPr>
      <w:r>
        <w:rPr>
          <w:rFonts w:hint="eastAsia" w:ascii="仿宋" w:hAnsi="仿宋" w:eastAsia="仿宋"/>
          <w:sz w:val="32"/>
          <w:szCs w:val="32"/>
        </w:rPr>
        <w:t>10、负责全区预防腐败工作的组织协调、综合规划、政策制定、监督检查等工作；协调指导机关、企业、事业单位、社会团体、中介机构和其他社会组织的预防腐败工作。</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信阳市平桥区纪委监察委部门预算包括委机关本级预算。委机关共18个内设机构，分别是办公室、组织部、宣传部、信访室、案件审理室、案件监督管理室、党风政风室、纪检监察一室、纪检监察二室、纪检监察三室、纪检监察四室、纪检监察五室、纪检监察六室、纪检监察七室、纪检监察八室、以案促改室、派驻室、纪检监察干部监督室。</w:t>
      </w:r>
    </w:p>
    <w:p>
      <w:pPr>
        <w:ind w:firstLine="640" w:firstLineChars="2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从决算单位构成看，信阳市平桥区纪委监察委部门决算包括：本级决算</w:t>
      </w:r>
      <w:r>
        <w:rPr>
          <w:rFonts w:hint="eastAsia" w:ascii="仿宋_GB2312" w:hAnsi="Times New Roman" w:eastAsia="仿宋_GB2312" w:cs="仿宋_GB2312"/>
          <w:kern w:val="0"/>
          <w:sz w:val="32"/>
          <w:szCs w:val="32"/>
          <w:lang w:eastAsia="zh-CN"/>
        </w:rPr>
        <w:t>。</w:t>
      </w: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rFonts w:ascii="黑体" w:hAnsi="黑体" w:eastAsia="黑体" w:cs="黑体"/>
          <w:sz w:val="44"/>
          <w:szCs w:val="44"/>
        </w:rPr>
      </w:pPr>
      <w:r>
        <w:rPr>
          <w:rFonts w:hint="eastAsia" w:ascii="黑体" w:hAnsi="黑体" w:eastAsia="黑体" w:cs="黑体"/>
          <w:sz w:val="44"/>
          <w:szCs w:val="44"/>
        </w:rPr>
        <w:t>信阳市平桥区纪委监察委</w:t>
      </w:r>
    </w:p>
    <w:p>
      <w:pPr>
        <w:jc w:val="center"/>
        <w:rPr>
          <w:sz w:val="32"/>
          <w:szCs w:val="32"/>
        </w:rPr>
      </w:pPr>
      <w:r>
        <w:rPr>
          <w:rFonts w:hint="eastAsia" w:ascii="黑体" w:hAnsi="黑体" w:eastAsia="黑体" w:cs="黑体"/>
          <w:sz w:val="44"/>
          <w:szCs w:val="44"/>
        </w:rPr>
        <w:t>2020年度部门决算情况说明</w:t>
      </w:r>
    </w:p>
    <w:p>
      <w:pPr>
        <w:pStyle w:val="9"/>
        <w:shd w:val="clear" w:color="auto" w:fill="FFFFFF"/>
        <w:ind w:left="161" w:leftChars="67" w:firstLine="480" w:firstLineChars="150"/>
        <w:rPr>
          <w:rFonts w:ascii="仿宋_GB2312" w:eastAsia="仿宋_GB2312"/>
          <w:sz w:val="32"/>
          <w:szCs w:val="32"/>
        </w:rPr>
      </w:pPr>
      <w:r>
        <w:rPr>
          <w:rFonts w:hint="eastAsia" w:ascii="仿宋_GB2312" w:eastAsia="仿宋_GB2312"/>
          <w:sz w:val="32"/>
          <w:szCs w:val="32"/>
        </w:rPr>
        <w:t>一、收入支出决算总体情况说明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2020年度收、支总计均1260.89万元。与上年度相比，收、支总计各减少372.71万元，下 降22.8%。主要原因是2019年购置办公设备较多，2020年办公设备购置较少。</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年度收入合计1260.89万元，其中：财政拨款收入1260.89万元，占100%；上级补助收入 0.00万元，占0.00%；事业收入0万元，占0%；经营收入0.00万元，占0.00%；附属单位上缴收入 0.00万元，占0.00%；其他收入0万元，占 0.00%。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2020年度支出合计1260.89万元，其中：基本支出1260.89万元，占100.00%；项目支出 0.00万元，占0.00%；上缴上级支出0.00万元，占 0.00%；经营支出0.00万元，占0.00%；对附属单位补助支出 0.00万元，占0.00%。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2020年度财政拨款收、支总计均为 1260.89万元。与上年度相比，财政拨款收、支总计各减少372.71万元，增下 降22.8%。主要原因是2019年购置办公设备较多，2020年办公设备购置较少。</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2020年度一般公共预算财政拨款支出1260.89万元，占支出合计的100%。与上年度相比，一般公共预算财政拨款支出减少372.71万元，下降22.8%。主要原因是2019年购置办公设备较多，2020年办公设备购置较少。</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2020年度一般公共预算财政拨款支出1260.89万元，主要用于以下方面：一般公共服务（类）支出1260.89万元，占100%；外交（类）支出0万元，占0%。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sz w:val="32"/>
          <w:szCs w:val="32"/>
        </w:rPr>
        <w:t>2020 年度一般公共预算财政拨款支出年初预算为1260.89万元，支出决算为 1260.89万元，完成年初预算的100%。</w:t>
      </w:r>
      <w:r>
        <w:rPr>
          <w:rFonts w:hint="eastAsia" w:ascii="仿宋_GB2312" w:hAnsi="仿宋_GB2312" w:eastAsia="仿宋_GB2312" w:cs="仿宋_GB2312"/>
          <w:color w:val="auto"/>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1．201（类）11（款）01（项）。</w:t>
      </w:r>
      <w:r>
        <w:rPr>
          <w:rFonts w:hint="eastAsia" w:ascii="仿宋_GB2312" w:hAnsi="仿宋_GB2312" w:eastAsia="仿宋_GB2312" w:cs="仿宋_GB2312"/>
          <w:color w:val="auto"/>
          <w:sz w:val="32"/>
          <w:szCs w:val="32"/>
          <w:highlight w:val="none"/>
          <w:lang w:val="en-US" w:eastAsia="zh-CN"/>
        </w:rPr>
        <w:t>年初预算为</w:t>
      </w:r>
      <w:r>
        <w:rPr>
          <w:rFonts w:hint="eastAsia" w:ascii="仿宋_GB2312" w:eastAsia="仿宋_GB2312"/>
          <w:sz w:val="32"/>
          <w:szCs w:val="32"/>
        </w:rPr>
        <w:t>1260.89</w:t>
      </w:r>
      <w:r>
        <w:rPr>
          <w:rFonts w:hint="eastAsia" w:ascii="仿宋_GB2312" w:hAnsi="仿宋_GB2312" w:eastAsia="仿宋_GB2312" w:cs="仿宋_GB2312"/>
          <w:color w:val="auto"/>
          <w:sz w:val="32"/>
          <w:szCs w:val="32"/>
          <w:highlight w:val="none"/>
          <w:lang w:val="en-US" w:eastAsia="zh-CN"/>
        </w:rPr>
        <w:t>万元，支出决算为</w:t>
      </w:r>
      <w:r>
        <w:rPr>
          <w:rFonts w:hint="eastAsia" w:ascii="仿宋_GB2312" w:eastAsia="仿宋_GB2312"/>
          <w:sz w:val="32"/>
          <w:szCs w:val="32"/>
        </w:rPr>
        <w:t>1260.89</w:t>
      </w:r>
      <w:r>
        <w:rPr>
          <w:rFonts w:hint="eastAsia" w:ascii="仿宋_GB2312" w:hAnsi="仿宋_GB2312" w:eastAsia="仿宋_GB2312" w:cs="仿宋_GB2312"/>
          <w:color w:val="auto"/>
          <w:sz w:val="32"/>
          <w:szCs w:val="32"/>
          <w:highlight w:val="none"/>
          <w:lang w:val="en-US" w:eastAsia="zh-CN"/>
        </w:rPr>
        <w:t>万元，完成年初预算的100%。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年度一般公共预算财政拨款基本支出1260.89万元。其中：人员经费 943.8万元，主要包括：基本工资、津贴补贴、伙食补助费、绩效工资、机关事业单位基本养老保险 缴费、职业年金缴费、其他社会保障缴费、其他工资福利支出、生活补助、医疗费、奖励金、住房公积金、物业服务补贴、其他对个人和家庭的补助支出；公用经费317.09万元，主要包括：办公费、印刷费、咨询费、手续 费、水费、电费、邮电费、差旅费、维修（护）费、会议费、培训费、公务接待费、专用材料费、工会经费、福利费、其他交通费用、税金及附加费用、其他商品和服务支出、办公设备购置、专用设备购置、信息网络及软件购置更新、其他资本性支出。</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年度“三公”经费财政拨款支出预算为116.84万元，支出决算为116.84万元。</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2020 年度“三公”经费财政拨款支出决算中，因公出国（境）费支出决算0.00万元，完成预算的 0.00%，占0.00%；公务用车购置及运行费支出决算116.84万元，完成预算的100%。</w:t>
      </w:r>
      <w:r>
        <w:rPr>
          <w:rFonts w:hint="default" w:ascii="仿宋" w:hAnsi="仿宋" w:eastAsia="仿宋" w:cs="Arial"/>
          <w:color w:val="000000"/>
          <w:sz w:val="32"/>
          <w:szCs w:val="32"/>
          <w:lang w:val="en-US" w:eastAsia="zh-CN"/>
        </w:rPr>
        <w:t>公务接待费支出决算</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万元，完成预算的</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%，占</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%。具体情况如下：</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default" w:ascii="仿宋" w:hAnsi="仿宋" w:eastAsia="仿宋" w:cs="Arial"/>
          <w:color w:val="000000"/>
          <w:sz w:val="32"/>
          <w:szCs w:val="32"/>
          <w:lang w:val="en-US" w:eastAsia="zh-CN"/>
        </w:rPr>
      </w:pPr>
      <w:r>
        <w:rPr>
          <w:rFonts w:hint="default" w:ascii="仿宋" w:hAnsi="仿宋" w:eastAsia="仿宋" w:cs="Arial"/>
          <w:b/>
          <w:bCs/>
          <w:color w:val="000000"/>
          <w:sz w:val="32"/>
          <w:szCs w:val="32"/>
          <w:lang w:val="en-US" w:eastAsia="zh-CN"/>
        </w:rPr>
        <w:t>因公出国（境）费</w:t>
      </w:r>
      <w:r>
        <w:rPr>
          <w:rFonts w:hint="default" w:ascii="仿宋" w:hAnsi="仿宋" w:eastAsia="仿宋" w:cs="Arial"/>
          <w:color w:val="000000"/>
          <w:sz w:val="32"/>
          <w:szCs w:val="32"/>
          <w:lang w:val="en-US" w:eastAsia="zh-CN"/>
        </w:rPr>
        <w:t>年初预算为0万元，支出决算为0万元，完成年初预算的0%。全年因公出国（境）团组0个，累计0人次。</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2"/>
        <w:rPr>
          <w:rFonts w:hint="eastAsia" w:ascii="仿宋" w:hAnsi="仿宋" w:eastAsia="仿宋" w:cs="Arial"/>
          <w:color w:val="000000"/>
          <w:sz w:val="32"/>
          <w:szCs w:val="32"/>
          <w:lang w:val="en-US" w:eastAsia="zh-CN"/>
        </w:rPr>
      </w:pPr>
      <w:r>
        <w:rPr>
          <w:rFonts w:hint="eastAsia" w:ascii="仿宋_GB2312" w:eastAsia="仿宋_GB2312"/>
          <w:sz w:val="32"/>
          <w:szCs w:val="32"/>
        </w:rPr>
        <w:t>2． 公务用车购置及运行费年初预算为116.84万元，支出决算为 0.00万元，完成年初预算的0.00%。</w:t>
      </w:r>
      <w:r>
        <w:rPr>
          <w:rFonts w:hint="default" w:ascii="仿宋" w:hAnsi="仿宋" w:eastAsia="仿宋" w:cs="Arial"/>
          <w:color w:val="000000"/>
          <w:sz w:val="32"/>
          <w:szCs w:val="32"/>
          <w:lang w:val="en-US" w:eastAsia="zh-CN"/>
        </w:rPr>
        <w:t>其中：</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公务用车购置支出116.84万元（含税），购置车辆6台，其中商务车3辆、越野车3辆。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default" w:ascii="仿宋" w:hAnsi="仿宋" w:eastAsia="仿宋" w:cs="Arial"/>
          <w:color w:val="000000"/>
          <w:sz w:val="32"/>
          <w:szCs w:val="32"/>
          <w:lang w:val="en-US" w:eastAsia="zh-CN"/>
        </w:rPr>
      </w:pPr>
      <w:r>
        <w:rPr>
          <w:rFonts w:hint="default" w:ascii="仿宋" w:hAnsi="仿宋" w:eastAsia="仿宋" w:cs="Arial"/>
          <w:b/>
          <w:bCs/>
          <w:color w:val="000000"/>
          <w:sz w:val="32"/>
          <w:szCs w:val="32"/>
          <w:lang w:val="en-US" w:eastAsia="zh-CN"/>
        </w:rPr>
        <w:t>公务用车运行</w:t>
      </w:r>
      <w:r>
        <w:rPr>
          <w:rFonts w:hint="default" w:ascii="仿宋" w:hAnsi="仿宋" w:eastAsia="仿宋" w:cs="Arial"/>
          <w:color w:val="000000"/>
          <w:sz w:val="32"/>
          <w:szCs w:val="32"/>
          <w:lang w:val="en-US" w:eastAsia="zh-CN"/>
        </w:rPr>
        <w:t>支出0万元。部门开支财政拨款的公务用车保有量为</w:t>
      </w:r>
      <w:r>
        <w:rPr>
          <w:rFonts w:hint="eastAsia" w:ascii="仿宋" w:hAnsi="仿宋" w:eastAsia="仿宋" w:cs="Arial"/>
          <w:color w:val="000000"/>
          <w:sz w:val="32"/>
          <w:szCs w:val="32"/>
          <w:lang w:val="en-US" w:eastAsia="zh-CN"/>
        </w:rPr>
        <w:t>6</w:t>
      </w:r>
      <w:r>
        <w:rPr>
          <w:rFonts w:hint="default" w:ascii="仿宋" w:hAnsi="仿宋" w:eastAsia="仿宋" w:cs="Arial"/>
          <w:color w:val="000000"/>
          <w:sz w:val="32"/>
          <w:szCs w:val="32"/>
          <w:lang w:val="en-US" w:eastAsia="zh-CN"/>
        </w:rPr>
        <w:t>辆。</w:t>
      </w:r>
    </w:p>
    <w:p>
      <w:pPr>
        <w:pStyle w:val="9"/>
        <w:shd w:val="clear" w:color="auto" w:fill="FFFFFF"/>
        <w:spacing w:before="0" w:beforeAutospacing="0" w:after="0" w:afterAutospacing="0"/>
        <w:ind w:left="161" w:leftChars="67" w:firstLine="480" w:firstLineChars="150"/>
        <w:rPr>
          <w:rFonts w:hint="eastAsia" w:ascii="仿宋_GB2312" w:eastAsia="仿宋_GB2312"/>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default" w:ascii="仿宋" w:hAnsi="仿宋" w:eastAsia="仿宋" w:cs="Arial"/>
          <w:color w:val="000000"/>
          <w:sz w:val="32"/>
          <w:szCs w:val="32"/>
          <w:lang w:val="en-US" w:eastAsia="zh-CN"/>
        </w:rPr>
      </w:pPr>
      <w:r>
        <w:rPr>
          <w:rFonts w:hint="eastAsia" w:ascii="仿宋_GB2312" w:eastAsia="仿宋_GB2312"/>
          <w:sz w:val="32"/>
          <w:szCs w:val="32"/>
        </w:rPr>
        <w:t>3. 公务接待费年初预算为0万元，支出决算为0万元，完成年初预算的100%。</w:t>
      </w:r>
      <w:r>
        <w:rPr>
          <w:rFonts w:hint="default" w:ascii="仿宋" w:hAnsi="仿宋" w:eastAsia="仿宋" w:cs="Arial"/>
          <w:color w:val="000000"/>
          <w:sz w:val="32"/>
          <w:szCs w:val="32"/>
          <w:lang w:val="en-US" w:eastAsia="zh-CN"/>
        </w:rPr>
        <w:t>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default" w:ascii="仿宋" w:hAnsi="仿宋" w:eastAsia="仿宋" w:cs="Arial"/>
          <w:color w:val="000000"/>
          <w:sz w:val="32"/>
          <w:szCs w:val="32"/>
          <w:lang w:val="en-US" w:eastAsia="zh-CN"/>
        </w:rPr>
      </w:pPr>
      <w:r>
        <w:rPr>
          <w:rFonts w:hint="default" w:ascii="仿宋" w:hAnsi="仿宋" w:eastAsia="仿宋" w:cs="Arial"/>
          <w:b/>
          <w:bCs/>
          <w:color w:val="000000"/>
          <w:sz w:val="32"/>
          <w:szCs w:val="32"/>
          <w:lang w:val="en-US" w:eastAsia="zh-CN"/>
        </w:rPr>
        <w:t xml:space="preserve">外宾接待支出 </w:t>
      </w:r>
      <w:r>
        <w:rPr>
          <w:rFonts w:hint="default" w:ascii="仿宋" w:hAnsi="仿宋" w:eastAsia="仿宋" w:cs="Arial"/>
          <w:color w:val="000000"/>
          <w:sz w:val="32"/>
          <w:szCs w:val="32"/>
          <w:lang w:val="en-US" w:eastAsia="zh-CN"/>
        </w:rPr>
        <w:t>0 万元。无外宾接待支出。2019 年共接待国（境）外来访团组 0 个、来访外宾 0 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2"/>
        <w:rPr>
          <w:rFonts w:hint="default" w:ascii="仿宋" w:hAnsi="仿宋" w:eastAsia="仿宋" w:cs="Arial"/>
          <w:color w:val="000000"/>
          <w:sz w:val="32"/>
          <w:szCs w:val="32"/>
          <w:lang w:val="en-US" w:eastAsia="zh-CN"/>
        </w:rPr>
      </w:pPr>
      <w:r>
        <w:rPr>
          <w:rFonts w:hint="default" w:ascii="仿宋" w:hAnsi="仿宋" w:eastAsia="仿宋" w:cs="Arial"/>
          <w:b/>
          <w:bCs/>
          <w:color w:val="000000"/>
          <w:sz w:val="32"/>
          <w:szCs w:val="32"/>
          <w:lang w:val="en-US" w:eastAsia="zh-CN"/>
        </w:rPr>
        <w:t>其他国内公务接待支出</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万元。2019 年共接待国内来访团组</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个、来宾</w:t>
      </w:r>
      <w:r>
        <w:rPr>
          <w:rFonts w:hint="eastAsia" w:ascii="仿宋" w:hAnsi="仿宋" w:eastAsia="仿宋" w:cs="Arial"/>
          <w:color w:val="000000"/>
          <w:sz w:val="32"/>
          <w:szCs w:val="32"/>
          <w:lang w:val="en-US" w:eastAsia="zh-CN"/>
        </w:rPr>
        <w:t>0</w:t>
      </w:r>
      <w:r>
        <w:rPr>
          <w:rFonts w:hint="default" w:ascii="仿宋" w:hAnsi="仿宋" w:eastAsia="仿宋" w:cs="Arial"/>
          <w:color w:val="000000"/>
          <w:sz w:val="32"/>
          <w:szCs w:val="32"/>
          <w:lang w:val="en-US" w:eastAsia="zh-CN"/>
        </w:rPr>
        <w:t>人次（不包括陪同人员）。</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2019年，我单位没有进行预算绩效评价。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2019年，我单位没有进行预算绩效评价。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2019 年度我单位无重点绩效评价。</w:t>
      </w:r>
    </w:p>
    <w:p>
      <w:pPr>
        <w:spacing w:line="590" w:lineRule="exact"/>
        <w:ind w:firstLine="640" w:firstLineChars="200"/>
        <w:jc w:val="both"/>
        <w:outlineLvl w:val="2"/>
        <w:rPr>
          <w:rFonts w:ascii="仿宋" w:hAnsi="仿宋" w:eastAsia="仿宋" w:cs="仿宋"/>
          <w:sz w:val="32"/>
          <w:szCs w:val="32"/>
        </w:rPr>
      </w:pPr>
      <w:r>
        <w:rPr>
          <w:rFonts w:hint="eastAsia" w:ascii="仿宋" w:hAnsi="仿宋" w:eastAsia="仿宋" w:cs="仿宋"/>
          <w:sz w:val="32"/>
          <w:szCs w:val="32"/>
        </w:rPr>
        <w:t>2020年，我单位没有进行预算绩效评价。</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2020年度政府性基金预算财政拨款支出年初预算为0万元，支出决算为 0 万元，完成年初预算的 0%。我部门没有政府性基金收入，也没有使用政府性基金安排的支出。</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十、机关运行经费支出情况说明</w:t>
      </w:r>
    </w:p>
    <w:p>
      <w:pPr>
        <w:pStyle w:val="9"/>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rPr>
        <w:t>2020年度机关运行经费初预算为317.09万元，支出决算为317.09</w:t>
      </w:r>
      <w:bookmarkStart w:id="0" w:name="_GoBack"/>
      <w:bookmarkEnd w:id="0"/>
      <w:r>
        <w:rPr>
          <w:rFonts w:hint="eastAsia" w:ascii="仿宋_GB2312" w:eastAsia="仿宋_GB2312"/>
          <w:sz w:val="32"/>
          <w:szCs w:val="32"/>
        </w:rPr>
        <w:t>万元，完成年初预算的100%。</w:t>
      </w:r>
      <w:r>
        <w:rPr>
          <w:rFonts w:hint="eastAsia" w:ascii="仿宋_GB2312" w:eastAsia="仿宋_GB2312"/>
          <w:sz w:val="32"/>
          <w:szCs w:val="32"/>
          <w:lang w:val="en-US" w:eastAsia="zh-CN"/>
        </w:rPr>
        <w:t>决算数与年初预算数无差异。</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 w:hAnsi="仿宋" w:eastAsia="仿宋"/>
          <w:color w:val="000000"/>
          <w:sz w:val="32"/>
          <w:szCs w:val="32"/>
        </w:rPr>
      </w:pPr>
      <w:r>
        <w:rPr>
          <w:rFonts w:hint="eastAsia" w:ascii="仿宋_GB2312" w:eastAsia="仿宋_GB2312"/>
          <w:sz w:val="32"/>
          <w:szCs w:val="32"/>
        </w:rPr>
        <w:t>2020 年度政府采购支出总额116.84万元，其中：政府采购货物支出116.84万元、政府采购工程支出0万元、政府采购服务支出0万元。</w:t>
      </w:r>
      <w:r>
        <w:rPr>
          <w:rFonts w:hint="eastAsia" w:ascii="仿宋" w:hAnsi="仿宋" w:eastAsia="仿宋" w:cs="Arial"/>
          <w:color w:val="000000"/>
          <w:sz w:val="32"/>
          <w:szCs w:val="32"/>
          <w:lang w:val="en-US" w:eastAsia="zh-CN"/>
        </w:rPr>
        <w:t>授予中小企业合同金额0万元，占政府采购支出总额的0%，其中：授予小微企业合同金额0万元，占政府采购支出总额的0%。</w:t>
      </w: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十二、国有资产占用情况说明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Arial"/>
          <w:color w:val="000000"/>
          <w:sz w:val="32"/>
          <w:szCs w:val="32"/>
        </w:rPr>
      </w:pPr>
      <w:r>
        <w:rPr>
          <w:rFonts w:hint="eastAsia" w:ascii="仿宋" w:hAnsi="仿宋" w:eastAsia="仿宋" w:cs="Arial"/>
          <w:color w:val="000000"/>
          <w:sz w:val="32"/>
          <w:szCs w:val="32"/>
        </w:rPr>
        <w:t>公车改革后，我单位严格按照车改办核准的保留车辆严格执行。2020年底，我单位共</w:t>
      </w:r>
      <w:r>
        <w:rPr>
          <w:rFonts w:hint="eastAsia" w:ascii="仿宋" w:hAnsi="仿宋" w:eastAsia="仿宋" w:cs="Arial"/>
          <w:color w:val="000000"/>
          <w:sz w:val="32"/>
          <w:szCs w:val="32"/>
          <w:lang w:val="en-US" w:eastAsia="zh-CN"/>
        </w:rPr>
        <w:t>使用</w:t>
      </w:r>
      <w:r>
        <w:rPr>
          <w:rFonts w:hint="eastAsia" w:ascii="仿宋" w:hAnsi="仿宋" w:eastAsia="仿宋" w:cs="Arial"/>
          <w:color w:val="000000"/>
          <w:sz w:val="32"/>
          <w:szCs w:val="32"/>
        </w:rPr>
        <w:t>公车</w:t>
      </w:r>
      <w:r>
        <w:rPr>
          <w:rFonts w:hint="eastAsia" w:ascii="仿宋" w:hAnsi="仿宋" w:eastAsia="仿宋" w:cs="Arial"/>
          <w:color w:val="000000"/>
          <w:sz w:val="32"/>
          <w:szCs w:val="32"/>
          <w:lang w:val="en-US" w:eastAsia="zh-CN"/>
        </w:rPr>
        <w:t>14</w:t>
      </w:r>
      <w:r>
        <w:rPr>
          <w:rFonts w:hint="eastAsia" w:ascii="仿宋" w:hAnsi="仿宋" w:eastAsia="仿宋" w:cs="Arial"/>
          <w:color w:val="000000"/>
          <w:sz w:val="32"/>
          <w:szCs w:val="32"/>
        </w:rPr>
        <w:t>辆，</w:t>
      </w:r>
      <w:r>
        <w:rPr>
          <w:rFonts w:hint="eastAsia" w:ascii="仿宋" w:hAnsi="仿宋" w:eastAsia="仿宋" w:cs="Arial"/>
          <w:color w:val="000000"/>
          <w:sz w:val="32"/>
          <w:szCs w:val="32"/>
          <w:lang w:val="en-US" w:eastAsia="zh-CN"/>
        </w:rPr>
        <w:t>但费用均由机关事务管理局管理。</w:t>
      </w:r>
      <w:r>
        <w:rPr>
          <w:rFonts w:hint="eastAsia" w:ascii="仿宋" w:hAnsi="仿宋" w:eastAsia="仿宋" w:cs="Arial"/>
          <w:color w:val="000000"/>
          <w:sz w:val="32"/>
          <w:szCs w:val="32"/>
        </w:rPr>
        <w:t>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ind w:firstLine="640" w:firstLineChars="200"/>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pStyle w:val="9"/>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4"/>
          <w:szCs w:val="44"/>
        </w:rPr>
      </w:pPr>
      <w:r>
        <w:rPr>
          <w:rFonts w:hint="eastAsia" w:ascii="黑体" w:hAnsi="黑体" w:eastAsia="黑体" w:cs="黑体"/>
          <w:sz w:val="44"/>
          <w:szCs w:val="44"/>
        </w:rPr>
        <w:t>信阳市平桥区纪委监察委</w:t>
      </w:r>
    </w:p>
    <w:p>
      <w:pPr>
        <w:jc w:val="center"/>
        <w:rPr>
          <w:rFonts w:ascii="黑体" w:hAnsi="黑体" w:eastAsia="黑体" w:cs="黑体"/>
          <w:sz w:val="48"/>
          <w:szCs w:val="48"/>
        </w:rPr>
      </w:pPr>
      <w:r>
        <w:rPr>
          <w:rFonts w:hint="eastAsia" w:ascii="黑体" w:hAnsi="黑体" w:eastAsia="黑体" w:cs="黑体"/>
          <w:sz w:val="44"/>
          <w:szCs w:val="44"/>
        </w:rPr>
        <w:t>2020年度部门决算公开表</w:t>
      </w:r>
    </w:p>
    <w:p>
      <w:pPr>
        <w:rPr>
          <w:rFonts w:ascii="黑体" w:eastAsia="黑体"/>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tbl>
      <w:tblPr>
        <w:tblStyle w:val="10"/>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82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764"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4671"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699"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部门：平桥区纪委</w:t>
            </w:r>
          </w:p>
        </w:tc>
        <w:tc>
          <w:tcPr>
            <w:tcW w:w="82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764" w:type="dxa"/>
            <w:tcBorders>
              <w:top w:val="nil"/>
              <w:left w:val="nil"/>
              <w:bottom w:val="nil"/>
              <w:right w:val="nil"/>
            </w:tcBorders>
            <w:shd w:val="clear" w:color="auto" w:fill="FFFFFF"/>
            <w:tcMar>
              <w:top w:w="15" w:type="dxa"/>
              <w:left w:w="15" w:type="dxa"/>
              <w:right w:w="15" w:type="dxa"/>
            </w:tcMar>
            <w:vAlign w:val="center"/>
          </w:tcPr>
          <w:p>
            <w:pPr>
              <w:jc w:val="right"/>
              <w:rPr>
                <w:rFonts w:hint="default" w:eastAsia="宋体"/>
                <w:color w:val="000000"/>
                <w:sz w:val="20"/>
                <w:szCs w:val="20"/>
                <w:lang w:val="en-US" w:eastAsia="zh-CN"/>
              </w:rPr>
            </w:pPr>
            <w:r>
              <w:rPr>
                <w:rFonts w:hint="eastAsia"/>
                <w:color w:val="000000"/>
                <w:sz w:val="20"/>
                <w:szCs w:val="20"/>
                <w:lang w:val="en-US" w:eastAsia="zh-CN"/>
              </w:rPr>
              <w:t>2020年度</w:t>
            </w:r>
          </w:p>
        </w:tc>
        <w:tc>
          <w:tcPr>
            <w:tcW w:w="4671"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699"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3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支出</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14</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15</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16</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17</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18</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19</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20</w:t>
            </w:r>
          </w:p>
        </w:tc>
        <w:tc>
          <w:tcPr>
            <w:tcW w:w="169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21</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22</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r>
              <w:rPr>
                <w:rFonts w:hint="eastAsia"/>
                <w:color w:val="000000"/>
                <w:sz w:val="20"/>
                <w:szCs w:val="20"/>
              </w:rPr>
              <w:t>1260.89</w:t>
            </w: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23</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24</w:t>
            </w:r>
          </w:p>
        </w:tc>
        <w:tc>
          <w:tcPr>
            <w:tcW w:w="1699"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367" w:hRule="atLeast"/>
        </w:trPr>
        <w:tc>
          <w:tcPr>
            <w:tcW w:w="4279"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rPr>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c>
          <w:tcPr>
            <w:tcW w:w="1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467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25</w:t>
            </w:r>
          </w:p>
        </w:tc>
        <w:tc>
          <w:tcPr>
            <w:tcW w:w="1699" w:type="dxa"/>
            <w:tcBorders>
              <w:top w:val="single" w:color="000000" w:sz="4" w:space="0"/>
              <w:left w:val="nil"/>
              <w:bottom w:val="nil"/>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39" w:hRule="atLeast"/>
        </w:trPr>
        <w:tc>
          <w:tcPr>
            <w:tcW w:w="4279"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4671"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26</w:t>
            </w:r>
          </w:p>
        </w:tc>
        <w:tc>
          <w:tcPr>
            <w:tcW w:w="1699"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rPr>
                <w:b/>
                <w:color w:val="000000"/>
                <w:sz w:val="20"/>
                <w:szCs w:val="20"/>
              </w:rPr>
            </w:pPr>
            <w:r>
              <w:rPr>
                <w:rFonts w:hint="eastAsia"/>
                <w:color w:val="000000"/>
                <w:sz w:val="20"/>
                <w:szCs w:val="20"/>
              </w:rPr>
              <w:t>1260.89</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注：本表反映部门本年度的总收支和年末结转结余情况。本表金额转换为万元时，因四舍五入可能存在尾差。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1027"/>
        <w:gridCol w:w="59"/>
        <w:gridCol w:w="92"/>
        <w:gridCol w:w="1179"/>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7"/>
            <w:tcBorders>
              <w:top w:val="nil"/>
              <w:left w:val="nil"/>
              <w:bottom w:val="nil"/>
              <w:right w:val="nil"/>
            </w:tcBorders>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59"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271"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00" w:hRule="atLeast"/>
        </w:trPr>
        <w:tc>
          <w:tcPr>
            <w:tcW w:w="1027"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部门：平桥区纪委</w:t>
            </w:r>
          </w:p>
        </w:tc>
        <w:tc>
          <w:tcPr>
            <w:tcW w:w="59"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271"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2020年度</w:t>
            </w: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553"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170"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357"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2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2357"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r>
      <w:tr>
        <w:tblPrEx>
          <w:tblCellMar>
            <w:top w:w="0" w:type="dxa"/>
            <w:left w:w="0" w:type="dxa"/>
            <w:bottom w:w="0" w:type="dxa"/>
            <w:right w:w="0" w:type="dxa"/>
          </w:tblCellMar>
        </w:tblPrEx>
        <w:trPr>
          <w:trHeight w:val="450" w:hRule="atLeast"/>
        </w:trPr>
        <w:tc>
          <w:tcPr>
            <w:tcW w:w="1178" w:type="dxa"/>
            <w:gridSpan w:val="3"/>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ab/>
            </w:r>
            <w:r>
              <w:rPr>
                <w:rFonts w:hint="eastAsia"/>
                <w:color w:val="000000"/>
                <w:sz w:val="20"/>
                <w:szCs w:val="20"/>
              </w:rPr>
              <w:t>2011101</w:t>
            </w:r>
          </w:p>
        </w:tc>
        <w:tc>
          <w:tcPr>
            <w:tcW w:w="1179"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行政运行</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2357"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华文中宋" w:hAnsi="华文中宋" w:eastAsia="华文中宋" w:cs="华文中宋"/>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271"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15" w:hRule="atLeast"/>
        </w:trPr>
        <w:tc>
          <w:tcPr>
            <w:tcW w:w="13845" w:type="dxa"/>
            <w:gridSpan w:val="17"/>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注：本表反映部门本年度取得的各项收入情况。本表金额转换为万元时，因四舍五入可能存在尾差。</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1120"/>
        <w:gridCol w:w="63"/>
        <w:gridCol w:w="27"/>
        <w:gridCol w:w="69"/>
        <w:gridCol w:w="1280"/>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6"/>
            <w:tcBorders>
              <w:top w:val="nil"/>
              <w:left w:val="nil"/>
              <w:bottom w:val="nil"/>
              <w:right w:val="nil"/>
            </w:tcBorders>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349"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公开03表</w:t>
            </w:r>
          </w:p>
        </w:tc>
      </w:tr>
      <w:tr>
        <w:tblPrEx>
          <w:tblCellMar>
            <w:top w:w="0" w:type="dxa"/>
            <w:left w:w="0" w:type="dxa"/>
            <w:bottom w:w="0" w:type="dxa"/>
            <w:right w:w="0" w:type="dxa"/>
          </w:tblCellMar>
        </w:tblPrEx>
        <w:trPr>
          <w:trHeight w:val="300" w:hRule="atLeast"/>
        </w:trPr>
        <w:tc>
          <w:tcPr>
            <w:tcW w:w="1120"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部门：平桥区纪委</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349"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center"/>
              <w:rPr>
                <w:rFonts w:hint="default" w:eastAsia="宋体"/>
                <w:color w:val="000000"/>
                <w:sz w:val="20"/>
                <w:szCs w:val="20"/>
                <w:lang w:val="en-US" w:eastAsia="zh-CN"/>
              </w:rPr>
            </w:pPr>
            <w:r>
              <w:rPr>
                <w:rFonts w:hint="eastAsia"/>
                <w:color w:val="000000"/>
                <w:sz w:val="20"/>
                <w:szCs w:val="20"/>
                <w:lang w:val="en-US" w:eastAsia="zh-CN"/>
              </w:rPr>
              <w:t>2020年度</w:t>
            </w: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559" w:type="dxa"/>
            <w:gridSpan w:val="5"/>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37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2559" w:type="dxa"/>
            <w:gridSpan w:val="5"/>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r>
      <w:tr>
        <w:tblPrEx>
          <w:tblCellMar>
            <w:top w:w="0" w:type="dxa"/>
            <w:left w:w="0" w:type="dxa"/>
            <w:bottom w:w="0" w:type="dxa"/>
            <w:right w:w="0" w:type="dxa"/>
          </w:tblCellMar>
        </w:tblPrEx>
        <w:trPr>
          <w:trHeight w:val="450" w:hRule="atLeast"/>
        </w:trPr>
        <w:tc>
          <w:tcPr>
            <w:tcW w:w="1279"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ab/>
            </w:r>
            <w:r>
              <w:rPr>
                <w:rFonts w:hint="eastAsia"/>
                <w:color w:val="000000"/>
                <w:sz w:val="20"/>
                <w:szCs w:val="20"/>
              </w:rPr>
              <w:t>2011101</w:t>
            </w:r>
          </w:p>
        </w:tc>
        <w:tc>
          <w:tcPr>
            <w:tcW w:w="1280"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行政运行</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2559" w:type="dxa"/>
            <w:gridSpan w:val="5"/>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376" w:type="dxa"/>
            <w:gridSpan w:val="3"/>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right"/>
              <w:rPr>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30" w:hRule="atLeast"/>
        </w:trPr>
        <w:tc>
          <w:tcPr>
            <w:tcW w:w="13988" w:type="dxa"/>
            <w:gridSpan w:val="16"/>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注：本表反映部门本年度各项支出情况。本表金额转换为万元时，因四舍五入可能存在尾差。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3994"/>
        <w:gridCol w:w="525"/>
        <w:gridCol w:w="1405"/>
        <w:gridCol w:w="3400"/>
        <w:gridCol w:w="597"/>
        <w:gridCol w:w="1436"/>
        <w:gridCol w:w="615"/>
        <w:gridCol w:w="760"/>
        <w:gridCol w:w="1256"/>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52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40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436"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61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部门：平桥区纪委</w:t>
            </w:r>
          </w:p>
        </w:tc>
        <w:tc>
          <w:tcPr>
            <w:tcW w:w="52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40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jc w:val="right"/>
              <w:rPr>
                <w:rFonts w:hint="default" w:eastAsia="宋体"/>
                <w:color w:val="000000"/>
                <w:sz w:val="20"/>
                <w:szCs w:val="20"/>
                <w:lang w:val="en-US" w:eastAsia="zh-CN"/>
              </w:rPr>
            </w:pPr>
            <w:r>
              <w:rPr>
                <w:rFonts w:hint="eastAsia"/>
                <w:color w:val="000000"/>
                <w:sz w:val="20"/>
                <w:szCs w:val="20"/>
                <w:lang w:val="en-US" w:eastAsia="zh-CN"/>
              </w:rPr>
              <w:t>2020年度</w:t>
            </w:r>
          </w:p>
        </w:tc>
        <w:tc>
          <w:tcPr>
            <w:tcW w:w="597"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1436"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615" w:type="dxa"/>
            <w:tcBorders>
              <w:top w:val="nil"/>
              <w:left w:val="nil"/>
              <w:bottom w:val="nil"/>
              <w:right w:val="nil"/>
            </w:tcBorders>
            <w:shd w:val="clear" w:color="auto" w:fill="FFFFFF"/>
            <w:tcMar>
              <w:top w:w="15" w:type="dxa"/>
              <w:left w:w="15" w:type="dxa"/>
              <w:right w:w="15" w:type="dxa"/>
            </w:tcMar>
            <w:vAlign w:val="center"/>
          </w:tcPr>
          <w:p>
            <w:pPr>
              <w:jc w:val="right"/>
              <w:rPr>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行次</w:t>
            </w:r>
          </w:p>
        </w:tc>
        <w:tc>
          <w:tcPr>
            <w:tcW w:w="1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3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一般公共预算财政拨款</w:t>
            </w: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256"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一、一般公共预算财政拨款</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15</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1260.89</w:t>
            </w: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1260.89</w:t>
            </w: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二、政府性基金预算财政拨款</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16</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17</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18</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19</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20</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color w:val="000000"/>
                <w:sz w:val="20"/>
                <w:szCs w:val="20"/>
              </w:rPr>
            </w:pPr>
            <w:r>
              <w:rPr>
                <w:rFonts w:hint="eastAsia"/>
                <w:color w:val="000000"/>
                <w:sz w:val="20"/>
                <w:szCs w:val="20"/>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21</w:t>
            </w:r>
          </w:p>
        </w:tc>
        <w:tc>
          <w:tcPr>
            <w:tcW w:w="1436"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22</w:t>
            </w:r>
          </w:p>
        </w:tc>
        <w:tc>
          <w:tcPr>
            <w:tcW w:w="143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本年收入合计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23</w:t>
            </w:r>
          </w:p>
        </w:tc>
        <w:tc>
          <w:tcPr>
            <w:tcW w:w="143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b/>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年初财政拨款结转和结余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24</w:t>
            </w:r>
          </w:p>
        </w:tc>
        <w:tc>
          <w:tcPr>
            <w:tcW w:w="143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一般公共预算财政拨款</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25</w:t>
            </w:r>
          </w:p>
        </w:tc>
        <w:tc>
          <w:tcPr>
            <w:tcW w:w="1436"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政府性基金预算财政拨款</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c>
          <w:tcPr>
            <w:tcW w:w="1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26</w:t>
            </w:r>
          </w:p>
        </w:tc>
        <w:tc>
          <w:tcPr>
            <w:tcW w:w="1436" w:type="dxa"/>
            <w:tcBorders>
              <w:top w:val="single" w:color="000000" w:sz="4" w:space="0"/>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nil"/>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jc w:val="center"/>
              <w:rPr>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13</w:t>
            </w:r>
          </w:p>
        </w:tc>
        <w:tc>
          <w:tcPr>
            <w:tcW w:w="14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color w:val="000000"/>
                <w:sz w:val="20"/>
                <w:szCs w:val="20"/>
              </w:rPr>
            </w:pP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27</w:t>
            </w:r>
          </w:p>
        </w:tc>
        <w:tc>
          <w:tcPr>
            <w:tcW w:w="1436" w:type="dxa"/>
            <w:tcBorders>
              <w:top w:val="single" w:color="000000" w:sz="4" w:space="0"/>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p>
        </w:tc>
        <w:tc>
          <w:tcPr>
            <w:tcW w:w="1256" w:type="dxa"/>
            <w:tcBorders>
              <w:top w:val="single" w:color="000000" w:sz="4" w:space="0"/>
              <w:left w:val="nil"/>
              <w:bottom w:val="nil"/>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14</w:t>
            </w:r>
          </w:p>
        </w:tc>
        <w:tc>
          <w:tcPr>
            <w:tcW w:w="140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00"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jc w:val="center"/>
              <w:textAlignment w:val="center"/>
              <w:rPr>
                <w:b/>
                <w:color w:val="000000"/>
                <w:sz w:val="20"/>
                <w:szCs w:val="20"/>
              </w:rPr>
            </w:pPr>
            <w:r>
              <w:rPr>
                <w:rFonts w:hint="eastAsia"/>
                <w:b/>
                <w:color w:val="000000"/>
                <w:sz w:val="20"/>
                <w:szCs w:val="20"/>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28</w:t>
            </w:r>
          </w:p>
        </w:tc>
        <w:tc>
          <w:tcPr>
            <w:tcW w:w="1436" w:type="dxa"/>
            <w:tcBorders>
              <w:top w:val="single" w:color="000000" w:sz="4" w:space="0"/>
              <w:left w:val="nil"/>
              <w:bottom w:val="nil"/>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1260.89</w:t>
            </w:r>
          </w:p>
        </w:tc>
        <w:tc>
          <w:tcPr>
            <w:tcW w:w="1375"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1260.89</w:t>
            </w:r>
          </w:p>
        </w:tc>
        <w:tc>
          <w:tcPr>
            <w:tcW w:w="1256"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rPr>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注：本表反映部门本年度一般公共预算财政拨款和政府性基金预算财政拨款的总收支和年末结转结余情况。本表金额转换为万元时，因四舍五入可能存在尾差。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726"/>
        <w:gridCol w:w="688"/>
        <w:gridCol w:w="405"/>
        <w:gridCol w:w="1820"/>
        <w:gridCol w:w="3449"/>
        <w:gridCol w:w="3449"/>
        <w:gridCol w:w="3451"/>
      </w:tblGrid>
      <w:tr>
        <w:tblPrEx>
          <w:tblCellMar>
            <w:top w:w="0" w:type="dxa"/>
            <w:left w:w="0" w:type="dxa"/>
            <w:bottom w:w="0" w:type="dxa"/>
            <w:right w:w="0" w:type="dxa"/>
          </w:tblCellMar>
        </w:tblPrEx>
        <w:trPr>
          <w:trHeight w:val="600" w:hRule="atLeast"/>
        </w:trPr>
        <w:tc>
          <w:tcPr>
            <w:tcW w:w="13988" w:type="dxa"/>
            <w:gridSpan w:val="7"/>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2225"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51"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w:t>
            </w:r>
            <w:r>
              <w:rPr>
                <w:rStyle w:val="22"/>
                <w:rFonts w:hint="default"/>
              </w:rPr>
              <w:t>5表</w:t>
            </w:r>
          </w:p>
        </w:tc>
      </w:tr>
      <w:tr>
        <w:tblPrEx>
          <w:tblCellMar>
            <w:top w:w="0" w:type="dxa"/>
            <w:left w:w="0" w:type="dxa"/>
            <w:bottom w:w="0" w:type="dxa"/>
            <w:right w:w="0" w:type="dxa"/>
          </w:tblCellMar>
        </w:tblPrEx>
        <w:trPr>
          <w:trHeight w:val="300" w:hRule="atLeast"/>
        </w:trPr>
        <w:tc>
          <w:tcPr>
            <w:tcW w:w="726"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w:t>
            </w: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平桥区纪委</w:t>
            </w:r>
          </w:p>
        </w:tc>
        <w:tc>
          <w:tcPr>
            <w:tcW w:w="2225"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rPr>
                <w:rFonts w:hint="default" w:eastAsia="宋体"/>
                <w:color w:val="000000"/>
                <w:sz w:val="20"/>
                <w:szCs w:val="20"/>
                <w:lang w:val="en-US" w:eastAsia="zh-CN"/>
              </w:rPr>
            </w:pPr>
            <w:r>
              <w:rPr>
                <w:rFonts w:hint="eastAsia"/>
                <w:color w:val="000000"/>
                <w:sz w:val="20"/>
                <w:szCs w:val="20"/>
                <w:lang w:val="en-US" w:eastAsia="zh-CN"/>
              </w:rPr>
              <w:t>2020年度</w:t>
            </w:r>
          </w:p>
        </w:tc>
        <w:tc>
          <w:tcPr>
            <w:tcW w:w="3451"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05" w:hRule="atLeast"/>
        </w:trPr>
        <w:tc>
          <w:tcPr>
            <w:tcW w:w="3639"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项 </w:t>
            </w:r>
            <w:r>
              <w:rPr>
                <w:rStyle w:val="23"/>
                <w:rFonts w:hint="default"/>
                <w:sz w:val="20"/>
                <w:szCs w:val="20"/>
              </w:rPr>
              <w:t xml:space="preserve">   </w:t>
            </w:r>
            <w:r>
              <w:rPr>
                <w:rStyle w:val="21"/>
                <w:rFonts w:hint="default"/>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222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3451"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r>
      <w:tr>
        <w:tblPrEx>
          <w:tblCellMar>
            <w:top w:w="0" w:type="dxa"/>
            <w:left w:w="0" w:type="dxa"/>
            <w:bottom w:w="0" w:type="dxa"/>
            <w:right w:w="0" w:type="dxa"/>
          </w:tblCellMar>
        </w:tblPrEx>
        <w:trPr>
          <w:trHeight w:val="450" w:hRule="atLeast"/>
        </w:trPr>
        <w:tc>
          <w:tcPr>
            <w:tcW w:w="1819"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ab/>
            </w:r>
            <w:r>
              <w:rPr>
                <w:rFonts w:hint="eastAsia"/>
                <w:color w:val="000000"/>
                <w:sz w:val="20"/>
                <w:szCs w:val="20"/>
              </w:rPr>
              <w:t>2011101</w:t>
            </w:r>
          </w:p>
        </w:tc>
        <w:tc>
          <w:tcPr>
            <w:tcW w:w="182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 xml:space="preserve">  行政运行</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3639"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20"/>
                <w:szCs w:val="20"/>
              </w:rPr>
            </w:pPr>
            <w:r>
              <w:rPr>
                <w:rFonts w:hint="eastAsia"/>
                <w:color w:val="000000"/>
                <w:sz w:val="20"/>
                <w:szCs w:val="20"/>
              </w:rPr>
              <w:t>1260.89</w:t>
            </w: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4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p>
        </w:tc>
        <w:tc>
          <w:tcPr>
            <w:tcW w:w="2225"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34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645" w:hRule="atLeast"/>
        </w:trPr>
        <w:tc>
          <w:tcPr>
            <w:tcW w:w="13988" w:type="dxa"/>
            <w:gridSpan w:val="7"/>
            <w:tcBorders>
              <w:top w:val="nil"/>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注：本表反映部门本年度一般公共预算财政拨款支出情况。本表金额转换为万元时，因四舍五入可能存在尾差。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870"/>
        <w:gridCol w:w="2587"/>
        <w:gridCol w:w="1274"/>
        <w:gridCol w:w="870"/>
        <w:gridCol w:w="1743"/>
        <w:gridCol w:w="1261"/>
        <w:gridCol w:w="870"/>
        <w:gridCol w:w="3219"/>
        <w:gridCol w:w="1294"/>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2587"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274"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743" w:type="dxa"/>
            <w:tcBorders>
              <w:top w:val="nil"/>
              <w:left w:val="nil"/>
              <w:bottom w:val="nil"/>
              <w:right w:val="nil"/>
            </w:tcBorders>
            <w:shd w:val="clear" w:color="auto" w:fill="FFFFFF"/>
            <w:tcMar>
              <w:top w:w="15" w:type="dxa"/>
              <w:left w:w="15" w:type="dxa"/>
              <w:right w:w="15" w:type="dxa"/>
            </w:tcMar>
            <w:vAlign w:val="center"/>
          </w:tcPr>
          <w:p>
            <w:pPr>
              <w:rPr>
                <w:rFonts w:hint="default" w:eastAsia="宋体"/>
                <w:color w:val="000000"/>
                <w:sz w:val="20"/>
                <w:szCs w:val="20"/>
                <w:lang w:val="en-US" w:eastAsia="zh-CN"/>
              </w:rPr>
            </w:pPr>
            <w:r>
              <w:rPr>
                <w:rFonts w:hint="eastAsia"/>
                <w:color w:val="000000"/>
                <w:sz w:val="20"/>
                <w:szCs w:val="20"/>
                <w:lang w:val="en-US" w:eastAsia="zh-CN"/>
              </w:rPr>
              <w:t>2020年度</w:t>
            </w:r>
          </w:p>
        </w:tc>
        <w:tc>
          <w:tcPr>
            <w:tcW w:w="126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321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294"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公开06表</w:t>
            </w:r>
          </w:p>
        </w:tc>
      </w:tr>
      <w:tr>
        <w:tblPrEx>
          <w:tblCellMar>
            <w:top w:w="0" w:type="dxa"/>
            <w:left w:w="0" w:type="dxa"/>
            <w:bottom w:w="0" w:type="dxa"/>
            <w:right w:w="0" w:type="dxa"/>
          </w:tblCellMar>
        </w:tblPrEx>
        <w:trPr>
          <w:trHeight w:val="300" w:hRule="atLeast"/>
        </w:trPr>
        <w:tc>
          <w:tcPr>
            <w:tcW w:w="870" w:type="dxa"/>
            <w:tcBorders>
              <w:top w:val="nil"/>
              <w:left w:val="nil"/>
              <w:bottom w:val="nil"/>
              <w:right w:val="nil"/>
            </w:tcBorders>
            <w:tcMar>
              <w:top w:w="15" w:type="dxa"/>
              <w:left w:w="15" w:type="dxa"/>
              <w:right w:w="15" w:type="dxa"/>
            </w:tcMar>
            <w:vAlign w:val="center"/>
          </w:tcPr>
          <w:p>
            <w:pPr>
              <w:textAlignment w:val="center"/>
              <w:rPr>
                <w:rFonts w:ascii="Arial" w:hAnsi="Arial" w:cs="Arial"/>
                <w:color w:val="000000"/>
                <w:sz w:val="20"/>
                <w:szCs w:val="20"/>
              </w:rPr>
            </w:pPr>
            <w:r>
              <w:rPr>
                <w:rFonts w:ascii="Arial" w:hAnsi="Arial" w:cs="Arial"/>
                <w:color w:val="000000"/>
                <w:sz w:val="20"/>
                <w:szCs w:val="20"/>
              </w:rPr>
              <w:t>部门：</w:t>
            </w:r>
          </w:p>
        </w:tc>
        <w:tc>
          <w:tcPr>
            <w:tcW w:w="2587"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r>
              <w:rPr>
                <w:rFonts w:hint="eastAsia"/>
                <w:color w:val="000000"/>
                <w:sz w:val="20"/>
                <w:szCs w:val="20"/>
              </w:rPr>
              <w:t>平桥区纪委</w:t>
            </w:r>
          </w:p>
        </w:tc>
        <w:tc>
          <w:tcPr>
            <w:tcW w:w="1274"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1743"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1261"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3219" w:type="dxa"/>
            <w:tcBorders>
              <w:top w:val="nil"/>
              <w:left w:val="nil"/>
              <w:bottom w:val="nil"/>
              <w:right w:val="nil"/>
            </w:tcBorders>
            <w:tcMar>
              <w:top w:w="15" w:type="dxa"/>
              <w:left w:w="15" w:type="dxa"/>
              <w:right w:w="15" w:type="dxa"/>
            </w:tcMar>
            <w:vAlign w:val="center"/>
          </w:tcPr>
          <w:p>
            <w:pPr>
              <w:rPr>
                <w:rFonts w:ascii="Arial" w:hAnsi="Arial" w:cs="Arial"/>
                <w:color w:val="000000"/>
                <w:sz w:val="20"/>
                <w:szCs w:val="20"/>
              </w:rPr>
            </w:pPr>
          </w:p>
        </w:tc>
        <w:tc>
          <w:tcPr>
            <w:tcW w:w="1294" w:type="dxa"/>
            <w:tcBorders>
              <w:top w:val="nil"/>
              <w:left w:val="nil"/>
              <w:bottom w:val="nil"/>
              <w:right w:val="nil"/>
            </w:tcBorders>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2587"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27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1743"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261"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经济分类科目编码</w:t>
            </w:r>
          </w:p>
        </w:tc>
        <w:tc>
          <w:tcPr>
            <w:tcW w:w="321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294"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工资福利支出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937.18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商品和服务支出</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199.05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资本性支出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30101</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基本工资</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247.19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30201</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办公费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68.84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31001</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房屋建筑物购建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30102</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津贴补贴</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120.77</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30202</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印刷费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76.24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31002</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办公设备购置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30103</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奖金</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269.9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30203</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咨询费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31003</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专用设备购置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30106</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伙食补助费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15.39</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30204</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手续费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31005</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基础设施建设</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30107</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绩效工资</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30205</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水费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0.56</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31006</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大型修缮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30108</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机关事业单位基本养老保险费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54.64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30206</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电费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31007</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信息网络及软件购置更新</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30109</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职业年金缴费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7.23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30207</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邮电费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3.23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31008</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物资储备</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30110</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职工基本医疗保险缴费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41.04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30208</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取暖费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31009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土地补偿</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30111</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公务员医疗补助缴费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30209</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物业管理费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31010</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安置补助</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30112</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其他社会保障缴费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30211</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差旅费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3.43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31011</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地上附着物和青苗补偿</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30113</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住房公积金</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173.38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30212</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因公出国（境）费用</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31012</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拆迁补偿</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30114</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医疗费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30213</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维修（护）费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9.15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31013</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公务用车购置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30199</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其他工资福利支出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7.64</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30214</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租赁费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31019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其他交通工具购置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对个人和家庭的补助</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6.61</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30215</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会议费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31021</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文物和陈列品购置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30301</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离休费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30216</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培训费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0.43</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31022</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无形资产购置</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30302</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退休费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30217</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公务招待费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31099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其他资本性支出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30303</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退职（役）费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30218</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专用材料费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对企业补助</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30304</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抚恤金</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30224</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被装购置费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31201</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资本金注入</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30305</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生活补助</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30225</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专用燃料费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31203</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政府投资基金股权投资</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30306</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救济费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6.61</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30226</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劳务费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32.48</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31204</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费用补贴</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30307</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医疗费补助</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30227</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委托业务费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0.2</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31205</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利息补贴</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30308</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助学金</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30228</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工会经费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31299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其他对企业补助</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30309</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奖励金</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30229</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福利费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313</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对社会保障基金补助</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30310</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个人农业生产补贴</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30231</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公务用车运行维护费</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31302</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对社会保险基金补助</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30399</w:t>
            </w: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对其他个人和家庭的补助支出</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30239</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其他交通费用</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4.5</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31303</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补充全国社会保障基金</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30240</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税金及附加费用</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399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其他支出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30299</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其他商品和服务支出</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39906</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赠与</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307</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债务利息及费用支出</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39907</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国家赔偿费用支出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30701</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国内债务付息</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39908</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对民间非营利组织和群众性自治组织补贴</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30702</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国外债务付息</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39999</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其他支出</w:t>
            </w: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2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30703</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国内债务发行费用</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3457"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30704</w:t>
            </w:r>
          </w:p>
        </w:tc>
        <w:tc>
          <w:tcPr>
            <w:tcW w:w="1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 xml:space="preserve">  国外债务发行费用</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18"/>
                <w:szCs w:val="18"/>
              </w:rPr>
            </w:pP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18"/>
                <w:szCs w:val="18"/>
              </w:rPr>
            </w:pPr>
          </w:p>
        </w:tc>
        <w:tc>
          <w:tcPr>
            <w:tcW w:w="1294"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252" w:hRule="atLeast"/>
        </w:trPr>
        <w:tc>
          <w:tcPr>
            <w:tcW w:w="3457"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人员经费合计</w:t>
            </w:r>
          </w:p>
        </w:tc>
        <w:tc>
          <w:tcPr>
            <w:tcW w:w="127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943.8</w:t>
            </w:r>
          </w:p>
        </w:tc>
        <w:tc>
          <w:tcPr>
            <w:tcW w:w="7963" w:type="dxa"/>
            <w:gridSpan w:val="5"/>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公用经费合计</w:t>
            </w:r>
          </w:p>
        </w:tc>
        <w:tc>
          <w:tcPr>
            <w:tcW w:w="1294"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color w:val="000000"/>
                <w:sz w:val="20"/>
                <w:szCs w:val="20"/>
              </w:rPr>
            </w:pPr>
            <w:r>
              <w:rPr>
                <w:rFonts w:hint="eastAsia"/>
                <w:color w:val="000000"/>
                <w:sz w:val="20"/>
                <w:szCs w:val="20"/>
              </w:rPr>
              <w:t>317.09</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注：本表反映部门本年度一般公共预算财政拨款基本支出明细情况。本表金额转换为万元时，因四舍五入可能存在尾差。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Layout w:type="fixed"/>
        <w:tblCellMar>
          <w:top w:w="0" w:type="dxa"/>
          <w:left w:w="0" w:type="dxa"/>
          <w:bottom w:w="0" w:type="dxa"/>
          <w:right w:w="0" w:type="dxa"/>
        </w:tblCellMar>
      </w:tblPr>
      <w:tblGrid>
        <w:gridCol w:w="612"/>
        <w:gridCol w:w="539"/>
        <w:gridCol w:w="1149"/>
        <w:gridCol w:w="127"/>
        <w:gridCol w:w="1023"/>
        <w:gridCol w:w="903"/>
        <w:gridCol w:w="247"/>
        <w:gridCol w:w="1151"/>
        <w:gridCol w:w="528"/>
        <w:gridCol w:w="622"/>
        <w:gridCol w:w="1151"/>
        <w:gridCol w:w="153"/>
        <w:gridCol w:w="998"/>
        <w:gridCol w:w="929"/>
        <w:gridCol w:w="222"/>
        <w:gridCol w:w="1151"/>
        <w:gridCol w:w="553"/>
        <w:gridCol w:w="598"/>
        <w:gridCol w:w="1151"/>
        <w:gridCol w:w="184"/>
      </w:tblGrid>
      <w:tr>
        <w:tblPrEx>
          <w:tblCellMar>
            <w:top w:w="0" w:type="dxa"/>
            <w:left w:w="0" w:type="dxa"/>
            <w:bottom w:w="0" w:type="dxa"/>
            <w:right w:w="0" w:type="dxa"/>
          </w:tblCellMar>
        </w:tblPrEx>
        <w:trPr>
          <w:gridAfter w:val="1"/>
          <w:wAfter w:w="181" w:type="dxa"/>
          <w:trHeight w:val="600" w:hRule="atLeast"/>
        </w:trPr>
        <w:tc>
          <w:tcPr>
            <w:tcW w:w="13807" w:type="dxa"/>
            <w:gridSpan w:val="19"/>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一般公共预算财政拨款“三公”经费支出决算表</w:t>
            </w:r>
          </w:p>
        </w:tc>
      </w:tr>
      <w:tr>
        <w:tblPrEx>
          <w:tblCellMar>
            <w:top w:w="0" w:type="dxa"/>
            <w:left w:w="0" w:type="dxa"/>
            <w:bottom w:w="0" w:type="dxa"/>
            <w:right w:w="0" w:type="dxa"/>
          </w:tblCellMar>
        </w:tblPrEx>
        <w:trPr>
          <w:gridAfter w:val="1"/>
          <w:wAfter w:w="181" w:type="dxa"/>
          <w:trHeight w:val="222" w:hRule="atLeast"/>
        </w:trPr>
        <w:tc>
          <w:tcPr>
            <w:tcW w:w="1151"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0"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公开07表</w:t>
            </w:r>
          </w:p>
        </w:tc>
      </w:tr>
      <w:tr>
        <w:tblPrEx>
          <w:tblCellMar>
            <w:top w:w="0" w:type="dxa"/>
            <w:left w:w="0" w:type="dxa"/>
            <w:bottom w:w="0" w:type="dxa"/>
            <w:right w:w="0" w:type="dxa"/>
          </w:tblCellMar>
        </w:tblPrEx>
        <w:trPr>
          <w:gridAfter w:val="1"/>
          <w:wAfter w:w="181" w:type="dxa"/>
          <w:trHeight w:val="300" w:hRule="atLeast"/>
        </w:trPr>
        <w:tc>
          <w:tcPr>
            <w:tcW w:w="1151" w:type="dxa"/>
            <w:gridSpan w:val="2"/>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r>
              <w:rPr>
                <w:rFonts w:hint="eastAsia"/>
                <w:color w:val="000000"/>
                <w:sz w:val="20"/>
                <w:szCs w:val="20"/>
              </w:rPr>
              <w:t>平桥区纪委</w:t>
            </w: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0"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rFonts w:hint="default" w:eastAsia="宋体"/>
                <w:color w:val="000000"/>
                <w:sz w:val="20"/>
                <w:szCs w:val="20"/>
                <w:lang w:val="en-US" w:eastAsia="zh-CN"/>
              </w:rPr>
            </w:pPr>
            <w:r>
              <w:rPr>
                <w:rFonts w:hint="eastAsia"/>
                <w:color w:val="000000"/>
                <w:sz w:val="20"/>
                <w:szCs w:val="20"/>
                <w:lang w:val="en-US" w:eastAsia="zh-CN"/>
              </w:rPr>
              <w:t>2020年度</w:t>
            </w: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151"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81" w:type="dxa"/>
          <w:trHeight w:val="559" w:hRule="atLeast"/>
        </w:trPr>
        <w:tc>
          <w:tcPr>
            <w:tcW w:w="6901" w:type="dxa"/>
            <w:gridSpan w:val="10"/>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预算数</w:t>
            </w:r>
          </w:p>
        </w:tc>
        <w:tc>
          <w:tcPr>
            <w:tcW w:w="6906" w:type="dxa"/>
            <w:gridSpan w:val="9"/>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决算数</w:t>
            </w:r>
          </w:p>
        </w:tc>
      </w:tr>
      <w:tr>
        <w:tblPrEx>
          <w:tblCellMar>
            <w:top w:w="0" w:type="dxa"/>
            <w:left w:w="0" w:type="dxa"/>
            <w:bottom w:w="0" w:type="dxa"/>
            <w:right w:w="0" w:type="dxa"/>
          </w:tblCellMar>
        </w:tblPrEx>
        <w:trPr>
          <w:gridAfter w:val="1"/>
          <w:wAfter w:w="181" w:type="dxa"/>
          <w:trHeight w:val="600" w:hRule="atLeast"/>
        </w:trPr>
        <w:tc>
          <w:tcPr>
            <w:tcW w:w="1151"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因公出国（境）费</w:t>
            </w:r>
          </w:p>
        </w:tc>
        <w:tc>
          <w:tcPr>
            <w:tcW w:w="345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公务用车购置及运行费</w:t>
            </w:r>
          </w:p>
        </w:tc>
        <w:tc>
          <w:tcPr>
            <w:tcW w:w="115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1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因公出国（境）费</w:t>
            </w:r>
          </w:p>
        </w:tc>
        <w:tc>
          <w:tcPr>
            <w:tcW w:w="345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公务接待费</w:t>
            </w:r>
          </w:p>
        </w:tc>
      </w:tr>
      <w:tr>
        <w:tblPrEx>
          <w:tblCellMar>
            <w:top w:w="0" w:type="dxa"/>
            <w:left w:w="0" w:type="dxa"/>
            <w:bottom w:w="0" w:type="dxa"/>
            <w:right w:w="0" w:type="dxa"/>
          </w:tblCellMar>
        </w:tblPrEx>
        <w:trPr>
          <w:gridAfter w:val="1"/>
          <w:wAfter w:w="181" w:type="dxa"/>
          <w:trHeight w:val="600" w:hRule="atLeast"/>
        </w:trPr>
        <w:tc>
          <w:tcPr>
            <w:tcW w:w="1151"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150"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r>
              <w:rPr>
                <w:rFonts w:hint="eastAsia"/>
                <w:color w:val="000000"/>
                <w:sz w:val="20"/>
                <w:szCs w:val="20"/>
              </w:rPr>
              <w:br w:type="textWrapping"/>
            </w:r>
            <w:r>
              <w:rPr>
                <w:rFonts w:hint="eastAsia"/>
                <w:color w:val="000000"/>
                <w:sz w:val="20"/>
                <w:szCs w:val="20"/>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r>
              <w:rPr>
                <w:rFonts w:hint="eastAsia"/>
                <w:color w:val="000000"/>
                <w:sz w:val="20"/>
                <w:szCs w:val="20"/>
              </w:rPr>
              <w:br w:type="textWrapping"/>
            </w:r>
            <w:r>
              <w:rPr>
                <w:rFonts w:hint="eastAsia"/>
                <w:color w:val="000000"/>
                <w:sz w:val="20"/>
                <w:szCs w:val="20"/>
              </w:rPr>
              <w:t>运行费</w:t>
            </w:r>
          </w:p>
        </w:tc>
        <w:tc>
          <w:tcPr>
            <w:tcW w:w="115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15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r>
              <w:rPr>
                <w:rFonts w:hint="eastAsia"/>
                <w:color w:val="000000"/>
                <w:sz w:val="20"/>
                <w:szCs w:val="20"/>
              </w:rPr>
              <w:br w:type="textWrapping"/>
            </w:r>
            <w:r>
              <w:rPr>
                <w:rFonts w:hint="eastAsia"/>
                <w:color w:val="000000"/>
                <w:sz w:val="20"/>
                <w:szCs w:val="20"/>
              </w:rPr>
              <w:t>购置费</w:t>
            </w:r>
          </w:p>
        </w:tc>
        <w:tc>
          <w:tcPr>
            <w:tcW w:w="115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公务用车</w:t>
            </w:r>
            <w:r>
              <w:rPr>
                <w:rFonts w:hint="eastAsia"/>
                <w:color w:val="000000"/>
                <w:sz w:val="20"/>
                <w:szCs w:val="20"/>
              </w:rPr>
              <w:br w:type="textWrapping"/>
            </w:r>
            <w:r>
              <w:rPr>
                <w:rFonts w:hint="eastAsia"/>
                <w:color w:val="000000"/>
                <w:sz w:val="20"/>
                <w:szCs w:val="20"/>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gridAfter w:val="1"/>
          <w:wAfter w:w="181" w:type="dxa"/>
          <w:trHeight w:val="559" w:hRule="atLeast"/>
        </w:trPr>
        <w:tc>
          <w:tcPr>
            <w:tcW w:w="1151"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1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7</w:t>
            </w:r>
          </w:p>
        </w:tc>
        <w:tc>
          <w:tcPr>
            <w:tcW w:w="11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8</w:t>
            </w:r>
          </w:p>
        </w:tc>
        <w:tc>
          <w:tcPr>
            <w:tcW w:w="11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10</w:t>
            </w:r>
          </w:p>
        </w:tc>
        <w:tc>
          <w:tcPr>
            <w:tcW w:w="11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12</w:t>
            </w:r>
          </w:p>
        </w:tc>
      </w:tr>
      <w:tr>
        <w:tblPrEx>
          <w:tblCellMar>
            <w:top w:w="0" w:type="dxa"/>
            <w:left w:w="0" w:type="dxa"/>
            <w:bottom w:w="0" w:type="dxa"/>
            <w:right w:w="0" w:type="dxa"/>
          </w:tblCellMar>
        </w:tblPrEx>
        <w:trPr>
          <w:gridAfter w:val="1"/>
          <w:wAfter w:w="181" w:type="dxa"/>
          <w:trHeight w:val="855" w:hRule="atLeast"/>
        </w:trPr>
        <w:tc>
          <w:tcPr>
            <w:tcW w:w="1151"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116.84</w:t>
            </w: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w:t>
            </w:r>
          </w:p>
        </w:tc>
        <w:tc>
          <w:tcPr>
            <w:tcW w:w="115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116.84</w:t>
            </w:r>
          </w:p>
        </w:tc>
        <w:tc>
          <w:tcPr>
            <w:tcW w:w="115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116.84</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150"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w:t>
            </w: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116.84</w:t>
            </w:r>
          </w:p>
        </w:tc>
        <w:tc>
          <w:tcPr>
            <w:tcW w:w="115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0</w:t>
            </w:r>
          </w:p>
        </w:tc>
        <w:tc>
          <w:tcPr>
            <w:tcW w:w="1151"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r>
              <w:rPr>
                <w:rFonts w:hint="eastAsia"/>
                <w:color w:val="000000"/>
                <w:sz w:val="20"/>
                <w:szCs w:val="20"/>
              </w:rPr>
              <w:t>116.84</w:t>
            </w:r>
          </w:p>
        </w:tc>
        <w:tc>
          <w:tcPr>
            <w:tcW w:w="1151" w:type="dxa"/>
            <w:gridSpan w:val="2"/>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color w:val="000000"/>
                <w:sz w:val="20"/>
                <w:szCs w:val="20"/>
              </w:rPr>
            </w:pPr>
            <w:r>
              <w:rPr>
                <w:rFonts w:hint="eastAsia"/>
                <w:color w:val="000000"/>
                <w:sz w:val="20"/>
                <w:szCs w:val="20"/>
              </w:rPr>
              <w:t>0</w:t>
            </w:r>
          </w:p>
        </w:tc>
      </w:tr>
      <w:tr>
        <w:tblPrEx>
          <w:tblCellMar>
            <w:top w:w="0" w:type="dxa"/>
            <w:left w:w="0" w:type="dxa"/>
            <w:bottom w:w="0" w:type="dxa"/>
            <w:right w:w="0" w:type="dxa"/>
          </w:tblCellMar>
        </w:tblPrEx>
        <w:trPr>
          <w:gridAfter w:val="1"/>
          <w:wAfter w:w="181" w:type="dxa"/>
          <w:trHeight w:val="900" w:hRule="atLeast"/>
        </w:trPr>
        <w:tc>
          <w:tcPr>
            <w:tcW w:w="13807" w:type="dxa"/>
            <w:gridSpan w:val="19"/>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注：本表反映部门本年度“三公”经费支出预决算情况。其中，</w:t>
            </w:r>
            <w:r>
              <w:rPr>
                <w:rStyle w:val="25"/>
                <w:rFonts w:hint="default"/>
              </w:rPr>
              <w:t>预算数为“三公”经费年初预算数，决算数是包括当年一般公共预算财政拨款和以前年度结转资金安排的实际支出。</w:t>
            </w:r>
            <w:r>
              <w:rPr>
                <w:rFonts w:hint="eastAsia"/>
                <w:color w:val="000000"/>
                <w:sz w:val="20"/>
                <w:szCs w:val="20"/>
              </w:rPr>
              <w:t>本表金额转换为万元时，因四舍五入可能存在尾差。</w:t>
            </w:r>
          </w:p>
        </w:tc>
      </w:tr>
      <w:tr>
        <w:tblPrEx>
          <w:tblCellMar>
            <w:top w:w="0" w:type="dxa"/>
            <w:left w:w="0" w:type="dxa"/>
            <w:bottom w:w="0" w:type="dxa"/>
            <w:right w:w="0" w:type="dxa"/>
          </w:tblCellMar>
        </w:tblPrEx>
        <w:trPr>
          <w:trHeight w:val="600" w:hRule="atLeast"/>
        </w:trPr>
        <w:tc>
          <w:tcPr>
            <w:tcW w:w="13988" w:type="dxa"/>
            <w:gridSpan w:val="20"/>
            <w:tcBorders>
              <w:top w:val="nil"/>
              <w:left w:val="nil"/>
              <w:bottom w:val="nil"/>
              <w:right w:val="nil"/>
            </w:tcBorders>
            <w:shd w:val="clear" w:color="auto" w:fill="FFFFFF"/>
            <w:tcMar>
              <w:top w:w="15" w:type="dxa"/>
              <w:left w:w="15" w:type="dxa"/>
              <w:right w:w="15" w:type="dxa"/>
            </w:tcMar>
            <w:vAlign w:val="center"/>
          </w:tcPr>
          <w:p>
            <w:pPr>
              <w:jc w:val="center"/>
              <w:textAlignment w:val="center"/>
              <w:rPr>
                <w:rFonts w:ascii="华文中宋" w:hAnsi="华文中宋" w:eastAsia="华文中宋" w:cs="华文中宋"/>
                <w:color w:val="000000"/>
                <w:sz w:val="32"/>
                <w:szCs w:val="32"/>
              </w:rPr>
            </w:pPr>
          </w:p>
          <w:p>
            <w:pPr>
              <w:jc w:val="center"/>
              <w:textAlignment w:val="center"/>
              <w:rPr>
                <w:rFonts w:ascii="华文中宋" w:hAnsi="华文中宋" w:eastAsia="华文中宋" w:cs="华文中宋"/>
                <w:color w:val="000000"/>
                <w:sz w:val="32"/>
                <w:szCs w:val="32"/>
              </w:rPr>
            </w:pPr>
          </w:p>
          <w:p>
            <w:pPr>
              <w:jc w:val="center"/>
              <w:textAlignment w:val="center"/>
              <w:rPr>
                <w:rFonts w:ascii="华文中宋" w:hAnsi="华文中宋" w:eastAsia="华文中宋" w:cs="华文中宋"/>
                <w:color w:val="000000"/>
                <w:sz w:val="32"/>
                <w:szCs w:val="32"/>
              </w:rPr>
            </w:pPr>
          </w:p>
          <w:p>
            <w:pPr>
              <w:jc w:val="center"/>
              <w:textAlignment w:val="center"/>
              <w:rPr>
                <w:rFonts w:ascii="华文中宋" w:hAnsi="华文中宋" w:eastAsia="华文中宋" w:cs="华文中宋"/>
                <w:color w:val="000000"/>
                <w:sz w:val="32"/>
                <w:szCs w:val="32"/>
              </w:rPr>
            </w:pPr>
          </w:p>
          <w:p>
            <w:pPr>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33" w:type="dxa"/>
            <w:gridSpan w:val="3"/>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公开08表</w:t>
            </w:r>
          </w:p>
        </w:tc>
      </w:tr>
      <w:tr>
        <w:tblPrEx>
          <w:tblCellMar>
            <w:top w:w="0" w:type="dxa"/>
            <w:left w:w="0" w:type="dxa"/>
            <w:bottom w:w="0" w:type="dxa"/>
            <w:right w:w="0" w:type="dxa"/>
          </w:tblCellMar>
        </w:tblPrEx>
        <w:trPr>
          <w:trHeight w:val="300" w:hRule="atLeast"/>
        </w:trPr>
        <w:tc>
          <w:tcPr>
            <w:tcW w:w="612" w:type="dxa"/>
            <w:tcBorders>
              <w:top w:val="nil"/>
              <w:left w:val="nil"/>
              <w:bottom w:val="nil"/>
              <w:right w:val="nil"/>
            </w:tcBorders>
            <w:shd w:val="clear" w:color="auto" w:fill="FFFFFF"/>
            <w:tcMar>
              <w:top w:w="15" w:type="dxa"/>
              <w:left w:w="15" w:type="dxa"/>
              <w:right w:w="15" w:type="dxa"/>
            </w:tcMar>
            <w:vAlign w:val="center"/>
          </w:tcPr>
          <w:p>
            <w:pPr>
              <w:textAlignment w:val="center"/>
              <w:rPr>
                <w:color w:val="000000"/>
                <w:sz w:val="20"/>
                <w:szCs w:val="20"/>
              </w:rPr>
            </w:pPr>
            <w:r>
              <w:rPr>
                <w:rFonts w:hint="eastAsia"/>
                <w:color w:val="000000"/>
                <w:sz w:val="20"/>
                <w:szCs w:val="20"/>
              </w:rPr>
              <w:t>部门：</w:t>
            </w:r>
          </w:p>
        </w:tc>
        <w:tc>
          <w:tcPr>
            <w:tcW w:w="536" w:type="dxa"/>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p>
        </w:tc>
        <w:tc>
          <w:tcPr>
            <w:tcW w:w="1276" w:type="dxa"/>
            <w:gridSpan w:val="2"/>
            <w:tcBorders>
              <w:top w:val="nil"/>
              <w:left w:val="nil"/>
              <w:bottom w:val="nil"/>
              <w:right w:val="nil"/>
            </w:tcBorders>
            <w:shd w:val="clear" w:color="auto" w:fill="FFFFFF"/>
            <w:tcMar>
              <w:top w:w="15" w:type="dxa"/>
              <w:left w:w="15" w:type="dxa"/>
              <w:right w:w="15" w:type="dxa"/>
            </w:tcMar>
            <w:vAlign w:val="center"/>
          </w:tcPr>
          <w:p>
            <w:pPr>
              <w:jc w:val="center"/>
              <w:rPr>
                <w:color w:val="000000"/>
                <w:sz w:val="20"/>
                <w:szCs w:val="20"/>
              </w:rPr>
            </w:pPr>
            <w:r>
              <w:rPr>
                <w:rFonts w:hint="eastAsia"/>
                <w:color w:val="000000"/>
                <w:sz w:val="20"/>
                <w:szCs w:val="20"/>
              </w:rPr>
              <w:t>平桥区纪委</w:t>
            </w:r>
          </w:p>
        </w:tc>
        <w:tc>
          <w:tcPr>
            <w:tcW w:w="1926"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single" w:color="000000" w:sz="8" w:space="0"/>
              <w:right w:val="nil"/>
            </w:tcBorders>
            <w:shd w:val="clear" w:color="auto" w:fill="FFFFFF"/>
            <w:tcMar>
              <w:top w:w="15" w:type="dxa"/>
              <w:left w:w="15" w:type="dxa"/>
              <w:right w:w="15" w:type="dxa"/>
            </w:tcMar>
            <w:vAlign w:val="center"/>
          </w:tcPr>
          <w:p>
            <w:pPr>
              <w:rPr>
                <w:rFonts w:hint="default" w:eastAsia="宋体"/>
                <w:color w:val="000000"/>
                <w:sz w:val="20"/>
                <w:szCs w:val="20"/>
                <w:lang w:val="en-US" w:eastAsia="zh-CN"/>
              </w:rPr>
            </w:pPr>
            <w:r>
              <w:rPr>
                <w:rFonts w:hint="eastAsia"/>
                <w:color w:val="000000"/>
                <w:sz w:val="20"/>
                <w:szCs w:val="20"/>
                <w:lang w:val="en-US" w:eastAsia="zh-CN"/>
              </w:rPr>
              <w:t>2020年度</w:t>
            </w:r>
          </w:p>
        </w:tc>
        <w:tc>
          <w:tcPr>
            <w:tcW w:w="1927" w:type="dxa"/>
            <w:gridSpan w:val="2"/>
            <w:tcBorders>
              <w:top w:val="nil"/>
              <w:left w:val="nil"/>
              <w:bottom w:val="single" w:color="000000" w:sz="8" w:space="0"/>
              <w:right w:val="nil"/>
            </w:tcBorders>
            <w:shd w:val="clear" w:color="auto" w:fill="FFFFFF"/>
            <w:tcMar>
              <w:top w:w="15" w:type="dxa"/>
              <w:left w:w="15" w:type="dxa"/>
              <w:right w:w="15" w:type="dxa"/>
            </w:tcMar>
            <w:vAlign w:val="center"/>
          </w:tcPr>
          <w:p>
            <w:pPr>
              <w:rPr>
                <w:color w:val="000000"/>
                <w:sz w:val="20"/>
                <w:szCs w:val="20"/>
              </w:rPr>
            </w:pPr>
          </w:p>
        </w:tc>
        <w:tc>
          <w:tcPr>
            <w:tcW w:w="1926" w:type="dxa"/>
            <w:gridSpan w:val="3"/>
            <w:tcBorders>
              <w:top w:val="nil"/>
              <w:left w:val="nil"/>
              <w:bottom w:val="nil"/>
              <w:right w:val="nil"/>
            </w:tcBorders>
            <w:shd w:val="clear" w:color="auto" w:fill="FFFFFF"/>
            <w:tcMar>
              <w:top w:w="15" w:type="dxa"/>
              <w:left w:w="15" w:type="dxa"/>
              <w:right w:w="15" w:type="dxa"/>
            </w:tcMar>
            <w:vAlign w:val="center"/>
          </w:tcPr>
          <w:p>
            <w:pPr>
              <w:rPr>
                <w:color w:val="000000"/>
                <w:sz w:val="20"/>
                <w:szCs w:val="20"/>
              </w:rPr>
            </w:pPr>
          </w:p>
        </w:tc>
        <w:tc>
          <w:tcPr>
            <w:tcW w:w="1933" w:type="dxa"/>
            <w:gridSpan w:val="3"/>
            <w:tcBorders>
              <w:top w:val="nil"/>
              <w:left w:val="nil"/>
              <w:bottom w:val="nil"/>
              <w:right w:val="nil"/>
            </w:tcBorders>
            <w:shd w:val="clear" w:color="auto" w:fill="FFFFFF"/>
            <w:tcMar>
              <w:top w:w="15" w:type="dxa"/>
              <w:left w:w="15" w:type="dxa"/>
              <w:right w:w="15" w:type="dxa"/>
            </w:tcMar>
            <w:vAlign w:val="center"/>
          </w:tcPr>
          <w:p>
            <w:pPr>
              <w:jc w:val="right"/>
              <w:textAlignment w:val="center"/>
              <w:rPr>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05" w:hRule="atLeast"/>
        </w:trPr>
        <w:tc>
          <w:tcPr>
            <w:tcW w:w="2424" w:type="dxa"/>
            <w:gridSpan w:val="4"/>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    目</w:t>
            </w:r>
          </w:p>
        </w:tc>
        <w:tc>
          <w:tcPr>
            <w:tcW w:w="1926" w:type="dxa"/>
            <w:gridSpan w:val="2"/>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年初结转和结余</w:t>
            </w:r>
          </w:p>
        </w:tc>
        <w:tc>
          <w:tcPr>
            <w:tcW w:w="1926" w:type="dxa"/>
            <w:gridSpan w:val="3"/>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本年收入</w:t>
            </w:r>
          </w:p>
        </w:tc>
        <w:tc>
          <w:tcPr>
            <w:tcW w:w="5779" w:type="dxa"/>
            <w:gridSpan w:val="8"/>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本年支出</w:t>
            </w:r>
          </w:p>
        </w:tc>
        <w:tc>
          <w:tcPr>
            <w:tcW w:w="1933" w:type="dxa"/>
            <w:gridSpan w:val="3"/>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功能分类</w:t>
            </w:r>
          </w:p>
          <w:p>
            <w:pPr>
              <w:jc w:val="center"/>
              <w:textAlignment w:val="center"/>
              <w:rPr>
                <w:color w:val="000000"/>
                <w:sz w:val="20"/>
                <w:szCs w:val="20"/>
              </w:rPr>
            </w:pPr>
            <w:r>
              <w:rPr>
                <w:rFonts w:hint="eastAsia"/>
                <w:color w:val="000000"/>
                <w:sz w:val="20"/>
                <w:szCs w:val="20"/>
              </w:rPr>
              <w:t>科目编码</w:t>
            </w:r>
          </w:p>
        </w:tc>
        <w:tc>
          <w:tcPr>
            <w:tcW w:w="127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科目名称</w:t>
            </w: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小计</w:t>
            </w:r>
          </w:p>
        </w:tc>
        <w:tc>
          <w:tcPr>
            <w:tcW w:w="192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基本支出</w:t>
            </w:r>
          </w:p>
        </w:tc>
        <w:tc>
          <w:tcPr>
            <w:tcW w:w="1926" w:type="dxa"/>
            <w:gridSpan w:val="3"/>
            <w:vMerge w:val="restart"/>
            <w:tcBorders>
              <w:top w:val="nil"/>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项目支出</w:t>
            </w:r>
          </w:p>
        </w:tc>
        <w:tc>
          <w:tcPr>
            <w:tcW w:w="1933" w:type="dxa"/>
            <w:gridSpan w:val="3"/>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33" w:type="dxa"/>
            <w:gridSpan w:val="3"/>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vMerge w:val="continue"/>
            <w:tcBorders>
              <w:top w:val="nil"/>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33" w:type="dxa"/>
            <w:gridSpan w:val="3"/>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2424" w:type="dxa"/>
            <w:gridSpan w:val="4"/>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栏次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1</w:t>
            </w: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2</w:t>
            </w: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3</w:t>
            </w: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4</w:t>
            </w: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5</w:t>
            </w: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6</w:t>
            </w:r>
          </w:p>
        </w:tc>
      </w:tr>
      <w:tr>
        <w:tblPrEx>
          <w:tblCellMar>
            <w:top w:w="0" w:type="dxa"/>
            <w:left w:w="0" w:type="dxa"/>
            <w:bottom w:w="0" w:type="dxa"/>
            <w:right w:w="0" w:type="dxa"/>
          </w:tblCellMar>
        </w:tblPrEx>
        <w:trPr>
          <w:trHeight w:val="450" w:hRule="atLeast"/>
        </w:trPr>
        <w:tc>
          <w:tcPr>
            <w:tcW w:w="2424" w:type="dxa"/>
            <w:gridSpan w:val="4"/>
            <w:tcBorders>
              <w:top w:val="nil"/>
              <w:left w:val="single" w:color="000000" w:sz="8" w:space="0"/>
              <w:bottom w:val="single" w:color="000000" w:sz="4" w:space="0"/>
              <w:right w:val="single" w:color="000000" w:sz="4" w:space="0"/>
            </w:tcBorders>
            <w:tcMar>
              <w:top w:w="15" w:type="dxa"/>
              <w:left w:w="15" w:type="dxa"/>
              <w:right w:w="15" w:type="dxa"/>
            </w:tcMar>
            <w:vAlign w:val="center"/>
          </w:tcPr>
          <w:p>
            <w:pPr>
              <w:jc w:val="center"/>
              <w:textAlignment w:val="center"/>
              <w:rPr>
                <w:color w:val="000000"/>
                <w:sz w:val="20"/>
                <w:szCs w:val="20"/>
              </w:rPr>
            </w:pPr>
            <w:r>
              <w:rPr>
                <w:rFonts w:hint="eastAsia"/>
                <w:color w:val="000000"/>
                <w:sz w:val="20"/>
                <w:szCs w:val="20"/>
              </w:rPr>
              <w:t>合计</w:t>
            </w: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jc w:val="center"/>
              <w:rPr>
                <w:color w:val="000000"/>
                <w:sz w:val="20"/>
                <w:szCs w:val="20"/>
              </w:rPr>
            </w:pPr>
          </w:p>
        </w:tc>
        <w:tc>
          <w:tcPr>
            <w:tcW w:w="127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rPr>
                <w:color w:val="000000"/>
                <w:sz w:val="20"/>
                <w:szCs w:val="20"/>
              </w:rPr>
            </w:pPr>
          </w:p>
        </w:tc>
        <w:tc>
          <w:tcPr>
            <w:tcW w:w="1926" w:type="dxa"/>
            <w:gridSpan w:val="3"/>
            <w:tcBorders>
              <w:top w:val="single" w:color="000000" w:sz="4" w:space="0"/>
              <w:left w:val="single" w:color="000000" w:sz="4" w:space="0"/>
              <w:bottom w:val="single" w:color="000000" w:sz="8" w:space="0"/>
              <w:right w:val="nil"/>
            </w:tcBorders>
            <w:tcMar>
              <w:top w:w="15" w:type="dxa"/>
              <w:left w:w="15" w:type="dxa"/>
              <w:right w:w="15" w:type="dxa"/>
            </w:tcMar>
            <w:vAlign w:val="center"/>
          </w:tcPr>
          <w:p>
            <w:pPr>
              <w:rPr>
                <w:color w:val="000000"/>
                <w:sz w:val="20"/>
                <w:szCs w:val="20"/>
              </w:rPr>
            </w:pPr>
          </w:p>
        </w:tc>
        <w:tc>
          <w:tcPr>
            <w:tcW w:w="1933" w:type="dxa"/>
            <w:gridSpan w:val="3"/>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rPr>
                <w:color w:val="000000"/>
                <w:sz w:val="20"/>
                <w:szCs w:val="20"/>
              </w:rPr>
            </w:pPr>
          </w:p>
        </w:tc>
      </w:tr>
      <w:tr>
        <w:tblPrEx>
          <w:tblCellMar>
            <w:top w:w="0" w:type="dxa"/>
            <w:left w:w="0" w:type="dxa"/>
            <w:bottom w:w="0" w:type="dxa"/>
            <w:right w:w="0" w:type="dxa"/>
          </w:tblCellMar>
        </w:tblPrEx>
        <w:trPr>
          <w:trHeight w:val="645" w:hRule="atLeast"/>
        </w:trPr>
        <w:tc>
          <w:tcPr>
            <w:tcW w:w="13988" w:type="dxa"/>
            <w:gridSpan w:val="20"/>
            <w:tcBorders>
              <w:top w:val="single" w:color="000000" w:sz="8" w:space="0"/>
              <w:left w:val="nil"/>
              <w:bottom w:val="nil"/>
              <w:right w:val="nil"/>
            </w:tcBorders>
            <w:tcMar>
              <w:top w:w="15" w:type="dxa"/>
              <w:left w:w="15" w:type="dxa"/>
              <w:right w:w="15" w:type="dxa"/>
            </w:tcMar>
            <w:vAlign w:val="center"/>
          </w:tcPr>
          <w:p>
            <w:pPr>
              <w:textAlignment w:val="center"/>
              <w:rPr>
                <w:color w:val="000000"/>
                <w:sz w:val="20"/>
                <w:szCs w:val="20"/>
              </w:rPr>
            </w:pPr>
            <w:r>
              <w:rPr>
                <w:rFonts w:hint="eastAsia"/>
                <w:color w:val="000000"/>
                <w:sz w:val="20"/>
                <w:szCs w:val="20"/>
              </w:rPr>
              <w:t>注：本表反映部门本年度政府性基金预算财政拨款收入、支出及结转和结余情况。</w:t>
            </w:r>
          </w:p>
        </w:tc>
      </w:tr>
    </w:tbl>
    <w:p>
      <w:pPr>
        <w:jc w:val="center"/>
        <w:rPr>
          <w:rFonts w:ascii="仿宋_GB2312" w:hAnsi="仿宋_GB2312" w:eastAsia="仿宋_GB2312" w:cs="仿宋_GB2312"/>
          <w:sz w:val="32"/>
          <w:szCs w:val="32"/>
          <w:highlight w:val="yellow"/>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yellow"/>
        </w:rPr>
        <w:t>说明：我部门没有政府性基金收入，也没有使用政府性基金安排的支出，故本表无数据。</w:t>
      </w:r>
    </w:p>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9A6B8"/>
    <w:multiLevelType w:val="singleLevel"/>
    <w:tmpl w:val="C939A6B8"/>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5Y2M0MjBkYWFjOTllOTg0MmI3MmZiY2Q0NmMyZTQifQ=="/>
  </w:docVars>
  <w:rsids>
    <w:rsidRoot w:val="00380C49"/>
    <w:rsid w:val="0005518E"/>
    <w:rsid w:val="000D3621"/>
    <w:rsid w:val="001C7E92"/>
    <w:rsid w:val="00380C49"/>
    <w:rsid w:val="0038446D"/>
    <w:rsid w:val="003B12E6"/>
    <w:rsid w:val="00463B25"/>
    <w:rsid w:val="004C77BC"/>
    <w:rsid w:val="00524587"/>
    <w:rsid w:val="00582974"/>
    <w:rsid w:val="0058735C"/>
    <w:rsid w:val="006C602E"/>
    <w:rsid w:val="006F26AF"/>
    <w:rsid w:val="007169BE"/>
    <w:rsid w:val="007B5B5E"/>
    <w:rsid w:val="008E71AD"/>
    <w:rsid w:val="008F0429"/>
    <w:rsid w:val="009008AB"/>
    <w:rsid w:val="009539B2"/>
    <w:rsid w:val="009837DB"/>
    <w:rsid w:val="00A854B2"/>
    <w:rsid w:val="00B07176"/>
    <w:rsid w:val="00B30B3E"/>
    <w:rsid w:val="00B54D94"/>
    <w:rsid w:val="00BF3CA4"/>
    <w:rsid w:val="00C53051"/>
    <w:rsid w:val="00C65D6B"/>
    <w:rsid w:val="00C67877"/>
    <w:rsid w:val="00C73F3D"/>
    <w:rsid w:val="00CA1E5C"/>
    <w:rsid w:val="00CB1114"/>
    <w:rsid w:val="00CE118F"/>
    <w:rsid w:val="00D20A2D"/>
    <w:rsid w:val="00D45C75"/>
    <w:rsid w:val="00D60397"/>
    <w:rsid w:val="00E50BB5"/>
    <w:rsid w:val="00E83429"/>
    <w:rsid w:val="00E91CCC"/>
    <w:rsid w:val="00FD03C9"/>
    <w:rsid w:val="00FE162C"/>
    <w:rsid w:val="0A7053A6"/>
    <w:rsid w:val="2A406756"/>
    <w:rsid w:val="508F695A"/>
    <w:rsid w:val="67FF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7"/>
    <w:qFormat/>
    <w:uiPriority w:val="9"/>
    <w:pPr>
      <w:keepNext/>
      <w:keepLines/>
      <w:widowControl w:val="0"/>
      <w:spacing w:before="340" w:after="330" w:line="578" w:lineRule="auto"/>
      <w:jc w:val="both"/>
      <w:outlineLvl w:val="0"/>
    </w:pPr>
    <w:rPr>
      <w:rFonts w:ascii="Calibri" w:hAnsi="Calibri"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widowControl w:val="0"/>
    </w:pPr>
    <w:rPr>
      <w:rFonts w:ascii="Calibri" w:hAnsi="Calibri" w:cs="Times New Roman"/>
      <w:kern w:val="2"/>
      <w:sz w:val="21"/>
      <w:szCs w:val="22"/>
    </w:rPr>
  </w:style>
  <w:style w:type="paragraph" w:styleId="4">
    <w:name w:val="Body Text"/>
    <w:basedOn w:val="1"/>
    <w:qFormat/>
    <w:uiPriority w:val="1"/>
    <w:pPr>
      <w:ind w:left="760"/>
    </w:pPr>
    <w:rPr>
      <w:rFonts w:ascii="仿宋" w:hAnsi="仿宋" w:eastAsia="仿宋"/>
      <w:sz w:val="32"/>
      <w:szCs w:val="32"/>
    </w:rPr>
  </w:style>
  <w:style w:type="paragraph" w:styleId="5">
    <w:name w:val="Balloon Text"/>
    <w:basedOn w:val="1"/>
    <w:link w:val="19"/>
    <w:unhideWhenUsed/>
    <w:qFormat/>
    <w:uiPriority w:val="99"/>
    <w:pPr>
      <w:widowControl w:val="0"/>
      <w:jc w:val="both"/>
    </w:pPr>
    <w:rPr>
      <w:rFonts w:ascii="Calibri" w:hAnsi="Calibri" w:cs="Times New Roman"/>
      <w:kern w:val="2"/>
      <w:sz w:val="18"/>
      <w:szCs w:val="18"/>
    </w:rPr>
  </w:style>
  <w:style w:type="paragraph" w:styleId="6">
    <w:name w:val="footer"/>
    <w:basedOn w:val="1"/>
    <w:link w:val="16"/>
    <w:unhideWhenUsed/>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unhideWhenUsed/>
    <w:qFormat/>
    <w:uiPriority w:val="99"/>
    <w:pPr>
      <w:widowControl w:val="0"/>
      <w:snapToGrid w:val="0"/>
    </w:pPr>
    <w:rPr>
      <w:rFonts w:ascii="Calibri" w:hAnsi="Calibri" w:cs="Times New Roman"/>
      <w:kern w:val="2"/>
      <w:sz w:val="18"/>
      <w:szCs w:val="22"/>
    </w:rPr>
  </w:style>
  <w:style w:type="paragraph" w:styleId="9">
    <w:name w:val="Normal (Web)"/>
    <w:basedOn w:val="1"/>
    <w:unhideWhenUsed/>
    <w:qFormat/>
    <w:uiPriority w:val="99"/>
    <w:pPr>
      <w:spacing w:before="100" w:beforeAutospacing="1" w:after="100" w:afterAutospacing="1"/>
    </w:pPr>
  </w:style>
  <w:style w:type="character" w:styleId="12">
    <w:name w:val="FollowedHyperlink"/>
    <w:unhideWhenUsed/>
    <w:qFormat/>
    <w:uiPriority w:val="99"/>
    <w:rPr>
      <w:color w:val="800080"/>
      <w:u w:val="single"/>
    </w:rPr>
  </w:style>
  <w:style w:type="character" w:styleId="13">
    <w:name w:val="Hyperlink"/>
    <w:unhideWhenUsed/>
    <w:uiPriority w:val="99"/>
    <w:rPr>
      <w:color w:val="0000FF"/>
      <w:u w:val="single"/>
    </w:rPr>
  </w:style>
  <w:style w:type="character" w:styleId="14">
    <w:name w:val="footnote reference"/>
    <w:basedOn w:val="11"/>
    <w:unhideWhenUsed/>
    <w:qFormat/>
    <w:uiPriority w:val="99"/>
    <w:rPr>
      <w:vertAlign w:val="superscript"/>
    </w:rPr>
  </w:style>
  <w:style w:type="character" w:customStyle="1" w:styleId="15">
    <w:name w:val="页眉 Char"/>
    <w:basedOn w:val="11"/>
    <w:link w:val="7"/>
    <w:qFormat/>
    <w:uiPriority w:val="99"/>
    <w:rPr>
      <w:rFonts w:ascii="宋体" w:hAnsi="宋体" w:eastAsia="宋体" w:cs="宋体"/>
      <w:kern w:val="0"/>
      <w:sz w:val="18"/>
      <w:szCs w:val="18"/>
    </w:rPr>
  </w:style>
  <w:style w:type="character" w:customStyle="1" w:styleId="16">
    <w:name w:val="页脚 Char"/>
    <w:basedOn w:val="11"/>
    <w:link w:val="6"/>
    <w:uiPriority w:val="99"/>
    <w:rPr>
      <w:rFonts w:ascii="宋体" w:hAnsi="宋体" w:eastAsia="宋体" w:cs="宋体"/>
      <w:kern w:val="0"/>
      <w:sz w:val="18"/>
      <w:szCs w:val="18"/>
    </w:rPr>
  </w:style>
  <w:style w:type="character" w:customStyle="1" w:styleId="17">
    <w:name w:val="标题 1 Char"/>
    <w:basedOn w:val="11"/>
    <w:link w:val="2"/>
    <w:qFormat/>
    <w:uiPriority w:val="9"/>
    <w:rPr>
      <w:rFonts w:ascii="Calibri" w:hAnsi="Calibri" w:eastAsia="宋体" w:cs="Times New Roman"/>
      <w:b/>
      <w:bCs/>
      <w:kern w:val="44"/>
      <w:sz w:val="44"/>
      <w:szCs w:val="44"/>
    </w:rPr>
  </w:style>
  <w:style w:type="character" w:customStyle="1" w:styleId="18">
    <w:name w:val="批注文字 Char"/>
    <w:basedOn w:val="11"/>
    <w:link w:val="3"/>
    <w:uiPriority w:val="99"/>
    <w:rPr>
      <w:rFonts w:ascii="Calibri" w:hAnsi="Calibri" w:eastAsia="宋体" w:cs="Times New Roman"/>
    </w:rPr>
  </w:style>
  <w:style w:type="character" w:customStyle="1" w:styleId="19">
    <w:name w:val="批注框文本 Char"/>
    <w:basedOn w:val="11"/>
    <w:link w:val="5"/>
    <w:qFormat/>
    <w:uiPriority w:val="99"/>
    <w:rPr>
      <w:rFonts w:ascii="Calibri" w:hAnsi="Calibri" w:eastAsia="宋体" w:cs="Times New Roman"/>
      <w:sz w:val="18"/>
      <w:szCs w:val="18"/>
    </w:rPr>
  </w:style>
  <w:style w:type="character" w:customStyle="1" w:styleId="20">
    <w:name w:val="脚注文本 Char"/>
    <w:basedOn w:val="11"/>
    <w:link w:val="8"/>
    <w:uiPriority w:val="99"/>
    <w:rPr>
      <w:rFonts w:ascii="Calibri" w:hAnsi="Calibri" w:eastAsia="宋体" w:cs="Times New Roman"/>
      <w:sz w:val="18"/>
    </w:rPr>
  </w:style>
  <w:style w:type="character" w:customStyle="1" w:styleId="21">
    <w:name w:val="font51"/>
    <w:basedOn w:val="11"/>
    <w:uiPriority w:val="0"/>
    <w:rPr>
      <w:rFonts w:hint="eastAsia" w:ascii="宋体" w:hAnsi="宋体" w:eastAsia="宋体" w:cs="宋体"/>
      <w:color w:val="000000"/>
      <w:sz w:val="24"/>
      <w:szCs w:val="24"/>
      <w:u w:val="none"/>
    </w:rPr>
  </w:style>
  <w:style w:type="character" w:customStyle="1" w:styleId="22">
    <w:name w:val="font11"/>
    <w:basedOn w:val="11"/>
    <w:uiPriority w:val="0"/>
    <w:rPr>
      <w:rFonts w:hint="eastAsia" w:ascii="宋体" w:hAnsi="宋体" w:eastAsia="宋体" w:cs="宋体"/>
      <w:color w:val="000000"/>
      <w:sz w:val="20"/>
      <w:szCs w:val="20"/>
      <w:u w:val="none"/>
    </w:rPr>
  </w:style>
  <w:style w:type="character" w:customStyle="1" w:styleId="23">
    <w:name w:val="font01"/>
    <w:basedOn w:val="11"/>
    <w:uiPriority w:val="0"/>
    <w:rPr>
      <w:rFonts w:hint="eastAsia" w:ascii="宋体" w:hAnsi="宋体" w:eastAsia="宋体" w:cs="宋体"/>
      <w:color w:val="000000"/>
      <w:sz w:val="22"/>
      <w:szCs w:val="22"/>
      <w:u w:val="none"/>
    </w:rPr>
  </w:style>
  <w:style w:type="character" w:customStyle="1" w:styleId="24">
    <w:name w:val="font21"/>
    <w:basedOn w:val="11"/>
    <w:uiPriority w:val="0"/>
    <w:rPr>
      <w:rFonts w:hint="eastAsia" w:ascii="宋体" w:hAnsi="宋体" w:eastAsia="宋体" w:cs="宋体"/>
      <w:color w:val="000000"/>
      <w:sz w:val="22"/>
      <w:szCs w:val="22"/>
      <w:u w:val="none"/>
    </w:rPr>
  </w:style>
  <w:style w:type="character" w:customStyle="1" w:styleId="25">
    <w:name w:val="font41"/>
    <w:basedOn w:val="11"/>
    <w:uiPriority w:val="0"/>
    <w:rPr>
      <w:rFonts w:hint="eastAsia" w:ascii="宋体" w:hAnsi="宋体" w:eastAsia="宋体" w:cs="宋体"/>
      <w:color w:val="000000"/>
      <w:sz w:val="24"/>
      <w:szCs w:val="24"/>
      <w:u w:val="none"/>
    </w:rPr>
  </w:style>
  <w:style w:type="paragraph" w:customStyle="1" w:styleId="26">
    <w:name w:val="标题1"/>
    <w:basedOn w:val="2"/>
    <w:qFormat/>
    <w:uiPriority w:val="0"/>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7225</Words>
  <Characters>8304</Characters>
  <Lines>66</Lines>
  <Paragraphs>18</Paragraphs>
  <TotalTime>1</TotalTime>
  <ScaleCrop>false</ScaleCrop>
  <LinksUpToDate>false</LinksUpToDate>
  <CharactersWithSpaces>8638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2022-02-09T09:45:00Z</dcterms:created>
  <dc:creator>Administrator</dc:creator>
  <cp:lastModifiedBy>上好佳</cp:lastModifiedBy>
  <dcterms:modified xsi:type="dcterms:W3CDTF">2022-09-06T01:24:12Z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7FBCAE38E9F84F6BAB863597C126F14E</vt:lpwstr>
  </property>
</Properties>
</file>