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bookmarkStart w:id="0" w:name="_Hlk113010300"/>
      <w:r>
        <w:rPr>
          <w:rFonts w:ascii="黑体" w:eastAsia="黑体"/>
          <w:color w:val="000000"/>
          <w:sz w:val="28"/>
          <w:szCs w:val="28"/>
        </w:rPr>
        <w:tab/>
      </w:r>
      <w:r>
        <w:rPr>
          <w:rFonts w:hint="eastAsia" w:ascii="黑体" w:eastAsia="黑体"/>
          <w:color w:val="000000"/>
          <w:sz w:val="28"/>
          <w:szCs w:val="28"/>
        </w:rPr>
        <w:t xml:space="preserve">  </w:t>
      </w: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jc w:val="center"/>
        <w:rPr>
          <w:rFonts w:ascii="黑体" w:hAnsi="黑体" w:eastAsia="黑体" w:cs="黑体"/>
          <w:sz w:val="52"/>
          <w:szCs w:val="52"/>
        </w:rPr>
      </w:pPr>
      <w:r>
        <w:rPr>
          <w:rFonts w:hint="eastAsia" w:ascii="黑体" w:hAnsi="黑体" w:eastAsia="黑体" w:cs="黑体"/>
          <w:sz w:val="52"/>
          <w:szCs w:val="52"/>
        </w:rPr>
        <w:t>中共信阳市平桥区委机要保密局</w:t>
      </w:r>
    </w:p>
    <w:p>
      <w:pPr>
        <w:jc w:val="center"/>
        <w:rPr>
          <w:rFonts w:ascii="黑体" w:hAnsi="黑体" w:eastAsia="黑体" w:cs="黑体"/>
          <w:sz w:val="52"/>
          <w:szCs w:val="52"/>
        </w:rPr>
      </w:pPr>
      <w:r>
        <w:rPr>
          <w:rFonts w:hint="eastAsia" w:ascii="黑体" w:hAnsi="黑体" w:eastAsia="黑体" w:cs="黑体"/>
          <w:sz w:val="52"/>
          <w:szCs w:val="52"/>
        </w:rPr>
        <w:t>2020年度部门决算公开</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二〇二一年九月</w:t>
      </w:r>
    </w:p>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目录</w:t>
      </w:r>
    </w:p>
    <w:p>
      <w:pPr>
        <w:jc w:val="both"/>
        <w:rPr>
          <w:rFonts w:ascii="黑体" w:hAnsi="黑体" w:eastAsia="黑体" w:cs="黑体"/>
          <w:sz w:val="32"/>
          <w:szCs w:val="32"/>
        </w:rPr>
      </w:pPr>
      <w:r>
        <w:rPr>
          <w:rFonts w:hint="eastAsia" w:ascii="黑体" w:hAnsi="黑体" w:eastAsia="黑体" w:cs="黑体"/>
          <w:sz w:val="32"/>
          <w:szCs w:val="32"/>
        </w:rPr>
        <w:t>第一部分中共信阳市平桥区委机要保密局概况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第二部分2020年度部门决算情况说明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八、预算绩效情况说明</w:t>
      </w:r>
    </w:p>
    <w:p>
      <w:pPr>
        <w:ind w:firstLine="640" w:firstLineChars="200"/>
        <w:rPr>
          <w:sz w:val="32"/>
          <w:szCs w:val="32"/>
        </w:rPr>
      </w:pPr>
      <w:r>
        <w:rPr>
          <w:rFonts w:hint="eastAsia"/>
          <w:sz w:val="32"/>
          <w:szCs w:val="32"/>
        </w:rPr>
        <w:t>九、政府性基金预算财政拨款支出决算情况说明</w:t>
      </w:r>
    </w:p>
    <w:p>
      <w:pPr>
        <w:ind w:firstLine="640" w:firstLineChars="200"/>
        <w:rPr>
          <w:sz w:val="32"/>
          <w:szCs w:val="32"/>
        </w:rPr>
      </w:pPr>
      <w:r>
        <w:rPr>
          <w:rFonts w:hint="eastAsia"/>
          <w:sz w:val="32"/>
          <w:szCs w:val="32"/>
        </w:rPr>
        <w:t>十、机关运行经费支出情况说明</w:t>
      </w:r>
    </w:p>
    <w:p>
      <w:pPr>
        <w:ind w:firstLine="640" w:firstLineChars="200"/>
        <w:rPr>
          <w:sz w:val="32"/>
          <w:szCs w:val="32"/>
        </w:rPr>
      </w:pPr>
      <w:r>
        <w:rPr>
          <w:rFonts w:hint="eastAsia"/>
          <w:sz w:val="32"/>
          <w:szCs w:val="32"/>
        </w:rPr>
        <w:t>十一、政府采购支出情况说明</w:t>
      </w:r>
    </w:p>
    <w:p>
      <w:pPr>
        <w:ind w:firstLine="640" w:firstLineChars="200"/>
        <w:rPr>
          <w:sz w:val="32"/>
          <w:szCs w:val="32"/>
        </w:rPr>
      </w:pPr>
      <w:r>
        <w:rPr>
          <w:rFonts w:hint="eastAsia"/>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第三部分名词解释</w:t>
      </w:r>
    </w:p>
    <w:p>
      <w:pPr>
        <w:rPr>
          <w:rFonts w:ascii="黑体" w:hAnsi="黑体" w:eastAsia="黑体" w:cs="黑体"/>
          <w:sz w:val="32"/>
          <w:szCs w:val="32"/>
        </w:rPr>
      </w:pPr>
      <w:r>
        <w:rPr>
          <w:rFonts w:hint="eastAsia" w:ascii="黑体" w:hAnsi="黑体" w:eastAsia="黑体" w:cs="黑体"/>
          <w:sz w:val="32"/>
          <w:szCs w:val="32"/>
        </w:rPr>
        <w:t>第四部分2020年度部门决算表（Excel表格形式）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第一部分中共信阳市平桥区委机要保密局概况</w:t>
      </w:r>
    </w:p>
    <w:p>
      <w:pPr>
        <w:pStyle w:val="28"/>
        <w:numPr>
          <w:ilvl w:val="0"/>
          <w:numId w:val="2"/>
        </w:numPr>
        <w:ind w:firstLineChars="0"/>
        <w:outlineLvl w:val="1"/>
        <w:rPr>
          <w:rFonts w:ascii="黑体" w:hAnsi="黑体" w:eastAsia="黑体" w:cs="黑体"/>
          <w:bCs/>
          <w:sz w:val="32"/>
          <w:szCs w:val="32"/>
        </w:rPr>
      </w:pPr>
      <w:r>
        <w:rPr>
          <w:rFonts w:hint="eastAsia" w:ascii="黑体" w:hAnsi="黑体" w:eastAsia="黑体" w:cs="黑体"/>
          <w:sz w:val="32"/>
          <w:szCs w:val="32"/>
        </w:rPr>
        <w:t>部门</w:t>
      </w:r>
      <w:r>
        <w:rPr>
          <w:rFonts w:hint="eastAsia" w:ascii="黑体" w:hAnsi="黑体" w:eastAsia="黑体" w:cs="黑体"/>
          <w:bCs/>
          <w:sz w:val="32"/>
          <w:szCs w:val="32"/>
        </w:rPr>
        <w:t>职责</w:t>
      </w:r>
    </w:p>
    <w:p>
      <w:pPr>
        <w:spacing w:line="360" w:lineRule="auto"/>
        <w:ind w:firstLine="600" w:firstLineChars="200"/>
        <w:rPr>
          <w:rFonts w:ascii="Times New Roman" w:hAnsi="Times New Roman" w:eastAsia="仿宋_GB2312" w:cs="Times New Roman"/>
          <w:sz w:val="30"/>
          <w:szCs w:val="22"/>
        </w:rPr>
      </w:pPr>
      <w:r>
        <w:rPr>
          <w:rFonts w:hint="eastAsia" w:ascii="Times New Roman" w:hAnsi="Times New Roman" w:eastAsia="仿宋_GB2312" w:cs="Times New Roman"/>
          <w:sz w:val="30"/>
          <w:szCs w:val="22"/>
        </w:rPr>
        <w:t>一、贯彻中央、省、市委关于密码工作的方针、政策、决定，落实上级业务部门关于机要工作的安排、部署。</w:t>
      </w:r>
    </w:p>
    <w:p>
      <w:pPr>
        <w:spacing w:line="360" w:lineRule="auto"/>
        <w:ind w:firstLine="600" w:firstLineChars="200"/>
        <w:rPr>
          <w:rFonts w:ascii="Times New Roman" w:hAnsi="Times New Roman" w:eastAsia="仿宋_GB2312" w:cs="Times New Roman"/>
          <w:sz w:val="30"/>
          <w:szCs w:val="22"/>
        </w:rPr>
      </w:pPr>
      <w:r>
        <w:rPr>
          <w:rFonts w:hint="eastAsia" w:ascii="Times New Roman" w:hAnsi="Times New Roman" w:eastAsia="仿宋_GB2312" w:cs="Times New Roman"/>
          <w:sz w:val="30"/>
          <w:szCs w:val="22"/>
        </w:rPr>
        <w:t>二、负责区委、区人大、区政府、区政协和区直各单位的密码电报、内部明传电报的传输和办理；承办党委，政府交办的有关信息加密工作。</w:t>
      </w:r>
    </w:p>
    <w:p>
      <w:pPr>
        <w:spacing w:line="360" w:lineRule="auto"/>
        <w:ind w:firstLine="600" w:firstLineChars="200"/>
        <w:rPr>
          <w:rFonts w:ascii="Times New Roman" w:hAnsi="Times New Roman" w:eastAsia="仿宋_GB2312" w:cs="Times New Roman"/>
          <w:sz w:val="30"/>
          <w:szCs w:val="22"/>
        </w:rPr>
      </w:pPr>
      <w:r>
        <w:rPr>
          <w:rFonts w:hint="eastAsia" w:ascii="Times New Roman" w:hAnsi="Times New Roman" w:eastAsia="仿宋_GB2312" w:cs="Times New Roman"/>
          <w:sz w:val="30"/>
          <w:szCs w:val="22"/>
        </w:rPr>
        <w:t>三、负贵全区党政系统密码工作的规划、实施和管理；按照《商用密码管理条例》，加强对商用密码的管理；积极参与信息化建设，做好信息化密码保障工作。</w:t>
      </w:r>
    </w:p>
    <w:p>
      <w:pPr>
        <w:spacing w:line="360" w:lineRule="auto"/>
        <w:ind w:firstLine="600" w:firstLineChars="200"/>
        <w:rPr>
          <w:rFonts w:ascii="Times New Roman" w:hAnsi="Times New Roman" w:eastAsia="仿宋_GB2312" w:cs="Times New Roman"/>
          <w:sz w:val="30"/>
          <w:szCs w:val="22"/>
        </w:rPr>
      </w:pPr>
      <w:r>
        <w:rPr>
          <w:rFonts w:hint="eastAsia" w:ascii="Times New Roman" w:hAnsi="Times New Roman" w:eastAsia="仿宋_GB2312" w:cs="Times New Roman"/>
          <w:sz w:val="30"/>
          <w:szCs w:val="22"/>
        </w:rPr>
        <w:t>四、负贵中央、省、市委文件和内部秘密刊物、资料的收发、清退、销毁；负责区委领导机要文件的阅办；负责对乡镇和区直各单位机要文件管理工作的检查指导。</w:t>
      </w:r>
    </w:p>
    <w:p>
      <w:pPr>
        <w:spacing w:line="360" w:lineRule="auto"/>
        <w:ind w:firstLine="600" w:firstLineChars="200"/>
        <w:rPr>
          <w:rFonts w:ascii="Times New Roman" w:hAnsi="Times New Roman" w:eastAsia="仿宋_GB2312" w:cs="Times New Roman"/>
          <w:sz w:val="30"/>
          <w:szCs w:val="22"/>
        </w:rPr>
      </w:pPr>
      <w:r>
        <w:rPr>
          <w:rFonts w:hint="eastAsia" w:ascii="Times New Roman" w:hAnsi="Times New Roman" w:eastAsia="仿宋_GB2312" w:cs="Times New Roman"/>
          <w:sz w:val="30"/>
          <w:szCs w:val="22"/>
        </w:rPr>
        <w:t>五、负责区级印鉴、印信的管理使用；负责全区党委系统</w:t>
      </w:r>
      <w:r>
        <w:t>印</w:t>
      </w:r>
      <w:r>
        <w:rPr>
          <w:rFonts w:hint="eastAsia" w:ascii="Times New Roman" w:hAnsi="Times New Roman" w:eastAsia="仿宋_GB2312" w:cs="Times New Roman"/>
          <w:sz w:val="30"/>
          <w:szCs w:val="22"/>
        </w:rPr>
        <w:t>鉴的更换、刻制，区委印鉴印信由专人保管，使用时由使用单位提出申请，经区委书记或副书记批准后方可使用。</w:t>
      </w:r>
    </w:p>
    <w:p>
      <w:pPr>
        <w:spacing w:line="360" w:lineRule="auto"/>
        <w:ind w:firstLine="600" w:firstLineChars="200"/>
        <w:rPr>
          <w:rFonts w:ascii="Times New Roman" w:hAnsi="Times New Roman" w:eastAsia="仿宋_GB2312" w:cs="Times New Roman"/>
          <w:sz w:val="30"/>
          <w:szCs w:val="22"/>
        </w:rPr>
      </w:pPr>
      <w:r>
        <w:rPr>
          <w:rFonts w:hint="eastAsia" w:ascii="Times New Roman" w:hAnsi="Times New Roman" w:eastAsia="仿宋_GB2312" w:cs="Times New Roman"/>
          <w:sz w:val="30"/>
          <w:szCs w:val="22"/>
        </w:rPr>
        <w:t>六、负责乡镇机要传真通信的管理、知道和乡镇计算机通信网的组建管理。</w:t>
      </w:r>
    </w:p>
    <w:p>
      <w:pPr>
        <w:spacing w:line="360" w:lineRule="auto"/>
        <w:ind w:firstLine="600" w:firstLineChars="200"/>
        <w:rPr>
          <w:rFonts w:ascii="Times New Roman" w:hAnsi="Times New Roman" w:eastAsia="仿宋_GB2312" w:cs="Times New Roman"/>
          <w:sz w:val="30"/>
          <w:szCs w:val="22"/>
        </w:rPr>
      </w:pPr>
      <w:r>
        <w:rPr>
          <w:rFonts w:hint="eastAsia" w:ascii="Times New Roman" w:hAnsi="Times New Roman" w:eastAsia="仿宋_GB2312" w:cs="Times New Roman"/>
          <w:sz w:val="30"/>
          <w:szCs w:val="22"/>
        </w:rPr>
        <w:t>七、会同有关部门查处有关密码，机要文件的失泄密事件</w:t>
      </w:r>
    </w:p>
    <w:p>
      <w:pPr>
        <w:spacing w:line="360" w:lineRule="auto"/>
        <w:ind w:firstLine="600" w:firstLineChars="200"/>
        <w:rPr>
          <w:rFonts w:ascii="Times New Roman" w:hAnsi="Times New Roman" w:eastAsia="仿宋_GB2312" w:cs="Times New Roman"/>
          <w:sz w:val="30"/>
          <w:szCs w:val="22"/>
        </w:rPr>
      </w:pPr>
      <w:r>
        <w:rPr>
          <w:rFonts w:hint="eastAsia" w:ascii="Times New Roman" w:hAnsi="Times New Roman" w:eastAsia="仿宋_GB2312" w:cs="Times New Roman"/>
          <w:sz w:val="30"/>
          <w:szCs w:val="22"/>
        </w:rPr>
        <w:t>八、协同组织都门做好机要干部的考核、选调工作。</w:t>
      </w:r>
    </w:p>
    <w:p>
      <w:pPr>
        <w:spacing w:line="360" w:lineRule="auto"/>
        <w:ind w:firstLine="600" w:firstLineChars="200"/>
        <w:rPr>
          <w:rFonts w:ascii="Times New Roman" w:hAnsi="Times New Roman" w:eastAsia="仿宋_GB2312" w:cs="Times New Roman"/>
          <w:sz w:val="30"/>
          <w:szCs w:val="22"/>
        </w:rPr>
      </w:pPr>
      <w:r>
        <w:rPr>
          <w:rFonts w:hint="eastAsia" w:ascii="Times New Roman" w:hAnsi="Times New Roman" w:eastAsia="仿宋_GB2312" w:cs="Times New Roman"/>
          <w:sz w:val="30"/>
          <w:szCs w:val="22"/>
        </w:rPr>
        <w:t>九、承办区委、区政府密码工作领导小组和上级业务部门交办的其他工作任务。</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ind w:firstLine="600" w:firstLineChars="200"/>
        <w:outlineLvl w:val="1"/>
        <w:rPr>
          <w:rFonts w:ascii="黑体" w:hAnsi="黑体" w:eastAsia="黑体" w:cs="黑体"/>
          <w:sz w:val="32"/>
          <w:szCs w:val="32"/>
        </w:rPr>
      </w:pPr>
      <w:r>
        <w:rPr>
          <w:rFonts w:hint="eastAsia" w:ascii="Times New Roman" w:hAnsi="Times New Roman" w:eastAsia="仿宋_GB2312" w:cs="Times New Roman"/>
          <w:sz w:val="30"/>
          <w:szCs w:val="22"/>
        </w:rPr>
        <w:t>单位内设办公室，编制6人，在岗人员6人。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从决算单位构成看，中共信阳市平桥区委机要保密局部门决算包括：本级决算。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纳入本部门2020年度部门决算编制范围的单位共1个具体是：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中共信阳市平桥区委机要保密局本级</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rFonts w:ascii="黑体" w:hAnsi="黑体" w:eastAsia="黑体" w:cs="黑体"/>
          <w:sz w:val="44"/>
          <w:szCs w:val="44"/>
        </w:rPr>
      </w:pPr>
      <w:r>
        <w:rPr>
          <w:rFonts w:hint="eastAsia" w:ascii="黑体" w:hAnsi="黑体" w:eastAsia="黑体" w:cs="黑体"/>
          <w:sz w:val="44"/>
          <w:szCs w:val="44"/>
        </w:rPr>
        <w:t>中共信阳市平桥区委机要保密局2020年度部门决算情况说明</w:t>
      </w:r>
    </w:p>
    <w:p>
      <w:pPr>
        <w:jc w:val="center"/>
        <w:rPr>
          <w:rFonts w:ascii="黑体" w:hAnsi="黑体" w:eastAsia="黑体" w:cs="黑体"/>
          <w:sz w:val="44"/>
          <w:szCs w:val="44"/>
        </w:rPr>
      </w:pPr>
    </w:p>
    <w:p>
      <w:pPr>
        <w:pStyle w:val="8"/>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2020年度收、支总计均为121.73万元。与上年度相比，收、支总计各增加26.83万元，增长22%。主要原因是工资增加。</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2020年度收入合计89.89万元，其中：财政拨款收入89.89万元，占100%；</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2020年度支出合计63.61万元，其中：基本支出63.61万元，占100%；</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2020年度财政拨款收、支总计均为121.73万元。与上年度相比，财政拨款收、支总计各增加26.83万元，增长22%。主要原因是工资增加。</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2020年度一般公共预算财政拨款支出63.61万元，占支出合计的100%。与上年度相比，一般公共预算财政拨款支出减少31.3万元，下降49%。主要原因是贯彻落实中央“八项”规定精神，厉行勤俭节约。</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2020年度一般公共预算财政拨款支出63.61万元，主要用于以下方面：一般公共服务（类）支出55.84万元，占87%；社会保障和就业支出0.13万元，占1%；卫生健康支出3.51万元，占6%；住房保障支出4.13万元，占6%。</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年度一般公共预算财政拨款支出年初预算为63.61万元，支出决算为63.61万元，完成年初预算的100%。其中：</w:t>
      </w:r>
    </w:p>
    <w:p>
      <w:pPr>
        <w:pStyle w:val="8"/>
        <w:numPr>
          <w:ilvl w:val="0"/>
          <w:numId w:val="3"/>
        </w:numPr>
        <w:shd w:val="clear" w:color="auto" w:fill="FFFFFF"/>
        <w:spacing w:before="0" w:beforeAutospacing="0" w:after="0" w:afterAutospacing="0"/>
        <w:ind w:left="0" w:firstLine="480"/>
        <w:rPr>
          <w:rFonts w:ascii="仿宋_GB2312" w:eastAsia="仿宋_GB2312"/>
          <w:sz w:val="32"/>
          <w:szCs w:val="32"/>
        </w:rPr>
      </w:pPr>
      <w:r>
        <w:rPr>
          <w:rFonts w:hint="eastAsia" w:ascii="仿宋_GB2312" w:hAnsi="仿宋_GB2312" w:eastAsia="仿宋_GB2312" w:cs="仿宋_GB2312"/>
          <w:b/>
          <w:bCs/>
          <w:sz w:val="32"/>
          <w:szCs w:val="32"/>
        </w:rPr>
        <w:t>一般公共服务（类）其他共产党事务支出（款）行政运行（项）</w:t>
      </w:r>
      <w:r>
        <w:rPr>
          <w:rFonts w:hint="eastAsia" w:ascii="仿宋_GB2312" w:eastAsia="仿宋_GB2312"/>
          <w:sz w:val="32"/>
          <w:szCs w:val="32"/>
        </w:rPr>
        <w:t>。年初预算为82.13万元，支出决算为 82.13 万元，完成年初预算的 100 %。决算数与年初预算数无差异。</w:t>
      </w:r>
    </w:p>
    <w:p>
      <w:pPr>
        <w:pStyle w:val="8"/>
        <w:numPr>
          <w:ilvl w:val="0"/>
          <w:numId w:val="3"/>
        </w:numPr>
        <w:shd w:val="clear" w:color="auto" w:fill="FFFFFF"/>
        <w:spacing w:before="0" w:beforeAutospacing="0" w:after="0" w:afterAutospacing="0"/>
        <w:ind w:left="0" w:firstLine="480"/>
        <w:rPr>
          <w:rFonts w:ascii="仿宋_GB2312" w:eastAsia="仿宋_GB2312"/>
          <w:sz w:val="32"/>
          <w:szCs w:val="32"/>
        </w:rPr>
      </w:pPr>
      <w:r>
        <w:rPr>
          <w:rFonts w:hint="eastAsia" w:ascii="仿宋_GB2312" w:eastAsia="仿宋_GB2312"/>
          <w:b/>
          <w:bCs/>
          <w:sz w:val="32"/>
          <w:szCs w:val="32"/>
        </w:rPr>
        <w:t>社会保障和就业支出（类）其他社会保障和就业支出（款）其他社会保障和就业支出（项）。</w:t>
      </w:r>
      <w:r>
        <w:rPr>
          <w:rFonts w:hint="eastAsia" w:ascii="仿宋_GB2312" w:eastAsia="仿宋_GB2312"/>
          <w:sz w:val="32"/>
          <w:szCs w:val="32"/>
        </w:rPr>
        <w:t>年初预算为 0.13 万元，支出决算为 0.13 万元，完成年初预算的 100 %。决算数与年初预算数无差异。</w:t>
      </w:r>
    </w:p>
    <w:p>
      <w:pPr>
        <w:pStyle w:val="8"/>
        <w:numPr>
          <w:ilvl w:val="0"/>
          <w:numId w:val="3"/>
        </w:numPr>
        <w:shd w:val="clear" w:color="auto" w:fill="FFFFFF"/>
        <w:spacing w:before="0" w:beforeAutospacing="0" w:after="0" w:afterAutospacing="0"/>
        <w:ind w:left="0" w:firstLine="480"/>
        <w:rPr>
          <w:rFonts w:ascii="仿宋_GB2312" w:eastAsia="仿宋_GB2312"/>
          <w:sz w:val="32"/>
          <w:szCs w:val="32"/>
        </w:rPr>
      </w:pPr>
      <w:r>
        <w:rPr>
          <w:rFonts w:hint="eastAsia" w:ascii="仿宋_GB2312" w:eastAsia="仿宋_GB2312"/>
          <w:b/>
          <w:bCs/>
          <w:sz w:val="32"/>
          <w:szCs w:val="32"/>
        </w:rPr>
        <w:t>卫生健康支出（类）行政事业单位医疗（款）行政单位医疗（项）</w:t>
      </w:r>
      <w:r>
        <w:rPr>
          <w:rFonts w:hint="eastAsia" w:ascii="仿宋_GB2312" w:eastAsia="仿宋_GB2312"/>
          <w:sz w:val="32"/>
          <w:szCs w:val="32"/>
        </w:rPr>
        <w:t>。年初预算为 3.51 万元，支出决算为 3.51 万元，完成年初预算的 100 %。决算数与年初预算数无差异。</w:t>
      </w:r>
    </w:p>
    <w:p>
      <w:pPr>
        <w:pStyle w:val="8"/>
        <w:shd w:val="clear" w:color="auto" w:fill="FFFFFF"/>
        <w:spacing w:before="0" w:beforeAutospacing="0" w:after="0" w:afterAutospacing="0"/>
        <w:rPr>
          <w:rFonts w:ascii="仿宋_GB2312" w:eastAsia="仿宋_GB2312"/>
          <w:sz w:val="32"/>
          <w:szCs w:val="32"/>
        </w:rPr>
      </w:pPr>
      <w:r>
        <w:rPr>
          <w:rFonts w:hint="eastAsia" w:ascii="仿宋_GB2312" w:eastAsia="仿宋_GB2312"/>
          <w:sz w:val="32"/>
          <w:szCs w:val="32"/>
        </w:rPr>
        <w:t xml:space="preserve">   4.</w:t>
      </w:r>
      <w:r>
        <w:rPr>
          <w:rFonts w:hint="eastAsia" w:ascii="仿宋_GB2312" w:eastAsia="仿宋_GB2312"/>
          <w:b/>
          <w:bCs/>
          <w:sz w:val="32"/>
          <w:szCs w:val="32"/>
        </w:rPr>
        <w:t>住房保障支出（类）住房改革支出（款）住房公积金（项）</w:t>
      </w:r>
      <w:r>
        <w:rPr>
          <w:rFonts w:hint="eastAsia" w:ascii="仿宋_GB2312" w:eastAsia="仿宋_GB2312"/>
          <w:sz w:val="32"/>
          <w:szCs w:val="32"/>
        </w:rPr>
        <w:t>。年初预算为 4.13 万元，支出决算为 4.13 万元，完成年初预算的 100 %。决算数与年初预算数无差异。</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ascii="仿宋_GB2312" w:eastAsia="仿宋_GB2312"/>
          <w:sz w:val="32"/>
          <w:szCs w:val="32"/>
        </w:rPr>
        <w:t>2020 年度一般公共预算财政拨款基本支出 63.61 万元。其中：人员经费 62.53万元，主要包括：基本工资、津贴补贴、奖金、伙食补助费、职工基本医疗保险缴费、其他社会保障缴费、住房公积金、其他工资福利支出</w:t>
      </w:r>
      <w:r>
        <w:rPr>
          <w:rFonts w:hint="eastAsia" w:ascii="仿宋_GB2312" w:eastAsia="仿宋_GB2312"/>
          <w:sz w:val="32"/>
          <w:szCs w:val="32"/>
        </w:rPr>
        <w:t>等</w:t>
      </w:r>
      <w:r>
        <w:rPr>
          <w:rFonts w:ascii="仿宋_GB2312" w:eastAsia="仿宋_GB2312"/>
          <w:sz w:val="32"/>
          <w:szCs w:val="32"/>
        </w:rPr>
        <w:t>；公用经费1.08万元，主要包括：办公费、邮电费、维修（护）费、公务用车运行维护费</w:t>
      </w:r>
      <w:r>
        <w:rPr>
          <w:rFonts w:hint="eastAsia" w:ascii="仿宋_GB2312" w:eastAsia="仿宋_GB2312"/>
          <w:sz w:val="32"/>
          <w:szCs w:val="32"/>
        </w:rPr>
        <w:t>等</w:t>
      </w:r>
      <w:r>
        <w:rPr>
          <w:rFonts w:ascii="仿宋_GB2312" w:eastAsia="仿宋_GB2312"/>
          <w:sz w:val="32"/>
          <w:szCs w:val="32"/>
        </w:rPr>
        <w:t>。</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年度“三公”经费财政拨款支出预算为 5 万元，支出决算为 0.2万元，完成预算的 4 %。2020年度“三公”经费支出决算数与预算数存在差异的主要原因是响应政策，厉行节约。</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bookmarkStart w:id="1" w:name="_Hlk113023196"/>
      <w:r>
        <w:rPr>
          <w:rFonts w:hint="eastAsia" w:ascii="仿宋_GB2312" w:eastAsia="仿宋_GB2312"/>
          <w:sz w:val="32"/>
          <w:szCs w:val="32"/>
        </w:rPr>
        <w:t>2020 年度“三公”经费财政拨款支出决算中，因公出国（境）费支出决算0.00万元，完成预算的 0.00%，占0.00%；公务用车购置及运行费支出决算0.</w:t>
      </w:r>
      <w:r>
        <w:rPr>
          <w:rFonts w:ascii="仿宋_GB2312" w:eastAsia="仿宋_GB2312"/>
          <w:sz w:val="32"/>
          <w:szCs w:val="32"/>
        </w:rPr>
        <w:t>2</w:t>
      </w:r>
      <w:r>
        <w:rPr>
          <w:rFonts w:hint="eastAsia" w:ascii="仿宋_GB2312" w:eastAsia="仿宋_GB2312"/>
          <w:sz w:val="32"/>
          <w:szCs w:val="32"/>
        </w:rPr>
        <w:t>万元，完成预算的</w:t>
      </w:r>
      <w:r>
        <w:rPr>
          <w:rFonts w:ascii="仿宋_GB2312" w:eastAsia="仿宋_GB2312"/>
          <w:sz w:val="32"/>
          <w:szCs w:val="32"/>
        </w:rPr>
        <w:t>4.00</w:t>
      </w:r>
      <w:r>
        <w:rPr>
          <w:rFonts w:hint="eastAsia" w:ascii="仿宋_GB2312" w:eastAsia="仿宋_GB2312"/>
          <w:sz w:val="32"/>
          <w:szCs w:val="32"/>
        </w:rPr>
        <w:t>%，占</w:t>
      </w:r>
      <w:r>
        <w:rPr>
          <w:rFonts w:ascii="仿宋_GB2312" w:eastAsia="仿宋_GB2312"/>
          <w:sz w:val="32"/>
          <w:szCs w:val="32"/>
        </w:rPr>
        <w:t>100.00</w:t>
      </w:r>
      <w:r>
        <w:rPr>
          <w:rFonts w:hint="eastAsia" w:ascii="仿宋_GB2312" w:eastAsia="仿宋_GB2312"/>
          <w:sz w:val="32"/>
          <w:szCs w:val="32"/>
        </w:rPr>
        <w:t>%；公务接待费支出决算 0万元，完成预算的 0 %，占</w:t>
      </w:r>
      <w:r>
        <w:rPr>
          <w:rFonts w:ascii="仿宋_GB2312" w:eastAsia="仿宋_GB2312"/>
          <w:sz w:val="32"/>
          <w:szCs w:val="32"/>
        </w:rPr>
        <w:t>0.00%</w:t>
      </w:r>
      <w:r>
        <w:rPr>
          <w:rFonts w:hint="eastAsia" w:ascii="仿宋_GB2312" w:eastAsia="仿宋_GB2312"/>
          <w:sz w:val="32"/>
          <w:szCs w:val="32"/>
        </w:rPr>
        <w:t>。具体情况如下：</w:t>
      </w:r>
    </w:p>
    <w:bookmarkEnd w:id="1"/>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因公出国（境）费预算为</w:t>
      </w:r>
      <w:r>
        <w:rPr>
          <w:rFonts w:ascii="仿宋_GB2312" w:eastAsia="仿宋_GB2312"/>
          <w:sz w:val="32"/>
          <w:szCs w:val="32"/>
        </w:rPr>
        <w:t>0.00万元，支出决算为0.00万元，完成预算的0.00%。</w:t>
      </w:r>
      <w:r>
        <w:rPr>
          <w:rFonts w:hint="eastAsia" w:ascii="仿宋_GB2312" w:eastAsia="仿宋_GB2312"/>
          <w:sz w:val="32"/>
          <w:szCs w:val="32"/>
        </w:rPr>
        <w:t>决算数与年初预算数无差异。</w:t>
      </w:r>
      <w:r>
        <w:rPr>
          <w:rFonts w:ascii="仿宋_GB2312" w:eastAsia="仿宋_GB2312"/>
          <w:sz w:val="32"/>
          <w:szCs w:val="32"/>
        </w:rPr>
        <w:t>全年因公出国（境）团组0个，累计0人次。</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ascii="仿宋_GB2312" w:eastAsia="仿宋_GB2312"/>
          <w:sz w:val="32"/>
          <w:szCs w:val="32"/>
        </w:rPr>
        <w:t>2.公务用车购置及运行费预算为5.00万元，支出决算为0.02万元，完成预算的4%。</w:t>
      </w:r>
      <w:r>
        <w:rPr>
          <w:rFonts w:hint="eastAsia" w:ascii="仿宋_GB2312" w:eastAsia="仿宋_GB2312"/>
          <w:sz w:val="32"/>
          <w:szCs w:val="32"/>
        </w:rPr>
        <w:t>决算数与预算数存在差异的主要原因是响应政策，厉行节约。</w:t>
      </w:r>
      <w:r>
        <w:rPr>
          <w:rFonts w:ascii="仿宋_GB2312" w:eastAsia="仿宋_GB2312"/>
          <w:sz w:val="32"/>
          <w:szCs w:val="32"/>
        </w:rPr>
        <w:t>其中：</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公务用车购置支出为</w:t>
      </w:r>
      <w:r>
        <w:rPr>
          <w:rFonts w:ascii="仿宋_GB2312" w:eastAsia="仿宋_GB2312"/>
          <w:sz w:val="32"/>
          <w:szCs w:val="32"/>
        </w:rPr>
        <w:t>0.00万元，购置车辆0辆。</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公务用车运行支出</w:t>
      </w:r>
      <w:r>
        <w:rPr>
          <w:rFonts w:ascii="仿宋_GB2312" w:eastAsia="仿宋_GB2312"/>
          <w:sz w:val="32"/>
          <w:szCs w:val="32"/>
        </w:rPr>
        <w:t>0.02万元。2020年期末，部门开支财政拨款的公务用车保有量为0辆。</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ascii="仿宋_GB2312" w:eastAsia="仿宋_GB2312"/>
          <w:sz w:val="32"/>
          <w:szCs w:val="32"/>
        </w:rPr>
        <w:t>3.公务接待费预算为0万元，支出决算为0万元，完成预算的</w:t>
      </w:r>
      <w:r>
        <w:rPr>
          <w:rFonts w:hint="eastAsia" w:ascii="仿宋_GB2312" w:eastAsia="仿宋_GB2312"/>
          <w:sz w:val="32"/>
          <w:szCs w:val="32"/>
          <w:lang w:val="en-US" w:eastAsia="zh-CN"/>
        </w:rPr>
        <w:t>0</w:t>
      </w:r>
      <w:r>
        <w:rPr>
          <w:rFonts w:ascii="仿宋_GB2312" w:eastAsia="仿宋_GB2312"/>
          <w:sz w:val="32"/>
          <w:szCs w:val="32"/>
        </w:rPr>
        <w:t>.00%。</w:t>
      </w:r>
      <w:r>
        <w:rPr>
          <w:rFonts w:hint="eastAsia" w:ascii="仿宋_GB2312" w:eastAsia="仿宋_GB2312"/>
          <w:sz w:val="32"/>
          <w:szCs w:val="32"/>
        </w:rPr>
        <w:t>决算数与年初预算数无差异。</w:t>
      </w:r>
      <w:r>
        <w:rPr>
          <w:rFonts w:ascii="仿宋_GB2312" w:eastAsia="仿宋_GB2312"/>
          <w:sz w:val="32"/>
          <w:szCs w:val="32"/>
        </w:rPr>
        <w:t>其中：</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外宾接待支出</w:t>
      </w:r>
      <w:r>
        <w:rPr>
          <w:rFonts w:ascii="仿宋_GB2312" w:eastAsia="仿宋_GB2312"/>
          <w:sz w:val="32"/>
          <w:szCs w:val="32"/>
        </w:rPr>
        <w:t>0.00万元。2020年共接待国（境）外来访团组0个、来宾0人次（不包括陪同人员）。</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其他国内公务接待支出</w:t>
      </w:r>
      <w:r>
        <w:rPr>
          <w:rFonts w:ascii="仿宋_GB2312" w:eastAsia="仿宋_GB2312"/>
          <w:sz w:val="32"/>
          <w:szCs w:val="32"/>
        </w:rPr>
        <w:t>0万元，主要用于工作对接所需的业务接待。 2020年共接待访团组0次，来宾0人（包括陪同人员）。</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（一）绩效管理工作开展情况。</w:t>
      </w:r>
    </w:p>
    <w:p>
      <w:pPr>
        <w:ind w:firstLine="620" w:firstLineChars="200"/>
        <w:rPr>
          <w:rFonts w:ascii="仿宋" w:hAnsi="仿宋" w:eastAsia="仿宋" w:cs="仿宋"/>
          <w:color w:val="000000"/>
          <w:sz w:val="31"/>
          <w:szCs w:val="31"/>
        </w:rPr>
      </w:pPr>
      <w:r>
        <w:rPr>
          <w:rFonts w:ascii="仿宋" w:hAnsi="仿宋" w:eastAsia="仿宋" w:cs="仿宋"/>
          <w:color w:val="000000"/>
          <w:sz w:val="31"/>
          <w:szCs w:val="31"/>
        </w:rPr>
        <w:t>20</w:t>
      </w:r>
      <w:r>
        <w:rPr>
          <w:rFonts w:hint="eastAsia" w:ascii="仿宋" w:hAnsi="仿宋" w:eastAsia="仿宋" w:cs="仿宋"/>
          <w:color w:val="000000"/>
          <w:sz w:val="31"/>
          <w:szCs w:val="31"/>
        </w:rPr>
        <w:t>20</w:t>
      </w:r>
      <w:r>
        <w:rPr>
          <w:rFonts w:ascii="仿宋" w:hAnsi="仿宋" w:eastAsia="仿宋" w:cs="仿宋"/>
          <w:color w:val="000000"/>
          <w:sz w:val="31"/>
          <w:szCs w:val="31"/>
        </w:rPr>
        <w:t xml:space="preserve"> 年度</w:t>
      </w:r>
      <w:r>
        <w:rPr>
          <w:rFonts w:hint="eastAsia" w:ascii="仿宋" w:hAnsi="仿宋" w:eastAsia="仿宋" w:cs="仿宋"/>
          <w:color w:val="000000"/>
          <w:sz w:val="31"/>
          <w:szCs w:val="31"/>
        </w:rPr>
        <w:t>平桥区机要局</w:t>
      </w:r>
      <w:r>
        <w:rPr>
          <w:rFonts w:ascii="仿宋" w:hAnsi="仿宋" w:eastAsia="仿宋" w:cs="仿宋"/>
          <w:color w:val="000000"/>
          <w:sz w:val="31"/>
          <w:szCs w:val="31"/>
        </w:rPr>
        <w:t>没有民生项目和重点支出项目，</w:t>
      </w:r>
      <w:r>
        <w:rPr>
          <w:rFonts w:hint="eastAsia" w:ascii="仿宋" w:hAnsi="仿宋" w:eastAsia="仿宋" w:cs="仿宋"/>
          <w:color w:val="000000"/>
          <w:sz w:val="31"/>
          <w:szCs w:val="31"/>
        </w:rPr>
        <w:t>所以未开展预算绩效工作。</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（二）项目绩效自评结果。</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val="en-US" w:eastAsia="zh-CN"/>
        </w:rPr>
        <w:t>2020年度我部门无项目绩效评价</w:t>
      </w:r>
      <w:bookmarkStart w:id="6" w:name="_GoBack"/>
      <w:bookmarkEnd w:id="6"/>
      <w:r>
        <w:rPr>
          <w:rFonts w:hint="eastAsia" w:ascii="仿宋_GB2312" w:eastAsia="仿宋_GB2312"/>
          <w:sz w:val="32"/>
          <w:szCs w:val="32"/>
        </w:rPr>
        <w:t>。</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（三）重点绩效评价结果。</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ascii="仿宋_GB2312" w:eastAsia="仿宋_GB2312"/>
          <w:sz w:val="32"/>
          <w:szCs w:val="32"/>
        </w:rPr>
        <w:t>2020 年度我部门无重点绩效评价。</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spacing w:line="590" w:lineRule="exact"/>
        <w:ind w:firstLine="620" w:firstLineChars="200"/>
        <w:rPr>
          <w:rFonts w:ascii="仿宋_GB2312" w:hAnsi="仿宋_GB2312" w:eastAsia="仿宋_GB2312" w:cs="仿宋_GB2312"/>
          <w:sz w:val="32"/>
          <w:szCs w:val="32"/>
        </w:rPr>
      </w:pPr>
      <w:r>
        <w:rPr>
          <w:rFonts w:hint="eastAsia" w:ascii="仿宋" w:hAnsi="仿宋" w:eastAsia="仿宋" w:cs="仿宋"/>
          <w:color w:val="000000"/>
          <w:sz w:val="31"/>
          <w:szCs w:val="31"/>
        </w:rPr>
        <w:t>我部门</w:t>
      </w:r>
      <w:r>
        <w:rPr>
          <w:rFonts w:ascii="仿宋" w:hAnsi="仿宋" w:eastAsia="仿宋" w:cs="仿宋"/>
          <w:color w:val="000000"/>
          <w:sz w:val="31"/>
          <w:szCs w:val="31"/>
        </w:rPr>
        <w:t>2020年度没有政府性基金收入，也没有使用政府性基金安排的支出。</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十、机关运行经费支出情况说明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2020年度机关运行经费初预算为 1.08 万元，支出决算为1.08万元，完成年初预算的100%。决算数与年初预算数无差异。</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ascii="仿宋_GB2312" w:eastAsia="仿宋_GB2312"/>
          <w:sz w:val="32"/>
          <w:szCs w:val="32"/>
        </w:rPr>
        <w:t>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Pr>
          <w:rFonts w:hint="eastAsia" w:ascii="仿宋_GB2312" w:eastAsia="仿宋_GB2312"/>
          <w:sz w:val="32"/>
          <w:szCs w:val="32"/>
        </w:rPr>
        <w:t>。</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8"/>
        <w:shd w:val="clear" w:color="auto" w:fill="FFFFFF"/>
        <w:spacing w:before="0" w:beforeAutospacing="0" w:after="0" w:afterAutospacing="0"/>
        <w:ind w:left="161" w:leftChars="67" w:firstLine="480" w:firstLineChars="150"/>
        <w:rPr>
          <w:rFonts w:ascii="仿宋_GB2312" w:eastAsia="仿宋_GB2312"/>
          <w:sz w:val="32"/>
          <w:szCs w:val="32"/>
        </w:rPr>
      </w:pPr>
      <w:r>
        <w:rPr>
          <w:rFonts w:ascii="仿宋_GB2312" w:eastAsia="仿宋_GB2312"/>
          <w:sz w:val="32"/>
          <w:szCs w:val="32"/>
        </w:rPr>
        <w:t>2020年期末，我部门共有车辆0辆，其中：主要领导干部用车0辆、机要通信用车0辆、应急保障车0辆、执法执勤用车0辆、特种专业技术用车0辆、离退休干部用车0辆、其他用车0辆；单位价值50万元以上通用设备0台（套），单位价值100万元以上专用设备0台（套）。</w:t>
      </w: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rPr>
        <w:t>2020年度部门决算公开表</w:t>
      </w:r>
    </w:p>
    <w:p>
      <w:pPr>
        <w:rPr>
          <w:rFonts w:ascii="黑体" w:eastAsia="黑体"/>
          <w:color w:val="000000"/>
          <w:sz w:val="28"/>
          <w:szCs w:val="28"/>
        </w:rPr>
      </w:pPr>
    </w:p>
    <w:p>
      <w:pPr>
        <w:rPr>
          <w:rFonts w:ascii="仿宋_GB2312" w:eastAsia="仿宋_GB2312"/>
          <w:color w:val="000000"/>
          <w:sz w:val="32"/>
          <w:szCs w:val="32"/>
        </w:r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rPr>
          <w:rFonts w:ascii="仿宋_GB2312" w:eastAsia="仿宋_GB2312"/>
          <w:color w:val="000000"/>
          <w:sz w:val="32"/>
          <w:szCs w:val="32"/>
        </w:rPr>
      </w:pPr>
    </w:p>
    <w:p>
      <w:pPr>
        <w:sectPr>
          <w:pgSz w:w="11907" w:h="16840"/>
          <w:pgMar w:top="1440" w:right="1800" w:bottom="1440" w:left="1800" w:header="851" w:footer="992" w:gutter="0"/>
          <w:cols w:space="425" w:num="1"/>
          <w:docGrid w:type="lines" w:linePitch="312" w:charSpace="0"/>
        </w:sectPr>
      </w:pPr>
    </w:p>
    <w:p/>
    <w:tbl>
      <w:tblPr>
        <w:tblStyle w:val="9"/>
        <w:tblW w:w="12375" w:type="dxa"/>
        <w:tblInd w:w="93" w:type="dxa"/>
        <w:tblLayout w:type="autofit"/>
        <w:tblCellMar>
          <w:top w:w="0" w:type="dxa"/>
          <w:left w:w="108" w:type="dxa"/>
          <w:bottom w:w="0" w:type="dxa"/>
          <w:right w:w="108" w:type="dxa"/>
        </w:tblCellMar>
      </w:tblPr>
      <w:tblGrid>
        <w:gridCol w:w="3967"/>
        <w:gridCol w:w="715"/>
        <w:gridCol w:w="1435"/>
        <w:gridCol w:w="3503"/>
        <w:gridCol w:w="715"/>
        <w:gridCol w:w="2040"/>
      </w:tblGrid>
      <w:tr>
        <w:tblPrEx>
          <w:tblCellMar>
            <w:top w:w="0" w:type="dxa"/>
            <w:left w:w="108" w:type="dxa"/>
            <w:bottom w:w="0" w:type="dxa"/>
            <w:right w:w="108" w:type="dxa"/>
          </w:tblCellMar>
        </w:tblPrEx>
        <w:trPr>
          <w:trHeight w:val="375" w:hRule="atLeast"/>
        </w:trPr>
        <w:tc>
          <w:tcPr>
            <w:tcW w:w="12375" w:type="dxa"/>
            <w:gridSpan w:val="6"/>
            <w:tcBorders>
              <w:top w:val="nil"/>
              <w:left w:val="nil"/>
              <w:bottom w:val="nil"/>
              <w:right w:val="single" w:color="808080" w:sz="4" w:space="0"/>
            </w:tcBorders>
            <w:shd w:val="clear" w:color="auto" w:fill="FFFFFF"/>
            <w:noWrap/>
            <w:vAlign w:val="center"/>
          </w:tcPr>
          <w:p>
            <w:pPr>
              <w:jc w:val="center"/>
              <w:rPr>
                <w:color w:val="000000"/>
                <w:sz w:val="18"/>
                <w:szCs w:val="18"/>
              </w:rPr>
            </w:pPr>
            <w:r>
              <w:rPr>
                <w:rFonts w:hint="eastAsia" w:ascii="黑体" w:eastAsia="黑体" w:cs="黑体"/>
                <w:color w:val="000000"/>
                <w:sz w:val="30"/>
                <w:szCs w:val="30"/>
                <w:lang w:bidi="ar"/>
              </w:rPr>
              <w:t>收入支出决算总表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公开01表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部门：信阳市平桥区机要局</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center"/>
              <w:textAlignment w:val="center"/>
              <w:rPr>
                <w:color w:val="000000"/>
              </w:rPr>
            </w:pPr>
            <w:r>
              <w:rPr>
                <w:rFonts w:hint="eastAsia"/>
                <w:color w:val="000000"/>
                <w:lang w:bidi="ar"/>
              </w:rPr>
              <w:t>2020年度</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支出</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金额</w:t>
            </w:r>
          </w:p>
        </w:tc>
        <w:tc>
          <w:tcPr>
            <w:tcW w:w="0" w:type="auto"/>
            <w:tcBorders>
              <w:top w:val="nil"/>
              <w:left w:val="nil"/>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金额</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89.89</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32</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55.84</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35</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36</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37</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7</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38</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8</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42</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3016" w:type="dxa"/>
            <w:tcBorders>
              <w:top w:val="nil"/>
              <w:left w:val="nil"/>
              <w:bottom w:val="single" w:color="000000" w:sz="4" w:space="0"/>
              <w:right w:val="single" w:color="000000" w:sz="4" w:space="0"/>
            </w:tcBorders>
            <w:shd w:val="clear" w:color="auto" w:fill="C0C0C0"/>
            <w:vAlign w:val="center"/>
          </w:tcPr>
          <w:p>
            <w:pPr>
              <w:textAlignment w:val="center"/>
              <w:rPr>
                <w:color w:val="000000"/>
                <w:sz w:val="20"/>
                <w:szCs w:val="20"/>
              </w:rPr>
            </w:pPr>
            <w:r>
              <w:rPr>
                <w:rFonts w:hint="eastAsia"/>
                <w:color w:val="000000"/>
                <w:sz w:val="20"/>
                <w:szCs w:val="20"/>
                <w:lang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45</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46</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47</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48</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52</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5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3016" w:type="dxa"/>
            <w:tcBorders>
              <w:top w:val="nil"/>
              <w:left w:val="nil"/>
              <w:bottom w:val="single" w:color="000000" w:sz="4" w:space="0"/>
              <w:right w:val="single" w:color="000000" w:sz="4" w:space="0"/>
            </w:tcBorders>
            <w:shd w:val="clear" w:color="auto" w:fill="C0C0C0"/>
            <w:vAlign w:val="center"/>
          </w:tcPr>
          <w:p>
            <w:pPr>
              <w:textAlignment w:val="center"/>
              <w:rPr>
                <w:color w:val="000000"/>
                <w:sz w:val="20"/>
                <w:szCs w:val="20"/>
              </w:rPr>
            </w:pPr>
            <w:r>
              <w:rPr>
                <w:rFonts w:hint="eastAsia"/>
                <w:color w:val="000000"/>
                <w:sz w:val="20"/>
                <w:szCs w:val="20"/>
                <w:lang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b/>
                <w:bCs/>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55</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56</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3016" w:type="dxa"/>
            <w:tcBorders>
              <w:top w:val="nil"/>
              <w:left w:val="nil"/>
              <w:bottom w:val="single" w:color="000000" w:sz="4" w:space="0"/>
              <w:right w:val="single" w:color="000000" w:sz="4" w:space="0"/>
            </w:tcBorders>
            <w:shd w:val="clear" w:color="auto" w:fill="C0C0C0"/>
            <w:vAlign w:val="center"/>
          </w:tcPr>
          <w:p>
            <w:pPr>
              <w:textAlignment w:val="center"/>
              <w:rPr>
                <w:color w:val="000000"/>
                <w:sz w:val="20"/>
                <w:szCs w:val="20"/>
              </w:rPr>
            </w:pPr>
            <w:r>
              <w:rPr>
                <w:rFonts w:hint="eastAsia"/>
                <w:color w:val="000000"/>
                <w:sz w:val="20"/>
                <w:szCs w:val="20"/>
                <w:lang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57</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b/>
                <w:bCs/>
                <w:color w:val="000000"/>
                <w:sz w:val="20"/>
                <w:szCs w:val="20"/>
              </w:rPr>
            </w:pPr>
            <w:r>
              <w:rPr>
                <w:rFonts w:hint="eastAsia"/>
                <w:b/>
                <w:bCs/>
                <w:color w:val="000000"/>
                <w:sz w:val="20"/>
                <w:szCs w:val="20"/>
                <w:lang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27</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89.89</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b/>
                <w:bCs/>
                <w:color w:val="000000"/>
                <w:sz w:val="20"/>
                <w:szCs w:val="20"/>
              </w:rPr>
            </w:pPr>
            <w:r>
              <w:rPr>
                <w:rFonts w:hint="eastAsia"/>
                <w:b/>
                <w:bCs/>
                <w:color w:val="000000"/>
                <w:sz w:val="20"/>
                <w:szCs w:val="20"/>
                <w:lang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58</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63.61</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28</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31.84</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58.13</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0" w:type="auto"/>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61</w:t>
            </w:r>
          </w:p>
        </w:tc>
        <w:tc>
          <w:tcPr>
            <w:tcW w:w="0" w:type="auto"/>
            <w:tcBorders>
              <w:top w:val="nil"/>
              <w:left w:val="nil"/>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121.73</w:t>
            </w:r>
          </w:p>
        </w:tc>
        <w:tc>
          <w:tcPr>
            <w:tcW w:w="0" w:type="auto"/>
            <w:tcBorders>
              <w:top w:val="nil"/>
              <w:left w:val="nil"/>
              <w:bottom w:val="single" w:color="000000" w:sz="4" w:space="0"/>
              <w:right w:val="single" w:color="000000" w:sz="4" w:space="0"/>
            </w:tcBorders>
            <w:shd w:val="clear" w:color="auto" w:fill="C0C0C0"/>
            <w:noWrap/>
            <w:vAlign w:val="center"/>
          </w:tcPr>
          <w:p>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62</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121.73</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p/>
    <w:p/>
    <w:p/>
    <w:p/>
    <w:p/>
    <w:p/>
    <w:p/>
    <w:p/>
    <w:p/>
    <w:tbl>
      <w:tblPr>
        <w:tblStyle w:val="9"/>
        <w:tblW w:w="14083" w:type="dxa"/>
        <w:tblInd w:w="93" w:type="dxa"/>
        <w:tblLayout w:type="autofit"/>
        <w:tblCellMar>
          <w:top w:w="0" w:type="dxa"/>
          <w:left w:w="108" w:type="dxa"/>
          <w:bottom w:w="0" w:type="dxa"/>
          <w:right w:w="108" w:type="dxa"/>
        </w:tblCellMar>
      </w:tblPr>
      <w:tblGrid>
        <w:gridCol w:w="2854"/>
        <w:gridCol w:w="222"/>
        <w:gridCol w:w="222"/>
        <w:gridCol w:w="2615"/>
        <w:gridCol w:w="1051"/>
        <w:gridCol w:w="1630"/>
        <w:gridCol w:w="940"/>
        <w:gridCol w:w="921"/>
        <w:gridCol w:w="909"/>
        <w:gridCol w:w="963"/>
        <w:gridCol w:w="1756"/>
      </w:tblGrid>
      <w:tr>
        <w:tblPrEx>
          <w:tblCellMar>
            <w:top w:w="0" w:type="dxa"/>
            <w:left w:w="108" w:type="dxa"/>
            <w:bottom w:w="0" w:type="dxa"/>
            <w:right w:w="108" w:type="dxa"/>
          </w:tblCellMar>
        </w:tblPrEx>
        <w:trPr>
          <w:trHeight w:val="375" w:hRule="atLeast"/>
        </w:trPr>
        <w:tc>
          <w:tcPr>
            <w:tcW w:w="14083" w:type="dxa"/>
            <w:gridSpan w:val="11"/>
            <w:tcBorders>
              <w:top w:val="nil"/>
              <w:left w:val="nil"/>
              <w:bottom w:val="nil"/>
              <w:right w:val="single" w:color="808080" w:sz="4" w:space="0"/>
            </w:tcBorders>
            <w:shd w:val="clear" w:color="auto" w:fill="FFFFFF"/>
            <w:noWrap/>
            <w:vAlign w:val="center"/>
          </w:tcPr>
          <w:p>
            <w:pPr>
              <w:jc w:val="center"/>
              <w:rPr>
                <w:color w:val="000000"/>
                <w:sz w:val="18"/>
                <w:szCs w:val="18"/>
              </w:rPr>
            </w:pPr>
            <w:r>
              <w:rPr>
                <w:rFonts w:hint="eastAsia" w:ascii="黑体" w:eastAsia="黑体" w:cs="黑体"/>
                <w:color w:val="000000"/>
                <w:sz w:val="30"/>
                <w:szCs w:val="30"/>
                <w:lang w:bidi="ar"/>
              </w:rPr>
              <w:t>收入决算表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公开02表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部门：信阳市平桥区机要局</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1185"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本年收入合计</w:t>
            </w:r>
          </w:p>
        </w:tc>
        <w:tc>
          <w:tcPr>
            <w:tcW w:w="163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财政拨款收入</w:t>
            </w:r>
          </w:p>
        </w:tc>
        <w:tc>
          <w:tcPr>
            <w:tcW w:w="1222"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上级补助收入</w:t>
            </w:r>
          </w:p>
        </w:tc>
        <w:tc>
          <w:tcPr>
            <w:tcW w:w="1113"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事业收入</w:t>
            </w:r>
          </w:p>
        </w:tc>
        <w:tc>
          <w:tcPr>
            <w:tcW w:w="1041"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经营收入</w:t>
            </w:r>
          </w:p>
        </w:tc>
        <w:tc>
          <w:tcPr>
            <w:tcW w:w="1354"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附属单位上缴收入</w:t>
            </w:r>
          </w:p>
        </w:tc>
        <w:tc>
          <w:tcPr>
            <w:tcW w:w="1451"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其他收入</w:t>
            </w:r>
          </w:p>
        </w:tc>
      </w:tr>
      <w:tr>
        <w:tblPrEx>
          <w:tblCellMar>
            <w:top w:w="0" w:type="dxa"/>
            <w:left w:w="108" w:type="dxa"/>
            <w:bottom w:w="0" w:type="dxa"/>
            <w:right w:w="108" w:type="dxa"/>
          </w:tblCellMar>
        </w:tblPrEx>
        <w:trPr>
          <w:trHeight w:val="312" w:hRule="atLeast"/>
        </w:trPr>
        <w:tc>
          <w:tcPr>
            <w:tcW w:w="294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科目名称</w:t>
            </w:r>
          </w:p>
        </w:tc>
        <w:tc>
          <w:tcPr>
            <w:tcW w:w="118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2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113"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041"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5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451"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294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18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2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113"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041"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5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451"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294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18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2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113"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041"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5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451"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栏次</w:t>
            </w:r>
          </w:p>
        </w:tc>
        <w:tc>
          <w:tcPr>
            <w:tcW w:w="1185"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w:t>
            </w:r>
          </w:p>
        </w:tc>
        <w:tc>
          <w:tcPr>
            <w:tcW w:w="1630"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2</w:t>
            </w:r>
          </w:p>
        </w:tc>
        <w:tc>
          <w:tcPr>
            <w:tcW w:w="1222"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3</w:t>
            </w:r>
          </w:p>
        </w:tc>
        <w:tc>
          <w:tcPr>
            <w:tcW w:w="1113"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4</w:t>
            </w:r>
          </w:p>
        </w:tc>
        <w:tc>
          <w:tcPr>
            <w:tcW w:w="1041"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5</w:t>
            </w:r>
          </w:p>
        </w:tc>
        <w:tc>
          <w:tcPr>
            <w:tcW w:w="135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6</w:t>
            </w:r>
          </w:p>
        </w:tc>
        <w:tc>
          <w:tcPr>
            <w:tcW w:w="1451"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7</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89.89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89.89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82.13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82.13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20136</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其他共产党事务支出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82.13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82.13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2013601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82.13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82.13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208</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20899</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其他社会保障和就业支出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2089901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其他社会保障和就业支出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210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21011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行政事业单位医疗</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2101101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行政单位医疗</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221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住房保障支出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22102</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住房改革支出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2210201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注：本表反映部门本年度取得的各项收入情况。</w:t>
            </w:r>
          </w:p>
        </w:tc>
      </w:tr>
    </w:tbl>
    <w:p/>
    <w:p/>
    <w:tbl>
      <w:tblPr>
        <w:tblStyle w:val="9"/>
        <w:tblW w:w="11715" w:type="dxa"/>
        <w:tblInd w:w="93" w:type="dxa"/>
        <w:tblLayout w:type="autofit"/>
        <w:tblCellMar>
          <w:top w:w="0" w:type="dxa"/>
          <w:left w:w="108" w:type="dxa"/>
          <w:bottom w:w="0" w:type="dxa"/>
          <w:right w:w="108" w:type="dxa"/>
        </w:tblCellMar>
      </w:tblPr>
      <w:tblGrid>
        <w:gridCol w:w="2662"/>
        <w:gridCol w:w="321"/>
        <w:gridCol w:w="321"/>
        <w:gridCol w:w="2440"/>
        <w:gridCol w:w="1906"/>
        <w:gridCol w:w="1239"/>
        <w:gridCol w:w="1156"/>
        <w:gridCol w:w="1239"/>
        <w:gridCol w:w="1156"/>
        <w:gridCol w:w="1643"/>
      </w:tblGrid>
      <w:tr>
        <w:tblPrEx>
          <w:tblCellMar>
            <w:top w:w="0" w:type="dxa"/>
            <w:left w:w="108" w:type="dxa"/>
            <w:bottom w:w="0" w:type="dxa"/>
            <w:right w:w="108" w:type="dxa"/>
          </w:tblCellMar>
        </w:tblPrEx>
        <w:trPr>
          <w:trHeight w:val="375" w:hRule="atLeast"/>
        </w:trPr>
        <w:tc>
          <w:tcPr>
            <w:tcW w:w="329" w:type="dxa"/>
            <w:tcBorders>
              <w:top w:val="nil"/>
              <w:left w:val="nil"/>
              <w:bottom w:val="nil"/>
              <w:right w:val="nil"/>
            </w:tcBorders>
            <w:shd w:val="clear" w:color="auto" w:fill="FFFFFF"/>
            <w:noWrap/>
            <w:vAlign w:val="center"/>
          </w:tcPr>
          <w:p>
            <w:pPr>
              <w:rPr>
                <w:color w:val="000000"/>
                <w:sz w:val="18"/>
                <w:szCs w:val="18"/>
              </w:rPr>
            </w:pPr>
          </w:p>
        </w:tc>
        <w:tc>
          <w:tcPr>
            <w:tcW w:w="329" w:type="dxa"/>
            <w:tcBorders>
              <w:top w:val="nil"/>
              <w:left w:val="nil"/>
              <w:bottom w:val="nil"/>
              <w:right w:val="nil"/>
            </w:tcBorders>
            <w:shd w:val="clear" w:color="auto" w:fill="FFFFFF"/>
            <w:noWrap/>
            <w:vAlign w:val="center"/>
          </w:tcPr>
          <w:p>
            <w:pPr>
              <w:rPr>
                <w:color w:val="000000"/>
                <w:sz w:val="18"/>
                <w:szCs w:val="18"/>
              </w:rPr>
            </w:pPr>
          </w:p>
        </w:tc>
        <w:tc>
          <w:tcPr>
            <w:tcW w:w="329" w:type="dxa"/>
            <w:tcBorders>
              <w:top w:val="nil"/>
              <w:left w:val="nil"/>
              <w:bottom w:val="nil"/>
              <w:right w:val="nil"/>
            </w:tcBorders>
            <w:shd w:val="clear" w:color="auto" w:fill="FFFFFF"/>
            <w:noWrap/>
            <w:vAlign w:val="center"/>
          </w:tcPr>
          <w:p>
            <w:pPr>
              <w:rPr>
                <w:color w:val="000000"/>
                <w:sz w:val="18"/>
                <w:szCs w:val="18"/>
              </w:rPr>
            </w:pPr>
          </w:p>
        </w:tc>
        <w:tc>
          <w:tcPr>
            <w:tcW w:w="2220" w:type="dxa"/>
            <w:tcBorders>
              <w:top w:val="nil"/>
              <w:left w:val="nil"/>
              <w:bottom w:val="nil"/>
              <w:right w:val="nil"/>
            </w:tcBorders>
            <w:shd w:val="clear" w:color="auto" w:fill="FFFFFF"/>
            <w:noWrap/>
            <w:vAlign w:val="center"/>
          </w:tcPr>
          <w:p>
            <w:pPr>
              <w:rPr>
                <w:color w:val="000000"/>
                <w:sz w:val="18"/>
                <w:szCs w:val="18"/>
              </w:rPr>
            </w:pPr>
          </w:p>
        </w:tc>
        <w:tc>
          <w:tcPr>
            <w:tcW w:w="2040" w:type="dxa"/>
            <w:tcBorders>
              <w:top w:val="nil"/>
              <w:left w:val="nil"/>
              <w:bottom w:val="nil"/>
              <w:right w:val="nil"/>
            </w:tcBorders>
            <w:shd w:val="clear" w:color="auto" w:fill="FFFFFF"/>
            <w:noWrap/>
            <w:vAlign w:val="center"/>
          </w:tcPr>
          <w:p>
            <w:pPr>
              <w:jc w:val="center"/>
              <w:textAlignment w:val="center"/>
              <w:rPr>
                <w:rFonts w:ascii="黑体" w:eastAsia="黑体" w:cs="黑体"/>
                <w:color w:val="000000"/>
                <w:sz w:val="30"/>
                <w:szCs w:val="30"/>
              </w:rPr>
            </w:pPr>
            <w:r>
              <w:rPr>
                <w:rFonts w:hint="eastAsia" w:ascii="黑体" w:eastAsia="黑体" w:cs="黑体"/>
                <w:color w:val="000000"/>
                <w:sz w:val="30"/>
                <w:szCs w:val="30"/>
                <w:lang w:bidi="ar"/>
              </w:rPr>
              <w:t>支出决算表</w:t>
            </w:r>
          </w:p>
        </w:tc>
        <w:tc>
          <w:tcPr>
            <w:tcW w:w="1320" w:type="dxa"/>
            <w:tcBorders>
              <w:top w:val="nil"/>
              <w:left w:val="nil"/>
              <w:bottom w:val="nil"/>
              <w:right w:val="nil"/>
            </w:tcBorders>
            <w:shd w:val="clear" w:color="auto" w:fill="FFFFFF"/>
            <w:noWrap/>
            <w:vAlign w:val="center"/>
          </w:tcPr>
          <w:p>
            <w:pPr>
              <w:rPr>
                <w:color w:val="000000"/>
                <w:sz w:val="18"/>
                <w:szCs w:val="18"/>
              </w:rPr>
            </w:pPr>
          </w:p>
        </w:tc>
        <w:tc>
          <w:tcPr>
            <w:tcW w:w="1230" w:type="dxa"/>
            <w:tcBorders>
              <w:top w:val="nil"/>
              <w:left w:val="nil"/>
              <w:bottom w:val="nil"/>
              <w:right w:val="nil"/>
            </w:tcBorders>
            <w:shd w:val="clear" w:color="auto" w:fill="FFFFFF"/>
            <w:noWrap/>
            <w:vAlign w:val="center"/>
          </w:tcPr>
          <w:p>
            <w:pPr>
              <w:rPr>
                <w:color w:val="000000"/>
                <w:sz w:val="18"/>
                <w:szCs w:val="18"/>
              </w:rPr>
            </w:pPr>
          </w:p>
        </w:tc>
        <w:tc>
          <w:tcPr>
            <w:tcW w:w="1320" w:type="dxa"/>
            <w:tcBorders>
              <w:top w:val="nil"/>
              <w:left w:val="nil"/>
              <w:bottom w:val="nil"/>
              <w:right w:val="nil"/>
            </w:tcBorders>
            <w:shd w:val="clear" w:color="auto" w:fill="FFFFFF"/>
            <w:noWrap/>
            <w:vAlign w:val="center"/>
          </w:tcPr>
          <w:p>
            <w:pPr>
              <w:rPr>
                <w:color w:val="000000"/>
                <w:sz w:val="18"/>
                <w:szCs w:val="18"/>
              </w:rPr>
            </w:pPr>
          </w:p>
        </w:tc>
        <w:tc>
          <w:tcPr>
            <w:tcW w:w="1230" w:type="dxa"/>
            <w:tcBorders>
              <w:top w:val="nil"/>
              <w:left w:val="nil"/>
              <w:bottom w:val="nil"/>
              <w:right w:val="nil"/>
            </w:tcBorders>
            <w:shd w:val="clear" w:color="auto" w:fill="FFFFFF"/>
            <w:noWrap/>
            <w:vAlign w:val="center"/>
          </w:tcPr>
          <w:p>
            <w:pPr>
              <w:rPr>
                <w:color w:val="000000"/>
                <w:sz w:val="18"/>
                <w:szCs w:val="18"/>
              </w:rPr>
            </w:pPr>
          </w:p>
        </w:tc>
        <w:tc>
          <w:tcPr>
            <w:tcW w:w="1380"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公开03表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部门：信阳市平桥区机要局</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204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本年支出合计</w:t>
            </w:r>
          </w:p>
        </w:tc>
        <w:tc>
          <w:tcPr>
            <w:tcW w:w="132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基本支出</w:t>
            </w:r>
          </w:p>
        </w:tc>
        <w:tc>
          <w:tcPr>
            <w:tcW w:w="123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项目支出</w:t>
            </w:r>
          </w:p>
        </w:tc>
        <w:tc>
          <w:tcPr>
            <w:tcW w:w="132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上缴上级支出</w:t>
            </w:r>
          </w:p>
        </w:tc>
        <w:tc>
          <w:tcPr>
            <w:tcW w:w="123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经营支出</w:t>
            </w:r>
          </w:p>
        </w:tc>
        <w:tc>
          <w:tcPr>
            <w:tcW w:w="138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对附属单位补助支出</w:t>
            </w:r>
          </w:p>
        </w:tc>
      </w:tr>
      <w:tr>
        <w:tblPrEx>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科目名称</w:t>
            </w:r>
          </w:p>
        </w:tc>
        <w:tc>
          <w:tcPr>
            <w:tcW w:w="204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204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204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2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栏次</w:t>
            </w:r>
          </w:p>
        </w:tc>
        <w:tc>
          <w:tcPr>
            <w:tcW w:w="2040"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w:t>
            </w:r>
          </w:p>
        </w:tc>
        <w:tc>
          <w:tcPr>
            <w:tcW w:w="1320"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2</w:t>
            </w:r>
          </w:p>
        </w:tc>
        <w:tc>
          <w:tcPr>
            <w:tcW w:w="1230"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3</w:t>
            </w:r>
          </w:p>
        </w:tc>
        <w:tc>
          <w:tcPr>
            <w:tcW w:w="1320"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4</w:t>
            </w:r>
          </w:p>
        </w:tc>
        <w:tc>
          <w:tcPr>
            <w:tcW w:w="1230"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5</w:t>
            </w:r>
          </w:p>
        </w:tc>
        <w:tc>
          <w:tcPr>
            <w:tcW w:w="1380"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63.61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63.61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55.84</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55.84</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20136</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其他共产党事务支出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55.84</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55.84</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2013601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55.84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55.84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208</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20899</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其他社会保障和就业支出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2089901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其他社会保障和就业支出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210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21011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行政事业单位医疗</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2101101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行政单位医疗</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221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住房保障支出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22102</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住房改革支出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2210201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注：本表反映部门本年度各项支出情况。</w:t>
            </w:r>
          </w:p>
        </w:tc>
      </w:tr>
    </w:tbl>
    <w:tbl>
      <w:tblPr>
        <w:tblStyle w:val="9"/>
        <w:tblpPr w:leftFromText="180" w:rightFromText="180" w:vertAnchor="text" w:horzAnchor="page" w:tblpX="272" w:tblpY="278"/>
        <w:tblOverlap w:val="never"/>
        <w:tblW w:w="16117" w:type="dxa"/>
        <w:tblInd w:w="0" w:type="dxa"/>
        <w:tblLayout w:type="autofit"/>
        <w:tblCellMar>
          <w:top w:w="0" w:type="dxa"/>
          <w:left w:w="108" w:type="dxa"/>
          <w:bottom w:w="0" w:type="dxa"/>
          <w:right w:w="108" w:type="dxa"/>
        </w:tblCellMar>
      </w:tblPr>
      <w:tblGrid>
        <w:gridCol w:w="2856"/>
        <w:gridCol w:w="569"/>
        <w:gridCol w:w="1275"/>
        <w:gridCol w:w="4339"/>
        <w:gridCol w:w="1737"/>
        <w:gridCol w:w="1215"/>
        <w:gridCol w:w="1230"/>
        <w:gridCol w:w="1140"/>
        <w:gridCol w:w="1756"/>
      </w:tblGrid>
      <w:tr>
        <w:tblPrEx>
          <w:tblCellMar>
            <w:top w:w="0" w:type="dxa"/>
            <w:left w:w="108" w:type="dxa"/>
            <w:bottom w:w="0" w:type="dxa"/>
            <w:right w:w="108" w:type="dxa"/>
          </w:tblCellMar>
        </w:tblPrEx>
        <w:trPr>
          <w:trHeight w:val="375" w:hRule="atLeast"/>
        </w:trPr>
        <w:tc>
          <w:tcPr>
            <w:tcW w:w="16117" w:type="dxa"/>
            <w:gridSpan w:val="9"/>
            <w:tcBorders>
              <w:top w:val="nil"/>
              <w:left w:val="nil"/>
              <w:bottom w:val="nil"/>
              <w:right w:val="single" w:color="808080" w:sz="4" w:space="0"/>
            </w:tcBorders>
            <w:shd w:val="clear" w:color="auto" w:fill="FFFFFF"/>
            <w:noWrap/>
            <w:vAlign w:val="center"/>
          </w:tcPr>
          <w:p>
            <w:pPr>
              <w:jc w:val="center"/>
              <w:rPr>
                <w:color w:val="000000"/>
                <w:sz w:val="18"/>
                <w:szCs w:val="18"/>
              </w:rPr>
            </w:pPr>
            <w:r>
              <w:rPr>
                <w:rFonts w:hint="eastAsia" w:ascii="黑体" w:eastAsia="黑体" w:cs="黑体"/>
                <w:color w:val="000000"/>
                <w:sz w:val="30"/>
                <w:szCs w:val="30"/>
                <w:lang w:bidi="ar"/>
              </w:rPr>
              <w:t>财政拨款收入支出决算总表</w:t>
            </w:r>
          </w:p>
        </w:tc>
      </w:tr>
      <w:tr>
        <w:tblPrEx>
          <w:tblCellMar>
            <w:top w:w="0" w:type="dxa"/>
            <w:left w:w="108" w:type="dxa"/>
            <w:bottom w:w="0" w:type="dxa"/>
            <w:right w:w="108" w:type="dxa"/>
          </w:tblCellMar>
        </w:tblPrEx>
        <w:trPr>
          <w:trHeight w:val="300" w:hRule="atLeast"/>
        </w:trPr>
        <w:tc>
          <w:tcPr>
            <w:tcW w:w="2856" w:type="dxa"/>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569" w:type="dxa"/>
            <w:tcBorders>
              <w:top w:val="nil"/>
              <w:left w:val="nil"/>
              <w:bottom w:val="nil"/>
              <w:right w:val="nil"/>
            </w:tcBorders>
            <w:shd w:val="clear" w:color="auto" w:fill="FFFFFF"/>
            <w:noWrap/>
            <w:vAlign w:val="center"/>
          </w:tcPr>
          <w:p>
            <w:pPr>
              <w:rPr>
                <w:color w:val="000000"/>
                <w:sz w:val="18"/>
                <w:szCs w:val="18"/>
              </w:rPr>
            </w:pPr>
          </w:p>
        </w:tc>
        <w:tc>
          <w:tcPr>
            <w:tcW w:w="1275" w:type="dxa"/>
            <w:tcBorders>
              <w:top w:val="nil"/>
              <w:left w:val="nil"/>
              <w:bottom w:val="nil"/>
              <w:right w:val="nil"/>
            </w:tcBorders>
            <w:shd w:val="clear" w:color="auto" w:fill="FFFFFF"/>
            <w:noWrap/>
            <w:vAlign w:val="center"/>
          </w:tcPr>
          <w:p>
            <w:pPr>
              <w:rPr>
                <w:color w:val="000000"/>
                <w:sz w:val="18"/>
                <w:szCs w:val="18"/>
              </w:rPr>
            </w:pPr>
          </w:p>
        </w:tc>
        <w:tc>
          <w:tcPr>
            <w:tcW w:w="4339" w:type="dxa"/>
            <w:tcBorders>
              <w:top w:val="nil"/>
              <w:left w:val="nil"/>
              <w:bottom w:val="nil"/>
              <w:right w:val="nil"/>
            </w:tcBorders>
            <w:shd w:val="clear" w:color="auto" w:fill="FFFFFF"/>
            <w:noWrap/>
            <w:vAlign w:val="center"/>
          </w:tcPr>
          <w:p>
            <w:pPr>
              <w:rPr>
                <w:color w:val="000000"/>
                <w:sz w:val="18"/>
                <w:szCs w:val="18"/>
              </w:rPr>
            </w:pPr>
          </w:p>
        </w:tc>
        <w:tc>
          <w:tcPr>
            <w:tcW w:w="1737" w:type="dxa"/>
            <w:tcBorders>
              <w:top w:val="nil"/>
              <w:left w:val="nil"/>
              <w:bottom w:val="nil"/>
              <w:right w:val="nil"/>
            </w:tcBorders>
            <w:shd w:val="clear" w:color="auto" w:fill="FFFFFF"/>
            <w:noWrap/>
            <w:vAlign w:val="center"/>
          </w:tcPr>
          <w:p>
            <w:pPr>
              <w:rPr>
                <w:color w:val="000000"/>
                <w:sz w:val="18"/>
                <w:szCs w:val="18"/>
              </w:rPr>
            </w:pPr>
          </w:p>
        </w:tc>
        <w:tc>
          <w:tcPr>
            <w:tcW w:w="1215" w:type="dxa"/>
            <w:tcBorders>
              <w:top w:val="nil"/>
              <w:left w:val="nil"/>
              <w:bottom w:val="nil"/>
              <w:right w:val="nil"/>
            </w:tcBorders>
            <w:shd w:val="clear" w:color="auto" w:fill="FFFFFF"/>
            <w:noWrap/>
            <w:vAlign w:val="center"/>
          </w:tcPr>
          <w:p>
            <w:pPr>
              <w:rPr>
                <w:color w:val="000000"/>
                <w:sz w:val="18"/>
                <w:szCs w:val="18"/>
              </w:rPr>
            </w:pPr>
          </w:p>
        </w:tc>
        <w:tc>
          <w:tcPr>
            <w:tcW w:w="1230" w:type="dxa"/>
            <w:tcBorders>
              <w:top w:val="nil"/>
              <w:left w:val="nil"/>
              <w:bottom w:val="nil"/>
              <w:right w:val="nil"/>
            </w:tcBorders>
            <w:shd w:val="clear" w:color="auto" w:fill="FFFFFF"/>
            <w:noWrap/>
            <w:vAlign w:val="center"/>
          </w:tcPr>
          <w:p>
            <w:pPr>
              <w:rPr>
                <w:color w:val="000000"/>
                <w:sz w:val="18"/>
                <w:szCs w:val="18"/>
              </w:rPr>
            </w:pPr>
          </w:p>
        </w:tc>
        <w:tc>
          <w:tcPr>
            <w:tcW w:w="1140" w:type="dxa"/>
            <w:tcBorders>
              <w:top w:val="nil"/>
              <w:left w:val="nil"/>
              <w:bottom w:val="nil"/>
              <w:right w:val="nil"/>
            </w:tcBorders>
            <w:shd w:val="clear" w:color="auto" w:fill="FFFFFF"/>
            <w:noWrap/>
            <w:vAlign w:val="center"/>
          </w:tcPr>
          <w:p>
            <w:pPr>
              <w:rPr>
                <w:color w:val="000000"/>
                <w:sz w:val="18"/>
                <w:szCs w:val="18"/>
              </w:rPr>
            </w:pPr>
          </w:p>
        </w:tc>
        <w:tc>
          <w:tcPr>
            <w:tcW w:w="1756" w:type="dxa"/>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公开04表</w:t>
            </w:r>
          </w:p>
        </w:tc>
      </w:tr>
      <w:tr>
        <w:tblPrEx>
          <w:tblCellMar>
            <w:top w:w="0" w:type="dxa"/>
            <w:left w:w="108" w:type="dxa"/>
            <w:bottom w:w="0" w:type="dxa"/>
            <w:right w:w="108" w:type="dxa"/>
          </w:tblCellMar>
        </w:tblPrEx>
        <w:trPr>
          <w:trHeight w:val="300" w:hRule="atLeast"/>
        </w:trPr>
        <w:tc>
          <w:tcPr>
            <w:tcW w:w="2856" w:type="dxa"/>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部门：信阳市平桥区机要局</w:t>
            </w:r>
          </w:p>
        </w:tc>
        <w:tc>
          <w:tcPr>
            <w:tcW w:w="569"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275" w:type="dxa"/>
            <w:tcBorders>
              <w:top w:val="nil"/>
              <w:left w:val="nil"/>
              <w:bottom w:val="single" w:color="808080" w:sz="4" w:space="0"/>
              <w:right w:val="nil"/>
            </w:tcBorders>
            <w:shd w:val="clear" w:color="auto" w:fill="FFFFFF"/>
            <w:noWrap/>
            <w:vAlign w:val="center"/>
          </w:tcPr>
          <w:p>
            <w:pPr>
              <w:rPr>
                <w:color w:val="000000"/>
                <w:sz w:val="18"/>
                <w:szCs w:val="18"/>
              </w:rPr>
            </w:pPr>
          </w:p>
        </w:tc>
        <w:tc>
          <w:tcPr>
            <w:tcW w:w="4339"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737" w:type="dxa"/>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2020年度</w:t>
            </w:r>
          </w:p>
        </w:tc>
        <w:tc>
          <w:tcPr>
            <w:tcW w:w="1215"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230"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140"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756" w:type="dxa"/>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4700"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收     入</w:t>
            </w:r>
          </w:p>
        </w:tc>
        <w:tc>
          <w:tcPr>
            <w:tcW w:w="11417" w:type="dxa"/>
            <w:gridSpan w:val="6"/>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支     出</w:t>
            </w:r>
          </w:p>
        </w:tc>
      </w:tr>
      <w:tr>
        <w:tblPrEx>
          <w:tblCellMar>
            <w:top w:w="0" w:type="dxa"/>
            <w:left w:w="108" w:type="dxa"/>
            <w:bottom w:w="0" w:type="dxa"/>
            <w:right w:w="108" w:type="dxa"/>
          </w:tblCellMar>
        </w:tblPrEx>
        <w:trPr>
          <w:trHeight w:val="312" w:hRule="atLeast"/>
        </w:trPr>
        <w:tc>
          <w:tcPr>
            <w:tcW w:w="2856" w:type="dxa"/>
            <w:vMerge w:val="restart"/>
            <w:tcBorders>
              <w:top w:val="nil"/>
              <w:left w:val="single" w:color="000000" w:sz="4" w:space="0"/>
              <w:bottom w:val="single" w:color="000000" w:sz="4" w:space="0"/>
              <w:right w:val="single" w:color="000000" w:sz="4" w:space="0"/>
            </w:tcBorders>
            <w:shd w:val="clear" w:color="auto" w:fill="C0C0C0"/>
            <w:vAlign w:val="center"/>
          </w:tcPr>
          <w:p>
            <w:pPr>
              <w:jc w:val="both"/>
              <w:textAlignment w:val="center"/>
              <w:rPr>
                <w:color w:val="000000"/>
                <w:sz w:val="20"/>
                <w:szCs w:val="20"/>
              </w:rPr>
            </w:pPr>
            <w:r>
              <w:rPr>
                <w:rFonts w:hint="eastAsia"/>
                <w:color w:val="000000"/>
                <w:sz w:val="20"/>
                <w:szCs w:val="20"/>
                <w:lang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行次</w:t>
            </w:r>
          </w:p>
        </w:tc>
        <w:tc>
          <w:tcPr>
            <w:tcW w:w="1275"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金额</w:t>
            </w:r>
          </w:p>
        </w:tc>
        <w:tc>
          <w:tcPr>
            <w:tcW w:w="4339" w:type="dxa"/>
            <w:vMerge w:val="restart"/>
            <w:tcBorders>
              <w:top w:val="nil"/>
              <w:left w:val="nil"/>
              <w:bottom w:val="single" w:color="000000" w:sz="4" w:space="0"/>
              <w:right w:val="single" w:color="000000" w:sz="4" w:space="0"/>
            </w:tcBorders>
            <w:shd w:val="clear" w:color="auto" w:fill="C0C0C0"/>
            <w:vAlign w:val="bottom"/>
          </w:tcPr>
          <w:p>
            <w:pPr>
              <w:jc w:val="both"/>
              <w:textAlignment w:val="bottom"/>
              <w:rPr>
                <w:color w:val="000000"/>
                <w:sz w:val="20"/>
                <w:szCs w:val="20"/>
              </w:rPr>
            </w:pPr>
            <w:r>
              <w:rPr>
                <w:rFonts w:hint="eastAsia"/>
                <w:color w:val="000000"/>
                <w:sz w:val="20"/>
                <w:szCs w:val="20"/>
                <w:lang w:bidi="ar"/>
              </w:rPr>
              <w:t>项目</w:t>
            </w:r>
          </w:p>
        </w:tc>
        <w:tc>
          <w:tcPr>
            <w:tcW w:w="173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行次</w:t>
            </w:r>
          </w:p>
        </w:tc>
        <w:tc>
          <w:tcPr>
            <w:tcW w:w="1215" w:type="dxa"/>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合计</w:t>
            </w:r>
          </w:p>
        </w:tc>
        <w:tc>
          <w:tcPr>
            <w:tcW w:w="123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一般公共预算财政拨款</w:t>
            </w:r>
          </w:p>
        </w:tc>
        <w:tc>
          <w:tcPr>
            <w:tcW w:w="114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政府性基金预算财政拨款</w:t>
            </w:r>
          </w:p>
        </w:tc>
        <w:tc>
          <w:tcPr>
            <w:tcW w:w="175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国有资本经营预算财政拨款</w:t>
            </w:r>
          </w:p>
        </w:tc>
      </w:tr>
      <w:tr>
        <w:tblPrEx>
          <w:tblCellMar>
            <w:top w:w="0" w:type="dxa"/>
            <w:left w:w="108" w:type="dxa"/>
            <w:bottom w:w="0" w:type="dxa"/>
            <w:right w:w="108" w:type="dxa"/>
          </w:tblCellMar>
        </w:tblPrEx>
        <w:trPr>
          <w:trHeight w:val="600" w:hRule="atLeast"/>
        </w:trPr>
        <w:tc>
          <w:tcPr>
            <w:tcW w:w="2856"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color w:val="000000"/>
                <w:sz w:val="20"/>
                <w:szCs w:val="20"/>
              </w:rPr>
            </w:pPr>
          </w:p>
        </w:tc>
        <w:tc>
          <w:tcPr>
            <w:tcW w:w="569"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7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4339" w:type="dxa"/>
            <w:vMerge w:val="continue"/>
            <w:tcBorders>
              <w:top w:val="nil"/>
              <w:left w:val="nil"/>
              <w:bottom w:val="single" w:color="000000" w:sz="4" w:space="0"/>
              <w:right w:val="single" w:color="000000" w:sz="4" w:space="0"/>
            </w:tcBorders>
            <w:shd w:val="clear" w:color="auto" w:fill="C0C0C0"/>
            <w:vAlign w:val="bottom"/>
          </w:tcPr>
          <w:p>
            <w:pPr>
              <w:jc w:val="both"/>
              <w:rPr>
                <w:color w:val="000000"/>
                <w:sz w:val="20"/>
                <w:szCs w:val="20"/>
              </w:rPr>
            </w:pPr>
          </w:p>
        </w:tc>
        <w:tc>
          <w:tcPr>
            <w:tcW w:w="173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15" w:type="dxa"/>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14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栏次</w:t>
            </w:r>
          </w:p>
        </w:tc>
        <w:tc>
          <w:tcPr>
            <w:tcW w:w="569" w:type="dxa"/>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275"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4339" w:type="dxa"/>
            <w:tcBorders>
              <w:top w:val="nil"/>
              <w:left w:val="nil"/>
              <w:bottom w:val="single" w:color="000000" w:sz="4" w:space="0"/>
              <w:right w:val="single" w:color="000000" w:sz="4" w:space="0"/>
            </w:tcBorders>
            <w:shd w:val="clear" w:color="auto" w:fill="C0C0C0"/>
            <w:noWrap/>
            <w:vAlign w:val="bottom"/>
          </w:tcPr>
          <w:p>
            <w:pPr>
              <w:jc w:val="both"/>
              <w:textAlignment w:val="bottom"/>
              <w:rPr>
                <w:color w:val="000000"/>
                <w:sz w:val="20"/>
                <w:szCs w:val="20"/>
              </w:rPr>
            </w:pPr>
            <w:r>
              <w:rPr>
                <w:rFonts w:hint="eastAsia"/>
                <w:color w:val="000000"/>
                <w:sz w:val="20"/>
                <w:szCs w:val="20"/>
                <w:lang w:bidi="ar"/>
              </w:rPr>
              <w:t>栏次</w:t>
            </w:r>
          </w:p>
        </w:tc>
        <w:tc>
          <w:tcPr>
            <w:tcW w:w="1737" w:type="dxa"/>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215"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c>
          <w:tcPr>
            <w:tcW w:w="1230"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w:t>
            </w:r>
          </w:p>
        </w:tc>
        <w:tc>
          <w:tcPr>
            <w:tcW w:w="1140"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w:t>
            </w:r>
          </w:p>
        </w:tc>
        <w:tc>
          <w:tcPr>
            <w:tcW w:w="1756"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一、一般公共预算财政拨款</w:t>
            </w: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89.89</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一、一般公共服务支出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33</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55.84</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55.84</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二、政府性基金预算财政拨款</w:t>
            </w: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二、外交支出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34</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三、国有资本经营财政拨款</w:t>
            </w: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三、国防支出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35</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四、公共安全支出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36</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五、教育支出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37</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六、科学技术支出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38</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52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7</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vAlign w:val="center"/>
          </w:tcPr>
          <w:p>
            <w:pPr>
              <w:textAlignment w:val="center"/>
              <w:rPr>
                <w:color w:val="000000"/>
                <w:sz w:val="20"/>
                <w:szCs w:val="20"/>
              </w:rPr>
            </w:pPr>
            <w:r>
              <w:rPr>
                <w:rFonts w:hint="eastAsia"/>
                <w:color w:val="000000"/>
                <w:sz w:val="20"/>
                <w:szCs w:val="20"/>
                <w:lang w:bidi="ar"/>
              </w:rPr>
              <w:t>七、文化旅游体育与传媒支出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39</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8</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八、社会保障和就业支出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40</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9</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九、卫生健康支出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41</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10</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十、节能环保支出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42</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11</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十一、城乡社区支出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43</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12</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十二、农林水支出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44</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13</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十三、交通运输支出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45</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48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14</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vAlign w:val="center"/>
          </w:tcPr>
          <w:p>
            <w:pPr>
              <w:textAlignment w:val="center"/>
              <w:rPr>
                <w:color w:val="000000"/>
                <w:sz w:val="20"/>
                <w:szCs w:val="20"/>
              </w:rPr>
            </w:pPr>
            <w:r>
              <w:rPr>
                <w:rFonts w:hint="eastAsia"/>
                <w:color w:val="000000"/>
                <w:sz w:val="20"/>
                <w:szCs w:val="20"/>
                <w:lang w:bidi="ar"/>
              </w:rPr>
              <w:t>十四、资源勘探工业信息等支出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46</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15</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十五、商业服务业等支出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47</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16</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十六、金融支出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48</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17</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十七、援助其他地区支出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49</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54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18</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vAlign w:val="center"/>
          </w:tcPr>
          <w:p>
            <w:pPr>
              <w:textAlignment w:val="center"/>
              <w:rPr>
                <w:color w:val="000000"/>
                <w:sz w:val="20"/>
                <w:szCs w:val="20"/>
              </w:rPr>
            </w:pPr>
            <w:r>
              <w:rPr>
                <w:rFonts w:hint="eastAsia"/>
                <w:color w:val="000000"/>
                <w:sz w:val="20"/>
                <w:szCs w:val="20"/>
                <w:lang w:bidi="ar"/>
              </w:rPr>
              <w:t>十八、自然资源海洋气象等支出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50</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19</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十九、住房保障支出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51</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20</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二十、粮油物资储备支出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52</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54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21</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vAlign w:val="center"/>
          </w:tcPr>
          <w:p>
            <w:pPr>
              <w:textAlignment w:val="center"/>
              <w:rPr>
                <w:color w:val="000000"/>
                <w:sz w:val="20"/>
                <w:szCs w:val="20"/>
              </w:rPr>
            </w:pPr>
            <w:r>
              <w:rPr>
                <w:rFonts w:hint="eastAsia"/>
                <w:color w:val="000000"/>
                <w:sz w:val="20"/>
                <w:szCs w:val="20"/>
                <w:lang w:bidi="ar"/>
              </w:rPr>
              <w:t>二十一、国有资本经营预算支出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53</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48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22</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vAlign w:val="center"/>
          </w:tcPr>
          <w:p>
            <w:pPr>
              <w:textAlignment w:val="center"/>
              <w:rPr>
                <w:color w:val="000000"/>
                <w:sz w:val="20"/>
                <w:szCs w:val="20"/>
              </w:rPr>
            </w:pPr>
            <w:r>
              <w:rPr>
                <w:rFonts w:hint="eastAsia"/>
                <w:color w:val="000000"/>
                <w:sz w:val="20"/>
                <w:szCs w:val="20"/>
                <w:lang w:bidi="ar"/>
              </w:rPr>
              <w:t>二十二、灾害防治及应急管理支出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54</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23</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二十三、其他支出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55</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jc w:val="center"/>
              <w:rPr>
                <w:b/>
                <w:bCs/>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24</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二十四、债务还本支出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56</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25</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二十五、债务付息支出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57</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5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26</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4339" w:type="dxa"/>
            <w:tcBorders>
              <w:top w:val="nil"/>
              <w:left w:val="nil"/>
              <w:bottom w:val="single" w:color="000000" w:sz="4" w:space="0"/>
              <w:right w:val="single" w:color="000000" w:sz="4" w:space="0"/>
            </w:tcBorders>
            <w:shd w:val="clear" w:color="auto" w:fill="C0C0C0"/>
            <w:vAlign w:val="center"/>
          </w:tcPr>
          <w:p>
            <w:pPr>
              <w:textAlignment w:val="center"/>
              <w:rPr>
                <w:color w:val="000000"/>
                <w:sz w:val="20"/>
                <w:szCs w:val="20"/>
              </w:rPr>
            </w:pPr>
            <w:r>
              <w:rPr>
                <w:rFonts w:hint="eastAsia"/>
                <w:color w:val="000000"/>
                <w:sz w:val="20"/>
                <w:szCs w:val="20"/>
                <w:lang w:bidi="ar"/>
              </w:rPr>
              <w:t>二十六、抗疫特别国债安排的支出</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58</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b/>
                <w:bCs/>
                <w:color w:val="000000"/>
                <w:sz w:val="20"/>
                <w:szCs w:val="20"/>
              </w:rPr>
            </w:pPr>
            <w:r>
              <w:rPr>
                <w:rFonts w:hint="eastAsia"/>
                <w:b/>
                <w:bCs/>
                <w:color w:val="000000"/>
                <w:sz w:val="20"/>
                <w:szCs w:val="20"/>
                <w:lang w:bidi="ar"/>
              </w:rPr>
              <w:t>本年收入合计</w:t>
            </w: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27</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89.89</w:t>
            </w:r>
          </w:p>
        </w:tc>
        <w:tc>
          <w:tcPr>
            <w:tcW w:w="4339" w:type="dxa"/>
            <w:tcBorders>
              <w:top w:val="nil"/>
              <w:left w:val="nil"/>
              <w:bottom w:val="single" w:color="000000" w:sz="4" w:space="0"/>
              <w:right w:val="single" w:color="000000" w:sz="4" w:space="0"/>
            </w:tcBorders>
            <w:shd w:val="clear" w:color="auto" w:fill="C0C0C0"/>
            <w:noWrap/>
            <w:vAlign w:val="center"/>
          </w:tcPr>
          <w:p>
            <w:pPr>
              <w:jc w:val="center"/>
              <w:textAlignment w:val="center"/>
              <w:rPr>
                <w:b/>
                <w:bCs/>
                <w:color w:val="000000"/>
                <w:sz w:val="20"/>
                <w:szCs w:val="20"/>
              </w:rPr>
            </w:pPr>
            <w:r>
              <w:rPr>
                <w:rFonts w:hint="eastAsia"/>
                <w:b/>
                <w:bCs/>
                <w:color w:val="000000"/>
                <w:sz w:val="20"/>
                <w:szCs w:val="20"/>
                <w:lang w:bidi="ar"/>
              </w:rPr>
              <w:t>本年支出合计</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59</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63.61</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63.61</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年初财政拨款结转和结余</w:t>
            </w: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28</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31.84</w:t>
            </w:r>
          </w:p>
        </w:tc>
        <w:tc>
          <w:tcPr>
            <w:tcW w:w="4339"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年末财政拨款结转和结余</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60</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58.13</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58.13</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一般公共预算财政拨款</w:t>
            </w: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29</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31.84</w:t>
            </w:r>
          </w:p>
        </w:tc>
        <w:tc>
          <w:tcPr>
            <w:tcW w:w="4339"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61</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政府性基金预算财政拨款</w:t>
            </w: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30</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4339"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62</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国有资本经营预算财政拨款</w:t>
            </w:r>
          </w:p>
        </w:tc>
        <w:tc>
          <w:tcPr>
            <w:tcW w:w="569"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31</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4339"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63</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r>
      <w:tr>
        <w:tblPrEx>
          <w:tblCellMar>
            <w:top w:w="0" w:type="dxa"/>
            <w:left w:w="108" w:type="dxa"/>
            <w:bottom w:w="0" w:type="dxa"/>
            <w:right w:w="108" w:type="dxa"/>
          </w:tblCellMar>
        </w:tblPrEx>
        <w:trPr>
          <w:trHeight w:val="300" w:hRule="atLeast"/>
        </w:trPr>
        <w:tc>
          <w:tcPr>
            <w:tcW w:w="2856" w:type="dxa"/>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b/>
                <w:bCs/>
                <w:color w:val="000000"/>
                <w:sz w:val="20"/>
                <w:szCs w:val="20"/>
              </w:rPr>
            </w:pPr>
            <w:r>
              <w:rPr>
                <w:rFonts w:hint="eastAsia"/>
                <w:b/>
                <w:bCs/>
                <w:color w:val="000000"/>
                <w:sz w:val="20"/>
                <w:szCs w:val="20"/>
                <w:lang w:bidi="ar"/>
              </w:rPr>
              <w:t>总计</w:t>
            </w:r>
          </w:p>
        </w:tc>
        <w:tc>
          <w:tcPr>
            <w:tcW w:w="569" w:type="dxa"/>
            <w:tcBorders>
              <w:top w:val="nil"/>
              <w:left w:val="nil"/>
              <w:bottom w:val="single" w:color="000000" w:sz="12"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32</w:t>
            </w:r>
          </w:p>
        </w:tc>
        <w:tc>
          <w:tcPr>
            <w:tcW w:w="12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121.73</w:t>
            </w:r>
          </w:p>
        </w:tc>
        <w:tc>
          <w:tcPr>
            <w:tcW w:w="4339" w:type="dxa"/>
            <w:tcBorders>
              <w:top w:val="nil"/>
              <w:left w:val="nil"/>
              <w:bottom w:val="single" w:color="000000" w:sz="4" w:space="0"/>
              <w:right w:val="single" w:color="000000" w:sz="4" w:space="0"/>
            </w:tcBorders>
            <w:shd w:val="clear" w:color="auto" w:fill="C0C0C0"/>
            <w:noWrap/>
            <w:vAlign w:val="center"/>
          </w:tcPr>
          <w:p>
            <w:pPr>
              <w:jc w:val="both"/>
              <w:textAlignment w:val="center"/>
              <w:rPr>
                <w:b/>
                <w:bCs/>
                <w:color w:val="000000"/>
                <w:sz w:val="20"/>
                <w:szCs w:val="20"/>
              </w:rPr>
            </w:pPr>
            <w:r>
              <w:rPr>
                <w:rFonts w:hint="eastAsia"/>
                <w:b/>
                <w:bCs/>
                <w:color w:val="000000"/>
                <w:sz w:val="20"/>
                <w:szCs w:val="20"/>
                <w:lang w:bidi="ar"/>
              </w:rPr>
              <w:t>总计</w:t>
            </w:r>
          </w:p>
        </w:tc>
        <w:tc>
          <w:tcPr>
            <w:tcW w:w="173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64</w:t>
            </w:r>
          </w:p>
        </w:tc>
        <w:tc>
          <w:tcPr>
            <w:tcW w:w="121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121.73</w:t>
            </w:r>
          </w:p>
        </w:tc>
        <w:tc>
          <w:tcPr>
            <w:tcW w:w="123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121.73</w:t>
            </w:r>
          </w:p>
        </w:tc>
        <w:tc>
          <w:tcPr>
            <w:tcW w:w="114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4361" w:type="dxa"/>
            <w:gridSpan w:val="8"/>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1756" w:type="dxa"/>
            <w:tcBorders>
              <w:top w:val="nil"/>
              <w:left w:val="nil"/>
              <w:bottom w:val="nil"/>
              <w:right w:val="nil"/>
            </w:tcBorders>
            <w:shd w:val="clear" w:color="auto" w:fill="FFFFFF"/>
            <w:noWrap/>
            <w:vAlign w:val="center"/>
          </w:tcPr>
          <w:p>
            <w:pPr>
              <w:rPr>
                <w:color w:val="000000"/>
                <w:sz w:val="20"/>
                <w:szCs w:val="20"/>
              </w:rPr>
            </w:pPr>
          </w:p>
        </w:tc>
      </w:tr>
    </w:tbl>
    <w:p/>
    <w:p/>
    <w:p>
      <w:pPr>
        <w:sectPr>
          <w:pgSz w:w="16840" w:h="11907" w:orient="landscape"/>
          <w:pgMar w:top="1800" w:right="1440" w:bottom="1800" w:left="1440" w:header="851" w:footer="992" w:gutter="0"/>
          <w:cols w:space="425" w:num="1"/>
          <w:docGrid w:type="lines" w:linePitch="312" w:charSpace="0"/>
        </w:sectPr>
      </w:pPr>
    </w:p>
    <w:p/>
    <w:tbl>
      <w:tblPr>
        <w:tblStyle w:val="9"/>
        <w:tblW w:w="14083" w:type="dxa"/>
        <w:tblInd w:w="93" w:type="dxa"/>
        <w:tblLayout w:type="autofit"/>
        <w:tblCellMar>
          <w:top w:w="0" w:type="dxa"/>
          <w:left w:w="108" w:type="dxa"/>
          <w:bottom w:w="0" w:type="dxa"/>
          <w:right w:w="108" w:type="dxa"/>
        </w:tblCellMar>
      </w:tblPr>
      <w:tblGrid>
        <w:gridCol w:w="4170"/>
        <w:gridCol w:w="324"/>
        <w:gridCol w:w="324"/>
        <w:gridCol w:w="3819"/>
        <w:gridCol w:w="1375"/>
        <w:gridCol w:w="1507"/>
        <w:gridCol w:w="2564"/>
      </w:tblGrid>
      <w:tr>
        <w:tblPrEx>
          <w:tblCellMar>
            <w:top w:w="0" w:type="dxa"/>
            <w:left w:w="108" w:type="dxa"/>
            <w:bottom w:w="0" w:type="dxa"/>
            <w:right w:w="108" w:type="dxa"/>
          </w:tblCellMar>
        </w:tblPrEx>
        <w:trPr>
          <w:trHeight w:val="375" w:hRule="atLeast"/>
        </w:trPr>
        <w:tc>
          <w:tcPr>
            <w:tcW w:w="14083" w:type="dxa"/>
            <w:gridSpan w:val="7"/>
            <w:tcBorders>
              <w:top w:val="nil"/>
              <w:left w:val="nil"/>
              <w:bottom w:val="nil"/>
              <w:right w:val="single" w:color="808080" w:sz="4" w:space="0"/>
            </w:tcBorders>
            <w:shd w:val="clear" w:color="auto" w:fill="FFFFFF"/>
            <w:noWrap/>
            <w:vAlign w:val="center"/>
          </w:tcPr>
          <w:p>
            <w:pPr>
              <w:jc w:val="center"/>
              <w:rPr>
                <w:color w:val="000000"/>
                <w:sz w:val="18"/>
                <w:szCs w:val="18"/>
              </w:rPr>
            </w:pPr>
            <w:r>
              <w:rPr>
                <w:rFonts w:hint="eastAsia" w:ascii="黑体" w:eastAsia="黑体" w:cs="黑体"/>
                <w:color w:val="000000"/>
                <w:sz w:val="30"/>
                <w:szCs w:val="30"/>
                <w:lang w:bidi="ar"/>
              </w:rPr>
              <w:t>一般公共预算财政拨款支出决算表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公开05表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部门：信阳市平桥区机要局</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4253" w:type="dxa"/>
            <w:gridSpan w:val="3"/>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本年支出</w:t>
            </w:r>
          </w:p>
        </w:tc>
      </w:tr>
      <w:tr>
        <w:tblPrEx>
          <w:tblCellMar>
            <w:top w:w="0" w:type="dxa"/>
            <w:left w:w="108" w:type="dxa"/>
            <w:bottom w:w="0" w:type="dxa"/>
            <w:right w:w="108" w:type="dxa"/>
          </w:tblCellMar>
        </w:tblPrEx>
        <w:trPr>
          <w:trHeight w:val="312" w:hRule="atLeast"/>
        </w:trPr>
        <w:tc>
          <w:tcPr>
            <w:tcW w:w="528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科目名称</w:t>
            </w:r>
          </w:p>
        </w:tc>
        <w:tc>
          <w:tcPr>
            <w:tcW w:w="1164"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小计</w:t>
            </w:r>
          </w:p>
        </w:tc>
        <w:tc>
          <w:tcPr>
            <w:tcW w:w="1343"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基本支出</w:t>
            </w:r>
          </w:p>
        </w:tc>
        <w:tc>
          <w:tcPr>
            <w:tcW w:w="174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项目支出</w:t>
            </w:r>
          </w:p>
        </w:tc>
      </w:tr>
      <w:tr>
        <w:tblPrEx>
          <w:tblCellMar>
            <w:top w:w="0" w:type="dxa"/>
            <w:left w:w="108" w:type="dxa"/>
            <w:bottom w:w="0" w:type="dxa"/>
            <w:right w:w="108" w:type="dxa"/>
          </w:tblCellMar>
        </w:tblPrEx>
        <w:trPr>
          <w:trHeight w:val="312" w:hRule="atLeast"/>
        </w:trPr>
        <w:tc>
          <w:tcPr>
            <w:tcW w:w="528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16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43"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74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528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16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43"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74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63.61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63.61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55.84</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55.84</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20136</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其他共产党事务支出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55.84</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55.84</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2013601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bookmarkStart w:id="2" w:name="_Hlk113025456"/>
            <w:r>
              <w:rPr>
                <w:rFonts w:hint="eastAsia"/>
                <w:color w:val="000000"/>
                <w:sz w:val="20"/>
                <w:szCs w:val="20"/>
                <w:lang w:bidi="ar"/>
              </w:rPr>
              <w:t>55.84</w:t>
            </w:r>
            <w:bookmarkEnd w:id="2"/>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55.84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208</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20899</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其他社会保障和就业支出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2089901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其他社会保障和就业支出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210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21011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行政事业单位医疗</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3.51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2101101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行政单位医疗</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221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住房保障支出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22102</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住房改革支出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4.13</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2210201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tbl>
      <w:tblPr>
        <w:tblStyle w:val="9"/>
        <w:tblW w:w="14083" w:type="dxa"/>
        <w:tblInd w:w="93" w:type="dxa"/>
        <w:tblLayout w:type="fixed"/>
        <w:tblCellMar>
          <w:top w:w="0" w:type="dxa"/>
          <w:left w:w="108" w:type="dxa"/>
          <w:bottom w:w="0" w:type="dxa"/>
          <w:right w:w="108" w:type="dxa"/>
        </w:tblCellMar>
      </w:tblPr>
      <w:tblGrid>
        <w:gridCol w:w="1291"/>
        <w:gridCol w:w="2552"/>
        <w:gridCol w:w="1792"/>
        <w:gridCol w:w="901"/>
        <w:gridCol w:w="1645"/>
        <w:gridCol w:w="765"/>
        <w:gridCol w:w="850"/>
        <w:gridCol w:w="3006"/>
        <w:gridCol w:w="1281"/>
      </w:tblGrid>
      <w:tr>
        <w:tblPrEx>
          <w:tblCellMar>
            <w:top w:w="0" w:type="dxa"/>
            <w:left w:w="108" w:type="dxa"/>
            <w:bottom w:w="0" w:type="dxa"/>
            <w:right w:w="108" w:type="dxa"/>
          </w:tblCellMar>
        </w:tblPrEx>
        <w:trPr>
          <w:trHeight w:val="375" w:hRule="atLeast"/>
        </w:trPr>
        <w:tc>
          <w:tcPr>
            <w:tcW w:w="14083" w:type="dxa"/>
            <w:gridSpan w:val="9"/>
            <w:tcBorders>
              <w:top w:val="nil"/>
              <w:left w:val="nil"/>
              <w:bottom w:val="nil"/>
              <w:right w:val="single" w:color="808080" w:sz="4" w:space="0"/>
            </w:tcBorders>
            <w:shd w:val="clear" w:color="auto" w:fill="FFFFFF"/>
            <w:noWrap/>
            <w:vAlign w:val="center"/>
          </w:tcPr>
          <w:p>
            <w:pPr>
              <w:jc w:val="center"/>
              <w:rPr>
                <w:color w:val="000000"/>
                <w:sz w:val="18"/>
                <w:szCs w:val="18"/>
              </w:rPr>
            </w:pPr>
            <w:r>
              <w:rPr>
                <w:rFonts w:hint="eastAsia" w:ascii="黑体" w:eastAsia="黑体" w:cs="黑体"/>
                <w:color w:val="000000"/>
                <w:sz w:val="30"/>
                <w:szCs w:val="30"/>
                <w:lang w:bidi="ar"/>
              </w:rPr>
              <w:t>一般公共预算财政拨款基本支出决算表</w:t>
            </w:r>
          </w:p>
        </w:tc>
      </w:tr>
      <w:tr>
        <w:tblPrEx>
          <w:tblCellMar>
            <w:top w:w="0" w:type="dxa"/>
            <w:left w:w="108" w:type="dxa"/>
            <w:bottom w:w="0" w:type="dxa"/>
            <w:right w:w="108" w:type="dxa"/>
          </w:tblCellMar>
        </w:tblPrEx>
        <w:trPr>
          <w:trHeight w:val="300" w:hRule="atLeast"/>
        </w:trPr>
        <w:tc>
          <w:tcPr>
            <w:tcW w:w="1291" w:type="dxa"/>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2552" w:type="dxa"/>
            <w:tcBorders>
              <w:top w:val="nil"/>
              <w:left w:val="nil"/>
              <w:bottom w:val="nil"/>
              <w:right w:val="nil"/>
            </w:tcBorders>
            <w:shd w:val="clear" w:color="auto" w:fill="FFFFFF"/>
            <w:noWrap/>
            <w:vAlign w:val="center"/>
          </w:tcPr>
          <w:p>
            <w:pPr>
              <w:rPr>
                <w:color w:val="000000"/>
                <w:sz w:val="18"/>
                <w:szCs w:val="18"/>
              </w:rPr>
            </w:pPr>
          </w:p>
        </w:tc>
        <w:tc>
          <w:tcPr>
            <w:tcW w:w="1792" w:type="dxa"/>
            <w:tcBorders>
              <w:top w:val="nil"/>
              <w:left w:val="nil"/>
              <w:bottom w:val="nil"/>
              <w:right w:val="nil"/>
            </w:tcBorders>
            <w:shd w:val="clear" w:color="auto" w:fill="FFFFFF"/>
            <w:noWrap/>
            <w:vAlign w:val="center"/>
          </w:tcPr>
          <w:p>
            <w:pPr>
              <w:rPr>
                <w:color w:val="000000"/>
                <w:sz w:val="18"/>
                <w:szCs w:val="18"/>
              </w:rPr>
            </w:pPr>
          </w:p>
        </w:tc>
        <w:tc>
          <w:tcPr>
            <w:tcW w:w="901" w:type="dxa"/>
            <w:tcBorders>
              <w:top w:val="nil"/>
              <w:left w:val="nil"/>
              <w:bottom w:val="nil"/>
              <w:right w:val="nil"/>
            </w:tcBorders>
            <w:shd w:val="clear" w:color="auto" w:fill="FFFFFF"/>
            <w:noWrap/>
            <w:vAlign w:val="center"/>
          </w:tcPr>
          <w:p>
            <w:pPr>
              <w:rPr>
                <w:color w:val="000000"/>
                <w:sz w:val="18"/>
                <w:szCs w:val="18"/>
              </w:rPr>
            </w:pPr>
          </w:p>
        </w:tc>
        <w:tc>
          <w:tcPr>
            <w:tcW w:w="1645" w:type="dxa"/>
            <w:tcBorders>
              <w:top w:val="nil"/>
              <w:left w:val="nil"/>
              <w:bottom w:val="nil"/>
              <w:right w:val="nil"/>
            </w:tcBorders>
            <w:shd w:val="clear" w:color="auto" w:fill="FFFFFF"/>
            <w:noWrap/>
            <w:vAlign w:val="center"/>
          </w:tcPr>
          <w:p>
            <w:pPr>
              <w:rPr>
                <w:color w:val="000000"/>
                <w:sz w:val="18"/>
                <w:szCs w:val="18"/>
              </w:rPr>
            </w:pPr>
          </w:p>
        </w:tc>
        <w:tc>
          <w:tcPr>
            <w:tcW w:w="765" w:type="dxa"/>
            <w:tcBorders>
              <w:top w:val="nil"/>
              <w:left w:val="nil"/>
              <w:bottom w:val="nil"/>
              <w:right w:val="nil"/>
            </w:tcBorders>
            <w:shd w:val="clear" w:color="auto" w:fill="FFFFFF"/>
            <w:noWrap/>
            <w:vAlign w:val="center"/>
          </w:tcPr>
          <w:p>
            <w:pPr>
              <w:rPr>
                <w:color w:val="000000"/>
                <w:sz w:val="18"/>
                <w:szCs w:val="18"/>
              </w:rPr>
            </w:pPr>
          </w:p>
        </w:tc>
        <w:tc>
          <w:tcPr>
            <w:tcW w:w="850" w:type="dxa"/>
            <w:tcBorders>
              <w:top w:val="nil"/>
              <w:left w:val="nil"/>
              <w:bottom w:val="nil"/>
              <w:right w:val="nil"/>
            </w:tcBorders>
            <w:shd w:val="clear" w:color="auto" w:fill="FFFFFF"/>
            <w:noWrap/>
            <w:vAlign w:val="center"/>
          </w:tcPr>
          <w:p>
            <w:pPr>
              <w:rPr>
                <w:color w:val="000000"/>
                <w:sz w:val="18"/>
                <w:szCs w:val="18"/>
              </w:rPr>
            </w:pPr>
          </w:p>
        </w:tc>
        <w:tc>
          <w:tcPr>
            <w:tcW w:w="3006" w:type="dxa"/>
            <w:tcBorders>
              <w:top w:val="nil"/>
              <w:left w:val="nil"/>
              <w:bottom w:val="nil"/>
              <w:right w:val="nil"/>
            </w:tcBorders>
            <w:shd w:val="clear" w:color="auto" w:fill="FFFFFF"/>
            <w:noWrap/>
            <w:vAlign w:val="center"/>
          </w:tcPr>
          <w:p>
            <w:pPr>
              <w:rPr>
                <w:color w:val="000000"/>
                <w:sz w:val="18"/>
                <w:szCs w:val="18"/>
              </w:rPr>
            </w:pPr>
          </w:p>
        </w:tc>
        <w:tc>
          <w:tcPr>
            <w:tcW w:w="1281" w:type="dxa"/>
            <w:tcBorders>
              <w:top w:val="nil"/>
              <w:left w:val="nil"/>
              <w:bottom w:val="nil"/>
              <w:right w:val="single" w:color="808080" w:sz="4" w:space="0"/>
            </w:tcBorders>
            <w:shd w:val="clear" w:color="auto" w:fill="FFFFFF"/>
            <w:noWrap/>
            <w:vAlign w:val="center"/>
          </w:tcPr>
          <w:p>
            <w:pPr>
              <w:jc w:val="right"/>
              <w:textAlignment w:val="center"/>
              <w:rPr>
                <w:color w:val="000000"/>
                <w:sz w:val="18"/>
                <w:szCs w:val="18"/>
              </w:rPr>
            </w:pPr>
            <w:r>
              <w:rPr>
                <w:rFonts w:hint="eastAsia"/>
                <w:color w:val="000000"/>
                <w:sz w:val="18"/>
                <w:szCs w:val="18"/>
                <w:lang w:bidi="ar"/>
              </w:rPr>
              <w:t>公开06表</w:t>
            </w:r>
          </w:p>
        </w:tc>
      </w:tr>
      <w:tr>
        <w:tblPrEx>
          <w:tblCellMar>
            <w:top w:w="0" w:type="dxa"/>
            <w:left w:w="108" w:type="dxa"/>
            <w:bottom w:w="0" w:type="dxa"/>
            <w:right w:w="108" w:type="dxa"/>
          </w:tblCellMar>
        </w:tblPrEx>
        <w:trPr>
          <w:trHeight w:val="300" w:hRule="atLeast"/>
        </w:trPr>
        <w:tc>
          <w:tcPr>
            <w:tcW w:w="5635" w:type="dxa"/>
            <w:gridSpan w:val="3"/>
            <w:tcBorders>
              <w:top w:val="nil"/>
              <w:left w:val="nil"/>
              <w:bottom w:val="single" w:color="808080" w:sz="4" w:space="0"/>
              <w:right w:val="nil"/>
            </w:tcBorders>
            <w:shd w:val="clear" w:color="auto" w:fill="FFFFFF"/>
            <w:noWrap/>
            <w:vAlign w:val="center"/>
          </w:tcPr>
          <w:p>
            <w:pPr>
              <w:rPr>
                <w:color w:val="000000"/>
                <w:sz w:val="18"/>
                <w:szCs w:val="18"/>
              </w:rPr>
            </w:pPr>
            <w:r>
              <w:rPr>
                <w:rFonts w:hint="eastAsia"/>
                <w:color w:val="000000"/>
                <w:sz w:val="20"/>
                <w:szCs w:val="20"/>
                <w:lang w:bidi="ar"/>
              </w:rPr>
              <w:t>部门：信阳市平桥区机要局</w:t>
            </w:r>
          </w:p>
        </w:tc>
        <w:tc>
          <w:tcPr>
            <w:tcW w:w="901"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645" w:type="dxa"/>
            <w:tcBorders>
              <w:top w:val="nil"/>
              <w:left w:val="nil"/>
              <w:bottom w:val="single" w:color="808080" w:sz="4" w:space="0"/>
              <w:right w:val="nil"/>
            </w:tcBorders>
            <w:shd w:val="clear" w:color="auto" w:fill="FFFFFF"/>
            <w:noWrap/>
            <w:vAlign w:val="center"/>
          </w:tcPr>
          <w:p>
            <w:pPr>
              <w:jc w:val="center"/>
              <w:rPr>
                <w:color w:val="000000"/>
                <w:sz w:val="22"/>
                <w:szCs w:val="22"/>
              </w:rPr>
            </w:pPr>
            <w:r>
              <w:rPr>
                <w:rFonts w:hint="eastAsia"/>
                <w:color w:val="000000"/>
                <w:sz w:val="22"/>
                <w:szCs w:val="22"/>
              </w:rPr>
              <w:t>2</w:t>
            </w:r>
            <w:r>
              <w:rPr>
                <w:color w:val="000000"/>
                <w:sz w:val="22"/>
                <w:szCs w:val="22"/>
              </w:rPr>
              <w:t>020</w:t>
            </w:r>
            <w:r>
              <w:rPr>
                <w:rFonts w:hint="eastAsia"/>
                <w:color w:val="000000"/>
                <w:sz w:val="22"/>
                <w:szCs w:val="22"/>
              </w:rPr>
              <w:t>年度</w:t>
            </w:r>
          </w:p>
        </w:tc>
        <w:tc>
          <w:tcPr>
            <w:tcW w:w="765" w:type="dxa"/>
            <w:tcBorders>
              <w:top w:val="nil"/>
              <w:left w:val="nil"/>
              <w:bottom w:val="single" w:color="808080" w:sz="4" w:space="0"/>
              <w:right w:val="nil"/>
            </w:tcBorders>
            <w:shd w:val="clear" w:color="auto" w:fill="FFFFFF"/>
            <w:noWrap/>
            <w:vAlign w:val="center"/>
          </w:tcPr>
          <w:p>
            <w:pPr>
              <w:rPr>
                <w:color w:val="000000"/>
                <w:sz w:val="18"/>
                <w:szCs w:val="18"/>
              </w:rPr>
            </w:pPr>
          </w:p>
        </w:tc>
        <w:tc>
          <w:tcPr>
            <w:tcW w:w="850" w:type="dxa"/>
            <w:tcBorders>
              <w:top w:val="nil"/>
              <w:left w:val="nil"/>
              <w:bottom w:val="single" w:color="808080" w:sz="4" w:space="0"/>
              <w:right w:val="nil"/>
            </w:tcBorders>
            <w:shd w:val="clear" w:color="auto" w:fill="FFFFFF"/>
            <w:noWrap/>
            <w:vAlign w:val="center"/>
          </w:tcPr>
          <w:p>
            <w:pPr>
              <w:rPr>
                <w:color w:val="000000"/>
                <w:sz w:val="18"/>
                <w:szCs w:val="18"/>
              </w:rPr>
            </w:pPr>
          </w:p>
        </w:tc>
        <w:tc>
          <w:tcPr>
            <w:tcW w:w="4287" w:type="dxa"/>
            <w:gridSpan w:val="2"/>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18"/>
                <w:szCs w:val="18"/>
              </w:rPr>
            </w:pPr>
            <w:r>
              <w:rPr>
                <w:rFonts w:hint="eastAsia"/>
                <w:color w:val="000000"/>
                <w:sz w:val="18"/>
                <w:szCs w:val="18"/>
                <w:lang w:bidi="ar"/>
              </w:rPr>
              <w:t>金额单位：万元</w:t>
            </w:r>
          </w:p>
        </w:tc>
      </w:tr>
      <w:tr>
        <w:tblPrEx>
          <w:tblCellMar>
            <w:top w:w="0" w:type="dxa"/>
            <w:left w:w="108" w:type="dxa"/>
            <w:bottom w:w="0" w:type="dxa"/>
            <w:right w:w="108" w:type="dxa"/>
          </w:tblCellMar>
        </w:tblPrEx>
        <w:trPr>
          <w:trHeight w:val="300" w:hRule="atLeast"/>
        </w:trPr>
        <w:tc>
          <w:tcPr>
            <w:tcW w:w="5635"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人员经费</w:t>
            </w:r>
          </w:p>
        </w:tc>
        <w:tc>
          <w:tcPr>
            <w:tcW w:w="8448" w:type="dxa"/>
            <w:gridSpan w:val="6"/>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公用经费</w:t>
            </w:r>
          </w:p>
        </w:tc>
      </w:tr>
      <w:tr>
        <w:tblPrEx>
          <w:tblCellMar>
            <w:top w:w="0" w:type="dxa"/>
            <w:left w:w="108" w:type="dxa"/>
            <w:bottom w:w="0" w:type="dxa"/>
            <w:right w:w="108" w:type="dxa"/>
          </w:tblCellMar>
        </w:tblPrEx>
        <w:trPr>
          <w:trHeight w:val="312" w:hRule="atLeast"/>
        </w:trPr>
        <w:tc>
          <w:tcPr>
            <w:tcW w:w="1291" w:type="dxa"/>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科目编码</w:t>
            </w:r>
          </w:p>
        </w:tc>
        <w:tc>
          <w:tcPr>
            <w:tcW w:w="2552"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科目名称</w:t>
            </w:r>
          </w:p>
        </w:tc>
        <w:tc>
          <w:tcPr>
            <w:tcW w:w="1792"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决算数</w:t>
            </w:r>
          </w:p>
        </w:tc>
        <w:tc>
          <w:tcPr>
            <w:tcW w:w="901"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科目编码</w:t>
            </w:r>
          </w:p>
        </w:tc>
        <w:tc>
          <w:tcPr>
            <w:tcW w:w="1645"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科目名称</w:t>
            </w:r>
          </w:p>
        </w:tc>
        <w:tc>
          <w:tcPr>
            <w:tcW w:w="765"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决算数</w:t>
            </w:r>
          </w:p>
        </w:tc>
        <w:tc>
          <w:tcPr>
            <w:tcW w:w="85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科目编码</w:t>
            </w:r>
          </w:p>
        </w:tc>
        <w:tc>
          <w:tcPr>
            <w:tcW w:w="300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科目名称</w:t>
            </w:r>
          </w:p>
        </w:tc>
        <w:tc>
          <w:tcPr>
            <w:tcW w:w="1281"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决算数</w:t>
            </w:r>
          </w:p>
        </w:tc>
      </w:tr>
      <w:tr>
        <w:tblPrEx>
          <w:tblCellMar>
            <w:top w:w="0" w:type="dxa"/>
            <w:left w:w="108" w:type="dxa"/>
            <w:bottom w:w="0" w:type="dxa"/>
            <w:right w:w="108" w:type="dxa"/>
          </w:tblCellMar>
        </w:tblPrEx>
        <w:trPr>
          <w:trHeight w:val="312" w:hRule="atLeast"/>
        </w:trPr>
        <w:tc>
          <w:tcPr>
            <w:tcW w:w="1291"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255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79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901"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4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76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85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300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81"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工资福利支出</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62.52</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商品和服务支出</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1.08</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307</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债务利息及费用支出</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30101</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基本工资</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21.40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30201</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办公费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0.78</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30701</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国内债务付息</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30102</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津贴补贴</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15.96</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30202</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印刷费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30702</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国外债务付息</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30103</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奖金</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16.97</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30203</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咨询费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资本性支出</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30106</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伙食补助费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0.31</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30204</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手续费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31001</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房屋建筑物购建</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30107</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绩效工资</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30205</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水费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31002</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办公设备购置</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30108</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机关事业单位基本养老保险缴费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30206</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电费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31003</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专用设备购置</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30109</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职业年金缴费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30207</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邮电费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0.08</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31005</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基础设施建设</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bookmarkStart w:id="3" w:name="_Hlk113025136"/>
            <w:r>
              <w:rPr>
                <w:rFonts w:hint="eastAsia"/>
                <w:color w:val="000000"/>
                <w:sz w:val="20"/>
                <w:szCs w:val="20"/>
                <w:lang w:bidi="ar"/>
              </w:rPr>
              <w:t>30110</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职工基本医疗保险缴费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3.51</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30208</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取暖费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31006</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大型修缮</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bookmarkEnd w:id="3"/>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30111</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公务员医疗补助缴费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30209</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物业管理费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31007</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信息网络及软件购置更新</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bookmarkStart w:id="4" w:name="_Hlk113025146"/>
            <w:r>
              <w:rPr>
                <w:rFonts w:hint="eastAsia"/>
                <w:color w:val="000000"/>
                <w:sz w:val="20"/>
                <w:szCs w:val="20"/>
                <w:lang w:bidi="ar"/>
              </w:rPr>
              <w:t>30112</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其他社会保障缴费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0.13</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30211</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差旅费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31008</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物资储备</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30113</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住房公积金</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4.13</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30212</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因公出国（境）费用</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31009</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土地补偿</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bookmarkEnd w:id="4"/>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30114</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医疗费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30213</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维修（护）费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0.02</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31010</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安置补助</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30199</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w:t>
            </w:r>
            <w:bookmarkStart w:id="5" w:name="_Hlk113025159"/>
            <w:r>
              <w:rPr>
                <w:rFonts w:hint="eastAsia"/>
                <w:color w:val="000000"/>
                <w:sz w:val="20"/>
                <w:szCs w:val="20"/>
                <w:lang w:bidi="ar"/>
              </w:rPr>
              <w:t>其他工资福利支出</w:t>
            </w:r>
            <w:bookmarkEnd w:id="5"/>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0.12</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30214</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租赁费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31011</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地上附着物和青苗补偿</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对个人和家庭的补助</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30215</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会议费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31012</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拆迁补偿</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30301</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离休费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30216</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培训费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31013</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公务用车购置</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30302</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退休费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30217</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公务接待费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31019</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其他交通工具购置</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30303</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退职（役）费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30218</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专用材料费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31021</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文物和陈列品购置</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30304</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抚恤金</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30224</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被装购置费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31022</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无形资产购置</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30305</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生活补助</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30225</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专用燃料费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31099</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其他资本性支出</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30306</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救济费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30226</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劳务费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其他支出</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30307</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医疗费补助</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30227</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委托业务费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39906</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赠与</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30308</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助学金</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30228</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工会经费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39907</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国家赔偿费用支出</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30309</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奖励金</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30229</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福利费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39908</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30310</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个人农业生产补贴</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30231</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公务用车运行维护费</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0.20</w:t>
            </w:r>
          </w:p>
        </w:tc>
        <w:tc>
          <w:tcPr>
            <w:tcW w:w="85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39999</w:t>
            </w:r>
          </w:p>
        </w:tc>
        <w:tc>
          <w:tcPr>
            <w:tcW w:w="3006"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其他支出</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30311</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代缴社会保险费</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30239</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其他交通费用</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3006"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30399</w:t>
            </w:r>
          </w:p>
        </w:tc>
        <w:tc>
          <w:tcPr>
            <w:tcW w:w="2552"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其他对个人和家庭的补助</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30240</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税金及附加费用</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3006"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2552"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c>
          <w:tcPr>
            <w:tcW w:w="901"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30299</w:t>
            </w:r>
          </w:p>
        </w:tc>
        <w:tc>
          <w:tcPr>
            <w:tcW w:w="1645"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其他商品和服务支出</w:t>
            </w:r>
          </w:p>
        </w:tc>
        <w:tc>
          <w:tcPr>
            <w:tcW w:w="76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50"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3006"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w:t>
            </w:r>
          </w:p>
        </w:tc>
      </w:tr>
      <w:tr>
        <w:tblPrEx>
          <w:tblCellMar>
            <w:top w:w="0" w:type="dxa"/>
            <w:left w:w="108" w:type="dxa"/>
            <w:bottom w:w="0" w:type="dxa"/>
            <w:right w:w="108" w:type="dxa"/>
          </w:tblCellMar>
        </w:tblPrEx>
        <w:trPr>
          <w:trHeight w:val="300" w:hRule="atLeast"/>
        </w:trPr>
        <w:tc>
          <w:tcPr>
            <w:tcW w:w="3843" w:type="dxa"/>
            <w:gridSpan w:val="2"/>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人员经费合计</w:t>
            </w:r>
          </w:p>
        </w:tc>
        <w:tc>
          <w:tcPr>
            <w:tcW w:w="17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62.5</w:t>
            </w:r>
            <w:r>
              <w:rPr>
                <w:color w:val="000000"/>
                <w:sz w:val="20"/>
                <w:szCs w:val="20"/>
                <w:lang w:bidi="ar"/>
              </w:rPr>
              <w:t>3</w:t>
            </w:r>
          </w:p>
        </w:tc>
        <w:tc>
          <w:tcPr>
            <w:tcW w:w="7167" w:type="dxa"/>
            <w:gridSpan w:val="5"/>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公用经费合计</w:t>
            </w:r>
          </w:p>
        </w:tc>
        <w:tc>
          <w:tcPr>
            <w:tcW w:w="128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1.08</w:t>
            </w:r>
          </w:p>
        </w:tc>
      </w:tr>
      <w:tr>
        <w:tblPrEx>
          <w:tblCellMar>
            <w:top w:w="0" w:type="dxa"/>
            <w:left w:w="108" w:type="dxa"/>
            <w:bottom w:w="0" w:type="dxa"/>
            <w:right w:w="108" w:type="dxa"/>
          </w:tblCellMar>
        </w:tblPrEx>
        <w:trPr>
          <w:trHeight w:val="300" w:hRule="atLeast"/>
        </w:trPr>
        <w:tc>
          <w:tcPr>
            <w:tcW w:w="14083" w:type="dxa"/>
            <w:gridSpan w:val="9"/>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p/>
    <w:p/>
    <w:p/>
    <w:p/>
    <w:p>
      <w:pPr>
        <w:sectPr>
          <w:pgSz w:w="16840" w:h="11907" w:orient="landscape"/>
          <w:pgMar w:top="1800" w:right="1440" w:bottom="1800" w:left="1440" w:header="851" w:footer="992" w:gutter="0"/>
          <w:cols w:space="425" w:num="1"/>
          <w:docGrid w:type="lines" w:linePitch="312" w:charSpace="0"/>
        </w:sectPr>
      </w:pPr>
    </w:p>
    <w:p/>
    <w:tbl>
      <w:tblPr>
        <w:tblStyle w:val="9"/>
        <w:tblW w:w="14083" w:type="dxa"/>
        <w:tblInd w:w="93" w:type="dxa"/>
        <w:tblLayout w:type="autofit"/>
        <w:tblCellMar>
          <w:top w:w="0" w:type="dxa"/>
          <w:left w:w="108" w:type="dxa"/>
          <w:bottom w:w="0" w:type="dxa"/>
          <w:right w:w="108" w:type="dxa"/>
        </w:tblCellMar>
      </w:tblPr>
      <w:tblGrid>
        <w:gridCol w:w="2856"/>
        <w:gridCol w:w="1033"/>
        <w:gridCol w:w="947"/>
        <w:gridCol w:w="815"/>
        <w:gridCol w:w="853"/>
        <w:gridCol w:w="1584"/>
        <w:gridCol w:w="827"/>
        <w:gridCol w:w="892"/>
        <w:gridCol w:w="712"/>
        <w:gridCol w:w="904"/>
        <w:gridCol w:w="904"/>
        <w:gridCol w:w="1756"/>
      </w:tblGrid>
      <w:tr>
        <w:tblPrEx>
          <w:tblCellMar>
            <w:top w:w="0" w:type="dxa"/>
            <w:left w:w="108" w:type="dxa"/>
            <w:bottom w:w="0" w:type="dxa"/>
            <w:right w:w="108" w:type="dxa"/>
          </w:tblCellMar>
        </w:tblPrEx>
        <w:trPr>
          <w:trHeight w:val="555" w:hRule="atLeast"/>
        </w:trPr>
        <w:tc>
          <w:tcPr>
            <w:tcW w:w="14083" w:type="dxa"/>
            <w:gridSpan w:val="12"/>
            <w:tcBorders>
              <w:top w:val="nil"/>
              <w:left w:val="nil"/>
              <w:bottom w:val="nil"/>
              <w:right w:val="single" w:color="808080" w:sz="4" w:space="0"/>
            </w:tcBorders>
            <w:shd w:val="clear" w:color="auto" w:fill="FFFFFF"/>
            <w:noWrap/>
            <w:vAlign w:val="center"/>
          </w:tcPr>
          <w:p>
            <w:pPr>
              <w:jc w:val="center"/>
              <w:rPr>
                <w:color w:val="000000"/>
                <w:sz w:val="18"/>
                <w:szCs w:val="18"/>
              </w:rPr>
            </w:pPr>
            <w:r>
              <w:rPr>
                <w:rFonts w:hint="eastAsia" w:ascii="黑体" w:eastAsia="黑体" w:cs="黑体"/>
                <w:color w:val="000000"/>
                <w:sz w:val="28"/>
                <w:szCs w:val="28"/>
                <w:lang w:bidi="ar"/>
              </w:rPr>
              <w:t>一般公共预算财政拨款“三公”经费支出决算表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预算代码：017</w:t>
            </w: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公开07表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部门：信阳市平桥区机要局</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r>
              <w:rPr>
                <w:rFonts w:hint="eastAsia"/>
                <w:color w:val="000000"/>
                <w:sz w:val="18"/>
                <w:szCs w:val="18"/>
              </w:rPr>
              <w:t>2</w:t>
            </w:r>
            <w:r>
              <w:rPr>
                <w:color w:val="000000"/>
                <w:sz w:val="18"/>
                <w:szCs w:val="18"/>
              </w:rPr>
              <w:t>020</w:t>
            </w:r>
            <w:r>
              <w:rPr>
                <w:rFonts w:hint="eastAsia"/>
                <w:color w:val="000000"/>
                <w:sz w:val="18"/>
                <w:szCs w:val="18"/>
              </w:rPr>
              <w:t>年度</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8309" w:type="dxa"/>
            <w:gridSpan w:val="6"/>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预算数</w:t>
            </w:r>
          </w:p>
        </w:tc>
        <w:tc>
          <w:tcPr>
            <w:tcW w:w="5774" w:type="dxa"/>
            <w:gridSpan w:val="6"/>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决算数</w:t>
            </w:r>
          </w:p>
        </w:tc>
      </w:tr>
      <w:tr>
        <w:tblPrEx>
          <w:tblCellMar>
            <w:top w:w="0" w:type="dxa"/>
            <w:left w:w="108" w:type="dxa"/>
            <w:bottom w:w="0" w:type="dxa"/>
            <w:right w:w="108" w:type="dxa"/>
          </w:tblCellMar>
        </w:tblPrEx>
        <w:trPr>
          <w:trHeight w:val="300" w:hRule="atLeast"/>
        </w:trPr>
        <w:tc>
          <w:tcPr>
            <w:tcW w:w="2476" w:type="dxa"/>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合计</w:t>
            </w:r>
          </w:p>
        </w:tc>
        <w:tc>
          <w:tcPr>
            <w:tcW w:w="1033"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因公出国（境）费</w:t>
            </w:r>
          </w:p>
        </w:tc>
        <w:tc>
          <w:tcPr>
            <w:tcW w:w="2701" w:type="dxa"/>
            <w:gridSpan w:val="3"/>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公务用车购置及运行费</w:t>
            </w:r>
          </w:p>
        </w:tc>
        <w:tc>
          <w:tcPr>
            <w:tcW w:w="2099"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公务接待费</w:t>
            </w:r>
          </w:p>
        </w:tc>
        <w:tc>
          <w:tcPr>
            <w:tcW w:w="82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合计</w:t>
            </w:r>
          </w:p>
        </w:tc>
        <w:tc>
          <w:tcPr>
            <w:tcW w:w="892"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因公出国（境）费</w:t>
            </w:r>
          </w:p>
        </w:tc>
        <w:tc>
          <w:tcPr>
            <w:tcW w:w="2520" w:type="dxa"/>
            <w:gridSpan w:val="3"/>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公务用车购置及运行费</w:t>
            </w:r>
          </w:p>
        </w:tc>
        <w:tc>
          <w:tcPr>
            <w:tcW w:w="1535"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公务接待费</w:t>
            </w:r>
          </w:p>
        </w:tc>
      </w:tr>
      <w:tr>
        <w:tblPrEx>
          <w:tblCellMar>
            <w:top w:w="0" w:type="dxa"/>
            <w:left w:w="108" w:type="dxa"/>
            <w:bottom w:w="0" w:type="dxa"/>
            <w:right w:w="108" w:type="dxa"/>
          </w:tblCellMar>
        </w:tblPrEx>
        <w:trPr>
          <w:trHeight w:val="600" w:hRule="atLeast"/>
        </w:trPr>
        <w:tc>
          <w:tcPr>
            <w:tcW w:w="2476"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1033"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033"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小计</w:t>
            </w:r>
          </w:p>
        </w:tc>
        <w:tc>
          <w:tcPr>
            <w:tcW w:w="815"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公务用车购置费</w:t>
            </w:r>
          </w:p>
        </w:tc>
        <w:tc>
          <w:tcPr>
            <w:tcW w:w="853"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公务用车运行费</w:t>
            </w:r>
          </w:p>
        </w:tc>
        <w:tc>
          <w:tcPr>
            <w:tcW w:w="2099"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82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89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712"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小计</w:t>
            </w:r>
          </w:p>
        </w:tc>
        <w:tc>
          <w:tcPr>
            <w:tcW w:w="90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公务用车购置费</w:t>
            </w:r>
          </w:p>
        </w:tc>
        <w:tc>
          <w:tcPr>
            <w:tcW w:w="90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公务用车运行费</w:t>
            </w:r>
          </w:p>
        </w:tc>
        <w:tc>
          <w:tcPr>
            <w:tcW w:w="153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2476" w:type="dxa"/>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w:t>
            </w:r>
          </w:p>
        </w:tc>
        <w:tc>
          <w:tcPr>
            <w:tcW w:w="1033"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2</w:t>
            </w:r>
          </w:p>
        </w:tc>
        <w:tc>
          <w:tcPr>
            <w:tcW w:w="1033"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3</w:t>
            </w:r>
          </w:p>
        </w:tc>
        <w:tc>
          <w:tcPr>
            <w:tcW w:w="815"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4</w:t>
            </w:r>
          </w:p>
        </w:tc>
        <w:tc>
          <w:tcPr>
            <w:tcW w:w="853"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5</w:t>
            </w:r>
          </w:p>
        </w:tc>
        <w:tc>
          <w:tcPr>
            <w:tcW w:w="2099"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6</w:t>
            </w:r>
          </w:p>
        </w:tc>
        <w:tc>
          <w:tcPr>
            <w:tcW w:w="827"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7</w:t>
            </w:r>
          </w:p>
        </w:tc>
        <w:tc>
          <w:tcPr>
            <w:tcW w:w="892"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8</w:t>
            </w:r>
          </w:p>
        </w:tc>
        <w:tc>
          <w:tcPr>
            <w:tcW w:w="712"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9</w:t>
            </w:r>
          </w:p>
        </w:tc>
        <w:tc>
          <w:tcPr>
            <w:tcW w:w="90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10</w:t>
            </w:r>
          </w:p>
        </w:tc>
        <w:tc>
          <w:tcPr>
            <w:tcW w:w="90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11</w:t>
            </w:r>
          </w:p>
        </w:tc>
        <w:tc>
          <w:tcPr>
            <w:tcW w:w="1535"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00FF00"/>
            <w:noWrap/>
            <w:vAlign w:val="center"/>
          </w:tcPr>
          <w:p>
            <w:pPr>
              <w:jc w:val="right"/>
              <w:textAlignment w:val="center"/>
              <w:rPr>
                <w:color w:val="000000"/>
                <w:sz w:val="20"/>
                <w:szCs w:val="20"/>
              </w:rPr>
            </w:pPr>
            <w:r>
              <w:rPr>
                <w:rFonts w:hint="eastAsia"/>
                <w:color w:val="000000"/>
                <w:sz w:val="20"/>
                <w:szCs w:val="20"/>
                <w:lang w:bidi="ar"/>
              </w:rPr>
              <w:t>5.00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00FF00"/>
            <w:noWrap/>
            <w:vAlign w:val="center"/>
          </w:tcPr>
          <w:p>
            <w:pPr>
              <w:jc w:val="right"/>
              <w:textAlignment w:val="center"/>
              <w:rPr>
                <w:color w:val="000000"/>
                <w:sz w:val="20"/>
                <w:szCs w:val="20"/>
              </w:rPr>
            </w:pPr>
            <w:r>
              <w:rPr>
                <w:rFonts w:hint="eastAsia"/>
                <w:color w:val="000000"/>
                <w:sz w:val="20"/>
                <w:szCs w:val="20"/>
                <w:lang w:bidi="ar"/>
              </w:rPr>
              <w:t>5.00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0.20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0.20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0.20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108" w:type="dxa"/>
            <w:bottom w:w="0" w:type="dxa"/>
            <w:right w:w="108" w:type="dxa"/>
          </w:tblCellMar>
        </w:tblPrEx>
        <w:trPr>
          <w:trHeight w:val="600" w:hRule="atLeast"/>
        </w:trPr>
        <w:tc>
          <w:tcPr>
            <w:tcW w:w="14083" w:type="dxa"/>
            <w:gridSpan w:val="12"/>
            <w:tcBorders>
              <w:top w:val="nil"/>
              <w:left w:val="nil"/>
              <w:bottom w:val="nil"/>
              <w:right w:val="nil"/>
            </w:tcBorders>
            <w:shd w:val="clear" w:color="auto" w:fill="FFFFFF"/>
            <w:vAlign w:val="center"/>
          </w:tcPr>
          <w:p>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p/>
    <w:bookmarkEnd w:id="0"/>
    <w:p/>
    <w:p/>
    <w:p/>
    <w:p/>
    <w:p/>
    <w:p/>
    <w:p>
      <w:pPr>
        <w:sectPr>
          <w:pgSz w:w="16840" w:h="11907" w:orient="landscape"/>
          <w:pgMar w:top="1800" w:right="1440" w:bottom="1800" w:left="1440" w:header="851" w:footer="992" w:gutter="0"/>
          <w:cols w:space="425" w:num="1"/>
          <w:docGrid w:type="lines" w:linePitch="312" w:charSpace="0"/>
        </w:sectPr>
      </w:pPr>
    </w:p>
    <w:p/>
    <w:tbl>
      <w:tblPr>
        <w:tblStyle w:val="9"/>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jc w:val="center"/>
              <w:textAlignment w:val="center"/>
              <w:rPr>
                <w:rFonts w:ascii="华文中宋" w:hAnsi="华文中宋" w:eastAsia="华文中宋" w:cs="华文中宋"/>
                <w:color w:val="000000"/>
                <w:kern w:val="2"/>
                <w:sz w:val="32"/>
                <w:szCs w:val="32"/>
              </w:rPr>
            </w:pPr>
            <w:r>
              <w:rPr>
                <w:rFonts w:hint="eastAsia" w:ascii="华文中宋" w:hAnsi="华文中宋" w:eastAsia="华文中宋" w:cs="华文中宋"/>
                <w:color w:val="00000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widowControl w:val="0"/>
              <w:jc w:val="center"/>
              <w:rPr>
                <w:color w:val="000000"/>
                <w:kern w:val="2"/>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widowControl w:val="0"/>
              <w:jc w:val="center"/>
              <w:rPr>
                <w:color w:val="000000"/>
                <w:kern w:val="2"/>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widowControl w:val="0"/>
              <w:jc w:val="center"/>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widowControl w:val="0"/>
              <w:jc w:val="both"/>
              <w:rPr>
                <w:color w:val="000000"/>
                <w:kern w:val="2"/>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kern w:val="2"/>
                <w:sz w:val="20"/>
                <w:szCs w:val="20"/>
              </w:rPr>
            </w:pPr>
            <w:r>
              <w:rPr>
                <w:rFonts w:hint="eastAsia"/>
                <w:color w:val="00000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textAlignment w:val="center"/>
              <w:rPr>
                <w:color w:val="000000"/>
                <w:kern w:val="2"/>
                <w:sz w:val="20"/>
                <w:szCs w:val="20"/>
              </w:rPr>
            </w:pPr>
            <w:r>
              <w:rPr>
                <w:rFonts w:hint="eastAsia"/>
                <w:color w:val="00000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pPr>
              <w:widowControl w:val="0"/>
              <w:jc w:val="both"/>
              <w:rPr>
                <w:color w:val="000000"/>
                <w:kern w:val="2"/>
                <w:sz w:val="20"/>
                <w:szCs w:val="20"/>
              </w:rPr>
            </w:pPr>
            <w:r>
              <w:rPr>
                <w:rFonts w:hint="eastAsia"/>
                <w:color w:val="000000"/>
                <w:kern w:val="2"/>
                <w:sz w:val="20"/>
                <w:szCs w:val="20"/>
              </w:rPr>
              <w:t>信阳市平桥区机要局</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widowControl w:val="0"/>
              <w:jc w:val="both"/>
              <w:rPr>
                <w:color w:val="000000"/>
                <w:kern w:val="2"/>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widowControl w:val="0"/>
              <w:jc w:val="both"/>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kern w:val="2"/>
                <w:sz w:val="20"/>
                <w:szCs w:val="20"/>
              </w:rPr>
            </w:pPr>
            <w:r>
              <w:rPr>
                <w:rFonts w:hint="eastAsia"/>
                <w:color w:val="00000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功能分类</w:t>
            </w:r>
          </w:p>
          <w:p>
            <w:pPr>
              <w:jc w:val="center"/>
              <w:textAlignment w:val="center"/>
              <w:rPr>
                <w:color w:val="000000"/>
                <w:kern w:val="2"/>
                <w:sz w:val="20"/>
                <w:szCs w:val="20"/>
              </w:rPr>
            </w:pPr>
            <w:r>
              <w:rPr>
                <w:rFonts w:hint="eastAsia"/>
                <w:color w:val="00000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val="0"/>
              <w:jc w:val="center"/>
              <w:rPr>
                <w:color w:val="000000"/>
                <w:kern w:val="2"/>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val="0"/>
              <w:jc w:val="center"/>
              <w:rPr>
                <w:color w:val="000000"/>
                <w:kern w:val="2"/>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val="0"/>
              <w:jc w:val="center"/>
              <w:rPr>
                <w:color w:val="000000"/>
                <w:kern w:val="2"/>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widowControl w:val="0"/>
              <w:jc w:val="center"/>
              <w:rPr>
                <w:color w:val="000000"/>
                <w:kern w:val="2"/>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val="0"/>
              <w:jc w:val="center"/>
              <w:rPr>
                <w:color w:val="000000"/>
                <w:kern w:val="2"/>
                <w:sz w:val="20"/>
                <w:szCs w:val="20"/>
              </w:rPr>
            </w:pPr>
          </w:p>
        </w:tc>
      </w:tr>
      <w:tr>
        <w:tblPrEx>
          <w:tblCellMar>
            <w:top w:w="0" w:type="dxa"/>
            <w:left w:w="0" w:type="dxa"/>
            <w:bottom w:w="0" w:type="dxa"/>
            <w:right w:w="0" w:type="dxa"/>
          </w:tblCellMar>
        </w:tblPrEx>
        <w:trPr>
          <w:trHeight w:val="312"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val="0"/>
              <w:jc w:val="center"/>
              <w:rPr>
                <w:color w:val="000000"/>
                <w:kern w:val="2"/>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widowControl w:val="0"/>
              <w:jc w:val="center"/>
              <w:rPr>
                <w:color w:val="000000"/>
                <w:kern w:val="2"/>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val="0"/>
              <w:jc w:val="center"/>
              <w:rPr>
                <w:color w:val="000000"/>
                <w:kern w:val="2"/>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kern w:val="2"/>
                <w:sz w:val="20"/>
                <w:szCs w:val="20"/>
              </w:rPr>
            </w:pPr>
            <w:r>
              <w:rPr>
                <w:rFonts w:hint="eastAsia"/>
                <w:color w:val="00000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val="0"/>
              <w:jc w:val="center"/>
              <w:rPr>
                <w:color w:val="000000"/>
                <w:kern w:val="2"/>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val="0"/>
              <w:jc w:val="center"/>
              <w:rPr>
                <w:color w:val="000000"/>
                <w:kern w:val="2"/>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val="0"/>
              <w:jc w:val="both"/>
              <w:rPr>
                <w:color w:val="000000"/>
                <w:kern w:val="2"/>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val="0"/>
              <w:jc w:val="both"/>
              <w:rPr>
                <w:color w:val="000000"/>
                <w:kern w:val="2"/>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val="0"/>
              <w:jc w:val="both"/>
              <w:rPr>
                <w:color w:val="000000"/>
                <w:kern w:val="2"/>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val="0"/>
              <w:jc w:val="both"/>
              <w:rPr>
                <w:color w:val="000000"/>
                <w:kern w:val="2"/>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val="0"/>
              <w:jc w:val="both"/>
              <w:rPr>
                <w:color w:val="000000"/>
                <w:kern w:val="2"/>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val="0"/>
              <w:jc w:val="both"/>
              <w:rPr>
                <w:color w:val="000000"/>
                <w:kern w:val="2"/>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val="0"/>
              <w:jc w:val="both"/>
              <w:rPr>
                <w:color w:val="000000"/>
                <w:kern w:val="2"/>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val="0"/>
              <w:jc w:val="both"/>
              <w:rPr>
                <w:color w:val="000000"/>
                <w:kern w:val="2"/>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val="0"/>
              <w:jc w:val="center"/>
              <w:rPr>
                <w:color w:val="000000"/>
                <w:kern w:val="2"/>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jc w:val="both"/>
              <w:rPr>
                <w:color w:val="000000"/>
                <w:kern w:val="2"/>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val="0"/>
              <w:jc w:val="both"/>
              <w:rPr>
                <w:color w:val="000000"/>
                <w:kern w:val="2"/>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val="0"/>
              <w:jc w:val="both"/>
              <w:rPr>
                <w:color w:val="000000"/>
                <w:kern w:val="2"/>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textAlignment w:val="center"/>
              <w:rPr>
                <w:color w:val="000000"/>
                <w:kern w:val="2"/>
                <w:sz w:val="20"/>
                <w:szCs w:val="20"/>
              </w:rPr>
            </w:pPr>
            <w:r>
              <w:rPr>
                <w:rFonts w:hint="eastAsia"/>
                <w:color w:val="000000"/>
                <w:sz w:val="20"/>
                <w:szCs w:val="20"/>
                <w:lang w:bidi="ar"/>
              </w:rPr>
              <w:t>注：本表反映部门本年度政府性基金预算财政拨款收入、支出及结转和结余情况。</w:t>
            </w:r>
          </w:p>
        </w:tc>
      </w:tr>
    </w:tbl>
    <w:p>
      <w:pPr>
        <w:widowControl w:val="0"/>
        <w:jc w:val="center"/>
      </w:pPr>
      <w:r>
        <w:rPr>
          <w:rFonts w:hint="eastAsia" w:ascii="仿宋_GB2312" w:hAnsi="仿宋_GB2312" w:eastAsia="仿宋_GB2312" w:cs="仿宋_GB2312"/>
          <w:kern w:val="2"/>
          <w:sz w:val="32"/>
          <w:szCs w:val="32"/>
          <w:highlight w:val="yellow"/>
        </w:rPr>
        <w:t>说明：我部门没有政府性基金收入，也没有使用政府性基金安排的支出，故本表无数据。</w:t>
      </w:r>
    </w:p>
    <w:sectPr>
      <w:pgSz w:w="16840" w:h="1190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47208"/>
    <w:multiLevelType w:val="singleLevel"/>
    <w:tmpl w:val="AA347208"/>
    <w:lvl w:ilvl="0" w:tentative="0">
      <w:start w:val="1"/>
      <w:numFmt w:val="decimal"/>
      <w:suff w:val="nothing"/>
      <w:lvlText w:val="%1．"/>
      <w:lvlJc w:val="left"/>
      <w:pPr>
        <w:ind w:left="-161"/>
      </w:pPr>
    </w:lvl>
  </w:abstractNum>
  <w:abstractNum w:abstractNumId="1">
    <w:nsid w:val="064946E1"/>
    <w:multiLevelType w:val="multilevel"/>
    <w:tmpl w:val="064946E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49"/>
    <w:rsid w:val="000527E8"/>
    <w:rsid w:val="00053B75"/>
    <w:rsid w:val="0005518E"/>
    <w:rsid w:val="000D3621"/>
    <w:rsid w:val="0014355F"/>
    <w:rsid w:val="0015324F"/>
    <w:rsid w:val="001C7E92"/>
    <w:rsid w:val="001F536F"/>
    <w:rsid w:val="00272949"/>
    <w:rsid w:val="00281F76"/>
    <w:rsid w:val="00342BDF"/>
    <w:rsid w:val="00380C49"/>
    <w:rsid w:val="00391415"/>
    <w:rsid w:val="00463B25"/>
    <w:rsid w:val="004C77BC"/>
    <w:rsid w:val="004F12FA"/>
    <w:rsid w:val="00502189"/>
    <w:rsid w:val="00582974"/>
    <w:rsid w:val="005C01C3"/>
    <w:rsid w:val="005E1C3D"/>
    <w:rsid w:val="00606CE0"/>
    <w:rsid w:val="006C602E"/>
    <w:rsid w:val="006E0A96"/>
    <w:rsid w:val="007169BE"/>
    <w:rsid w:val="007218E3"/>
    <w:rsid w:val="007C6363"/>
    <w:rsid w:val="007D7C6F"/>
    <w:rsid w:val="00832C4B"/>
    <w:rsid w:val="008B0129"/>
    <w:rsid w:val="008C5E94"/>
    <w:rsid w:val="008F0429"/>
    <w:rsid w:val="009008AB"/>
    <w:rsid w:val="009223FB"/>
    <w:rsid w:val="00957A2C"/>
    <w:rsid w:val="009B7718"/>
    <w:rsid w:val="00AC7B70"/>
    <w:rsid w:val="00B07176"/>
    <w:rsid w:val="00B30B3E"/>
    <w:rsid w:val="00B5516E"/>
    <w:rsid w:val="00BA392A"/>
    <w:rsid w:val="00C53051"/>
    <w:rsid w:val="00C73F3D"/>
    <w:rsid w:val="00CA1E5C"/>
    <w:rsid w:val="00CB1114"/>
    <w:rsid w:val="00CE118F"/>
    <w:rsid w:val="00D27D46"/>
    <w:rsid w:val="00D31E2E"/>
    <w:rsid w:val="00D45C75"/>
    <w:rsid w:val="00D60397"/>
    <w:rsid w:val="00DE7EB7"/>
    <w:rsid w:val="00E67804"/>
    <w:rsid w:val="00E80642"/>
    <w:rsid w:val="00E91CCC"/>
    <w:rsid w:val="00E95A23"/>
    <w:rsid w:val="00F9788A"/>
    <w:rsid w:val="00FB4D83"/>
    <w:rsid w:val="00FD03C9"/>
    <w:rsid w:val="00FD5856"/>
    <w:rsid w:val="06F37330"/>
    <w:rsid w:val="1D955550"/>
    <w:rsid w:val="1FF61C9C"/>
    <w:rsid w:val="2EF139C9"/>
    <w:rsid w:val="3A4A12D2"/>
    <w:rsid w:val="4C6045A0"/>
    <w:rsid w:val="50DD6F35"/>
    <w:rsid w:val="50E7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7"/>
    <w:qFormat/>
    <w:uiPriority w:val="9"/>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unhideWhenUsed/>
    <w:uiPriority w:val="99"/>
    <w:pPr>
      <w:widowControl w:val="0"/>
    </w:pPr>
    <w:rPr>
      <w:rFonts w:ascii="Times New Roman" w:hAnsi="Times New Roman" w:cs="Times New Roman"/>
      <w:kern w:val="2"/>
      <w:sz w:val="21"/>
      <w:szCs w:val="22"/>
    </w:rPr>
  </w:style>
  <w:style w:type="paragraph" w:styleId="4">
    <w:name w:val="Balloon Text"/>
    <w:basedOn w:val="1"/>
    <w:link w:val="25"/>
    <w:unhideWhenUsed/>
    <w:uiPriority w:val="99"/>
    <w:pPr>
      <w:widowControl w:val="0"/>
      <w:jc w:val="both"/>
    </w:pPr>
    <w:rPr>
      <w:rFonts w:asciiTheme="minorHAnsi" w:hAnsiTheme="minorHAnsi" w:eastAsiaTheme="minorEastAsia" w:cstheme="minorBidi"/>
      <w:kern w:val="2"/>
      <w:sz w:val="18"/>
      <w:szCs w:val="18"/>
    </w:rPr>
  </w:style>
  <w:style w:type="paragraph" w:styleId="5">
    <w:name w:val="footer"/>
    <w:basedOn w:val="1"/>
    <w:link w:val="16"/>
    <w:unhideWhenUsed/>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6"/>
    <w:unhideWhenUsed/>
    <w:qFormat/>
    <w:uiPriority w:val="99"/>
    <w:pPr>
      <w:widowControl w:val="0"/>
      <w:snapToGrid w:val="0"/>
    </w:pPr>
    <w:rPr>
      <w:rFonts w:ascii="Times New Roman" w:hAnsi="Times New Roman" w:cs="Times New Roman"/>
      <w:kern w:val="2"/>
      <w:sz w:val="18"/>
      <w:szCs w:val="22"/>
    </w:rPr>
  </w:style>
  <w:style w:type="paragraph" w:styleId="8">
    <w:name w:val="Normal (Web)"/>
    <w:basedOn w:val="1"/>
    <w:semiHidden/>
    <w:unhideWhenUsed/>
    <w:qFormat/>
    <w:uiPriority w:val="99"/>
    <w:pPr>
      <w:spacing w:before="100" w:beforeAutospacing="1" w:after="100" w:afterAutospacing="1"/>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character" w:styleId="14">
    <w:name w:val="footnote reference"/>
    <w:basedOn w:val="11"/>
    <w:unhideWhenUsed/>
    <w:qFormat/>
    <w:uiPriority w:val="99"/>
    <w:rPr>
      <w:vertAlign w:val="superscript"/>
    </w:rPr>
  </w:style>
  <w:style w:type="character" w:customStyle="1" w:styleId="15">
    <w:name w:val="页眉 字符"/>
    <w:basedOn w:val="11"/>
    <w:link w:val="6"/>
    <w:qFormat/>
    <w:uiPriority w:val="99"/>
    <w:rPr>
      <w:rFonts w:ascii="宋体" w:hAnsi="宋体" w:eastAsia="宋体" w:cs="宋体"/>
      <w:kern w:val="0"/>
      <w:sz w:val="18"/>
      <w:szCs w:val="18"/>
    </w:rPr>
  </w:style>
  <w:style w:type="character" w:customStyle="1" w:styleId="16">
    <w:name w:val="页脚 字符"/>
    <w:basedOn w:val="11"/>
    <w:link w:val="5"/>
    <w:qFormat/>
    <w:uiPriority w:val="99"/>
    <w:rPr>
      <w:rFonts w:ascii="宋体" w:hAnsi="宋体" w:eastAsia="宋体" w:cs="宋体"/>
      <w:kern w:val="0"/>
      <w:sz w:val="18"/>
      <w:szCs w:val="18"/>
    </w:rPr>
  </w:style>
  <w:style w:type="character" w:customStyle="1" w:styleId="17">
    <w:name w:val="标题 1 字符"/>
    <w:basedOn w:val="11"/>
    <w:link w:val="2"/>
    <w:uiPriority w:val="9"/>
    <w:rPr>
      <w:rFonts w:ascii="Times New Roman" w:hAnsi="Times New Roman" w:eastAsia="宋体" w:cs="Times New Roman"/>
      <w:b/>
      <w:bCs/>
      <w:kern w:val="44"/>
      <w:sz w:val="44"/>
      <w:szCs w:val="44"/>
    </w:rPr>
  </w:style>
  <w:style w:type="character" w:customStyle="1" w:styleId="18">
    <w:name w:val="font21"/>
    <w:basedOn w:val="11"/>
    <w:uiPriority w:val="0"/>
    <w:rPr>
      <w:rFonts w:hint="eastAsia" w:ascii="宋体" w:hAnsi="宋体" w:eastAsia="宋体" w:cs="宋体"/>
      <w:color w:val="000000"/>
      <w:sz w:val="22"/>
      <w:szCs w:val="22"/>
      <w:u w:val="none"/>
    </w:rPr>
  </w:style>
  <w:style w:type="character" w:customStyle="1" w:styleId="19">
    <w:name w:val="批注框文本 Char"/>
    <w:basedOn w:val="11"/>
    <w:uiPriority w:val="99"/>
    <w:rPr>
      <w:sz w:val="18"/>
      <w:szCs w:val="18"/>
    </w:rPr>
  </w:style>
  <w:style w:type="character" w:customStyle="1" w:styleId="20">
    <w:name w:val="font11"/>
    <w:basedOn w:val="11"/>
    <w:qFormat/>
    <w:uiPriority w:val="0"/>
    <w:rPr>
      <w:rFonts w:hint="eastAsia" w:ascii="宋体" w:hAnsi="宋体" w:eastAsia="宋体" w:cs="宋体"/>
      <w:color w:val="000000"/>
      <w:sz w:val="20"/>
      <w:szCs w:val="20"/>
      <w:u w:val="none"/>
    </w:rPr>
  </w:style>
  <w:style w:type="character" w:customStyle="1" w:styleId="21">
    <w:name w:val="font51"/>
    <w:basedOn w:val="11"/>
    <w:qFormat/>
    <w:uiPriority w:val="0"/>
    <w:rPr>
      <w:rFonts w:hint="eastAsia" w:ascii="宋体" w:hAnsi="宋体" w:eastAsia="宋体" w:cs="宋体"/>
      <w:color w:val="000000"/>
      <w:sz w:val="24"/>
      <w:szCs w:val="24"/>
      <w:u w:val="none"/>
    </w:rPr>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41"/>
    <w:basedOn w:val="11"/>
    <w:qFormat/>
    <w:uiPriority w:val="0"/>
    <w:rPr>
      <w:rFonts w:hint="eastAsia" w:ascii="宋体" w:hAnsi="宋体" w:eastAsia="宋体" w:cs="宋体"/>
      <w:color w:val="000000"/>
      <w:sz w:val="24"/>
      <w:szCs w:val="24"/>
      <w:u w:val="none"/>
    </w:rPr>
  </w:style>
  <w:style w:type="character" w:customStyle="1" w:styleId="24">
    <w:name w:val="批注文字 字符"/>
    <w:basedOn w:val="11"/>
    <w:link w:val="3"/>
    <w:qFormat/>
    <w:uiPriority w:val="99"/>
    <w:rPr>
      <w:rFonts w:ascii="Times New Roman" w:hAnsi="Times New Roman" w:eastAsia="宋体" w:cs="Times New Roman"/>
    </w:rPr>
  </w:style>
  <w:style w:type="character" w:customStyle="1" w:styleId="25">
    <w:name w:val="批注框文本 字符"/>
    <w:basedOn w:val="11"/>
    <w:link w:val="4"/>
    <w:semiHidden/>
    <w:qFormat/>
    <w:uiPriority w:val="99"/>
    <w:rPr>
      <w:rFonts w:ascii="宋体" w:hAnsi="宋体" w:eastAsia="宋体" w:cs="宋体"/>
      <w:kern w:val="0"/>
      <w:sz w:val="18"/>
      <w:szCs w:val="18"/>
    </w:rPr>
  </w:style>
  <w:style w:type="character" w:customStyle="1" w:styleId="26">
    <w:name w:val="脚注文本 字符"/>
    <w:basedOn w:val="11"/>
    <w:link w:val="7"/>
    <w:qFormat/>
    <w:uiPriority w:val="99"/>
    <w:rPr>
      <w:rFonts w:ascii="Times New Roman" w:hAnsi="Times New Roman" w:eastAsia="宋体" w:cs="Times New Roman"/>
      <w:sz w:val="18"/>
    </w:rPr>
  </w:style>
  <w:style w:type="paragraph" w:customStyle="1" w:styleId="27">
    <w:name w:val="标题1"/>
    <w:basedOn w:val="2"/>
    <w:qFormat/>
    <w:uiPriority w:val="0"/>
    <w:pPr>
      <w:spacing w:before="0" w:after="0" w:line="240" w:lineRule="auto"/>
      <w:jc w:val="center"/>
    </w:pPr>
    <w:rPr>
      <w:rFonts w:ascii="华文中宋" w:hAnsi="华文中宋" w:eastAsia="华文中宋"/>
      <w:sz w:val="36"/>
      <w:szCs w:val="36"/>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1776</Words>
  <Characters>10125</Characters>
  <Lines>84</Lines>
  <Paragraphs>23</Paragraphs>
  <TotalTime>46</TotalTime>
  <ScaleCrop>false</ScaleCrop>
  <LinksUpToDate>false</LinksUpToDate>
  <CharactersWithSpaces>11878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付小倩</cp:lastModifiedBy>
  <dcterms:modified xsi:type="dcterms:W3CDTF">2022-09-06T00:56:57Z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4A52106D519045BEA244D83777B46160</vt:lpwstr>
  </property>
</Properties>
</file>