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color w:val="000000"/>
          <w:sz w:val="28"/>
          <w:szCs w:val="28"/>
          <w:lang w:val="en-US" w:eastAsia="zh-CN"/>
        </w:rPr>
      </w:pPr>
      <w:r>
        <w:rPr>
          <w:rFonts w:hint="eastAsia" w:ascii="黑体" w:eastAsia="黑体"/>
          <w:color w:val="000000"/>
          <w:sz w:val="28"/>
          <w:szCs w:val="28"/>
          <w:lang w:val="en-US" w:eastAsia="zh-CN"/>
        </w:rPr>
        <w:t xml:space="preserve">  </w:t>
      </w: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中共信阳市平桥区委党史研究室</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2"/>
          <w:szCs w:val="32"/>
        </w:rPr>
        <w:sectPr>
          <w:pgSz w:w="11906" w:h="16838"/>
          <w:pgMar w:top="1440" w:right="1587"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w:t>
      </w:r>
      <w:r>
        <w:rPr>
          <w:rFonts w:hint="eastAsia" w:ascii="黑体" w:hAnsi="黑体" w:eastAsia="黑体" w:cs="黑体"/>
          <w:sz w:val="32"/>
          <w:szCs w:val="32"/>
          <w:lang w:val="en-US" w:eastAsia="zh-CN"/>
        </w:rPr>
        <w:t>九</w:t>
      </w:r>
      <w:r>
        <w:rPr>
          <w:rFonts w:hint="eastAsia" w:ascii="黑体" w:hAnsi="黑体" w:eastAsia="黑体" w:cs="黑体"/>
          <w:sz w:val="32"/>
          <w:szCs w:val="32"/>
        </w:rPr>
        <w:t>月</w:t>
      </w:r>
    </w:p>
    <w:p>
      <w:pPr>
        <w:jc w:val="both"/>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目录</w:t>
      </w:r>
    </w:p>
    <w:p>
      <w:pPr>
        <w:jc w:val="both"/>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中共信阳市平桥区委党史研究室</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第三部分名词解释</w:t>
      </w:r>
    </w:p>
    <w:p>
      <w:pPr>
        <w:rPr>
          <w:rFonts w:ascii="黑体" w:hAnsi="黑体" w:eastAsia="黑体" w:cs="黑体"/>
          <w:sz w:val="32"/>
          <w:szCs w:val="32"/>
        </w:rPr>
      </w:pPr>
      <w:r>
        <w:rPr>
          <w:rFonts w:hint="eastAsia" w:ascii="黑体" w:hAnsi="黑体" w:eastAsia="黑体" w:cs="黑体"/>
          <w:sz w:val="32"/>
          <w:szCs w:val="32"/>
        </w:rPr>
        <w:t>第四部分2020年度部门决算表（Excel表格形式）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hint="eastAsia"/>
          <w:sz w:val="32"/>
          <w:szCs w:val="32"/>
        </w:rPr>
      </w:pPr>
      <w:r>
        <w:rPr>
          <w:rFonts w:hint="eastAsia"/>
          <w:sz w:val="32"/>
          <w:szCs w:val="32"/>
        </w:rPr>
        <w:t>八、政府性基金预算财政拨款收入支出决算表</w:t>
      </w: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w:t>
      </w:r>
      <w:r>
        <w:rPr>
          <w:rFonts w:hint="eastAsia" w:ascii="黑体" w:hAnsi="黑体" w:eastAsia="黑体" w:cs="黑体"/>
          <w:sz w:val="44"/>
          <w:szCs w:val="44"/>
          <w:lang w:eastAsia="zh-CN"/>
        </w:rPr>
        <w:t>中共信阳市平桥区委党史研究室</w:t>
      </w:r>
      <w:r>
        <w:rPr>
          <w:rFonts w:hint="eastAsia" w:ascii="黑体" w:hAnsi="黑体" w:eastAsia="黑体" w:cs="黑体"/>
          <w:sz w:val="44"/>
          <w:szCs w:val="44"/>
        </w:rPr>
        <w:t>概况</w:t>
      </w:r>
    </w:p>
    <w:p>
      <w:pPr>
        <w:pStyle w:val="29"/>
        <w:numPr>
          <w:ilvl w:val="0"/>
          <w:numId w:val="2"/>
        </w:numPr>
        <w:ind w:firstLineChars="0"/>
        <w:outlineLvl w:val="1"/>
        <w:rPr>
          <w:rFonts w:ascii="黑体" w:hAnsi="黑体" w:eastAsia="黑体" w:cs="黑体"/>
          <w:bCs/>
          <w:sz w:val="32"/>
          <w:szCs w:val="32"/>
        </w:rPr>
      </w:pPr>
      <w:r>
        <w:rPr>
          <w:rFonts w:hint="eastAsia" w:ascii="黑体" w:hAnsi="黑体" w:eastAsia="黑体" w:cs="黑体"/>
          <w:sz w:val="32"/>
          <w:szCs w:val="32"/>
        </w:rPr>
        <w:t>部门</w:t>
      </w:r>
      <w:r>
        <w:rPr>
          <w:rFonts w:hint="eastAsia" w:ascii="黑体" w:hAnsi="黑体" w:eastAsia="黑体" w:cs="黑体"/>
          <w:bCs/>
          <w:sz w:val="32"/>
          <w:szCs w:val="32"/>
        </w:rPr>
        <w:t>职责</w:t>
      </w:r>
    </w:p>
    <w:p>
      <w:pPr>
        <w:ind w:firstLine="320" w:firstLineChars="100"/>
        <w:rPr>
          <w:rFonts w:hint="eastAsia" w:ascii="仿宋" w:hAnsi="仿宋" w:eastAsia="仿宋"/>
          <w:sz w:val="32"/>
          <w:szCs w:val="32"/>
        </w:rPr>
      </w:pPr>
      <w:r>
        <w:rPr>
          <w:rFonts w:hint="eastAsia" w:ascii="仿宋" w:hAnsi="仿宋" w:eastAsia="仿宋"/>
          <w:sz w:val="32"/>
          <w:szCs w:val="32"/>
        </w:rPr>
        <w:t>(一)赁彻中</w:t>
      </w:r>
      <w:r>
        <w:rPr>
          <w:rFonts w:hint="eastAsia" w:ascii="仿宋" w:hAnsi="仿宋" w:eastAsia="仿宋"/>
          <w:sz w:val="32"/>
          <w:szCs w:val="32"/>
          <w:lang w:eastAsia="zh-CN"/>
        </w:rPr>
        <w:t>央</w:t>
      </w:r>
      <w:r>
        <w:rPr>
          <w:rFonts w:hint="eastAsia" w:ascii="仿宋" w:hAnsi="仿宋" w:eastAsia="仿宋"/>
          <w:sz w:val="32"/>
          <w:szCs w:val="32"/>
        </w:rPr>
        <w:t>、省、市委关于党史工作的指示、决定和部署，指导全区党史工作的开展。</w:t>
      </w:r>
    </w:p>
    <w:p>
      <w:pPr>
        <w:ind w:firstLine="320" w:firstLineChars="100"/>
        <w:rPr>
          <w:rFonts w:hint="eastAsia" w:ascii="仿宋" w:hAnsi="仿宋" w:eastAsia="仿宋"/>
          <w:sz w:val="32"/>
          <w:szCs w:val="32"/>
        </w:rPr>
      </w:pPr>
      <w:r>
        <w:rPr>
          <w:rFonts w:hint="eastAsia" w:ascii="仿宋" w:hAnsi="仿宋" w:eastAsia="仿宋"/>
          <w:sz w:val="32"/>
          <w:szCs w:val="32"/>
        </w:rPr>
        <w:t>(二)负责续写每一历史时期区本级党史正本工作。</w:t>
      </w:r>
    </w:p>
    <w:p>
      <w:pPr>
        <w:ind w:firstLine="320" w:firstLineChars="100"/>
        <w:rPr>
          <w:rFonts w:hint="eastAsia" w:ascii="仿宋" w:hAnsi="仿宋" w:eastAsia="仿宋"/>
          <w:sz w:val="32"/>
          <w:szCs w:val="32"/>
        </w:rPr>
      </w:pPr>
      <w:r>
        <w:rPr>
          <w:rFonts w:hint="eastAsia" w:ascii="仿宋" w:hAnsi="仿宋" w:eastAsia="仿宋"/>
          <w:sz w:val="32"/>
          <w:szCs w:val="32"/>
        </w:rPr>
        <w:t>(三)负责当年党史大事记征集、编写、出版及上报市委的工作</w:t>
      </w:r>
    </w:p>
    <w:p>
      <w:pPr>
        <w:ind w:firstLine="320" w:firstLineChars="100"/>
        <w:rPr>
          <w:rFonts w:hint="eastAsia" w:ascii="仿宋" w:hAnsi="仿宋" w:eastAsia="仿宋"/>
          <w:sz w:val="32"/>
          <w:szCs w:val="32"/>
        </w:rPr>
      </w:pPr>
      <w:r>
        <w:rPr>
          <w:rFonts w:hint="eastAsia" w:ascii="仿宋" w:hAnsi="仿宋" w:eastAsia="仿宋"/>
          <w:sz w:val="32"/>
          <w:szCs w:val="32"/>
        </w:rPr>
        <w:t>(四)负责社会主义重大专题史、党史人物传、党史普及读物等重要书刊的编辑、审查、出版和发行工作。</w:t>
      </w:r>
    </w:p>
    <w:p>
      <w:pPr>
        <w:ind w:firstLine="320" w:firstLineChars="100"/>
        <w:rPr>
          <w:rFonts w:hint="eastAsia" w:ascii="仿宋" w:hAnsi="仿宋" w:eastAsia="仿宋"/>
          <w:sz w:val="32"/>
          <w:szCs w:val="32"/>
        </w:rPr>
      </w:pPr>
      <w:r>
        <w:rPr>
          <w:rFonts w:hint="eastAsia" w:ascii="仿宋" w:hAnsi="仿宋" w:eastAsia="仿宋"/>
          <w:sz w:val="32"/>
          <w:szCs w:val="32"/>
        </w:rPr>
        <w:t>(五)负责中共信阳市平桥区委党史资料的管理;指导建立全区党史资料信息网络，提高利用率，及时为党委系统和政府各部门提供使用。</w:t>
      </w:r>
    </w:p>
    <w:p>
      <w:pPr>
        <w:ind w:firstLine="320" w:firstLineChars="100"/>
        <w:rPr>
          <w:rFonts w:hint="eastAsia" w:ascii="仿宋" w:hAnsi="仿宋" w:eastAsia="仿宋"/>
          <w:sz w:val="32"/>
          <w:szCs w:val="32"/>
        </w:rPr>
      </w:pPr>
      <w:r>
        <w:rPr>
          <w:rFonts w:hint="eastAsia" w:ascii="仿宋" w:hAnsi="仿宋" w:eastAsia="仿宋"/>
          <w:sz w:val="32"/>
          <w:szCs w:val="32"/>
        </w:rPr>
        <w:t>(六)承办区委交办的其他事项。</w:t>
      </w:r>
    </w:p>
    <w:p>
      <w:pPr>
        <w:ind w:firstLine="320" w:firstLineChars="100"/>
        <w:rPr>
          <w:rFonts w:hint="eastAsia" w:ascii="黑体" w:hAnsi="黑体" w:eastAsia="黑体" w:cs="黑体"/>
          <w:sz w:val="32"/>
          <w:szCs w:val="32"/>
        </w:rPr>
      </w:pPr>
    </w:p>
    <w:p>
      <w:pPr>
        <w:ind w:firstLine="320" w:firstLineChars="100"/>
        <w:rPr>
          <w:rFonts w:hint="eastAsia" w:ascii="黑体" w:hAnsi="黑体" w:eastAsia="黑体" w:cs="黑体"/>
          <w:sz w:val="32"/>
          <w:szCs w:val="32"/>
        </w:rPr>
      </w:pPr>
      <w:r>
        <w:rPr>
          <w:rFonts w:hint="eastAsia" w:ascii="黑体" w:hAnsi="黑体" w:eastAsia="黑体" w:cs="黑体"/>
          <w:sz w:val="32"/>
          <w:szCs w:val="32"/>
        </w:rPr>
        <w:t>二、机构设置</w:t>
      </w:r>
    </w:p>
    <w:p>
      <w:pPr>
        <w:ind w:firstLine="600" w:firstLineChars="200"/>
        <w:outlineLvl w:val="1"/>
        <w:rPr>
          <w:rFonts w:hint="eastAsia" w:ascii="黑体" w:hAnsi="黑体" w:eastAsia="黑体" w:cs="黑体"/>
          <w:sz w:val="32"/>
          <w:szCs w:val="32"/>
        </w:rPr>
      </w:pPr>
      <w:r>
        <w:rPr>
          <w:rFonts w:hint="eastAsia" w:ascii="Times New Roman" w:hAnsi="Times New Roman" w:eastAsia="仿宋_GB2312" w:cs="Times New Roman"/>
          <w:sz w:val="30"/>
          <w:szCs w:val="22"/>
          <w:lang w:val="en-US" w:eastAsia="zh-CN" w:bidi="ar-SA"/>
        </w:rPr>
        <w:t>单位内设办公室。</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eastAsia="zh-CN"/>
        </w:rPr>
        <w:t>中共信阳市平桥区委党史研究室</w:t>
      </w:r>
      <w:r>
        <w:rPr>
          <w:rFonts w:hint="eastAsia" w:ascii="仿宋_GB2312" w:hAnsi="仿宋_GB2312" w:eastAsia="仿宋_GB2312" w:cs="仿宋_GB2312"/>
          <w:sz w:val="32"/>
          <w:szCs w:val="32"/>
        </w:rPr>
        <w:t>部门决算包括：本级决算。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纳入本部门2020年度部门决算编制范围的单位共1个具体是：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lang w:eastAsia="zh-CN"/>
        </w:rPr>
        <w:t>中共信阳市平桥区委党史研究室</w:t>
      </w:r>
      <w:r>
        <w:rPr>
          <w:rFonts w:hint="eastAsia" w:ascii="仿宋_GB2312" w:hAnsi="仿宋_GB2312" w:eastAsia="仿宋_GB2312" w:cs="仿宋_GB2312"/>
          <w:sz w:val="32"/>
          <w:szCs w:val="32"/>
        </w:rPr>
        <w:t>本级</w:t>
      </w:r>
    </w:p>
    <w:p>
      <w:pPr>
        <w:ind w:firstLine="640" w:firstLineChars="200"/>
        <w:rPr>
          <w:rFonts w:hint="eastAsia"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中共信阳市平桥区委党史研究室</w:t>
      </w:r>
      <w:r>
        <w:rPr>
          <w:rFonts w:hint="eastAsia" w:ascii="黑体" w:hAnsi="黑体" w:eastAsia="黑体" w:cs="黑体"/>
          <w:sz w:val="44"/>
          <w:szCs w:val="44"/>
        </w:rPr>
        <w:t>2020年度部门决算情况说明</w:t>
      </w:r>
    </w:p>
    <w:p>
      <w:pPr>
        <w:jc w:val="center"/>
        <w:rPr>
          <w:rFonts w:hint="eastAsia" w:ascii="黑体" w:hAnsi="黑体" w:eastAsia="黑体" w:cs="黑体"/>
          <w:sz w:val="44"/>
          <w:szCs w:val="44"/>
        </w:rPr>
      </w:pPr>
    </w:p>
    <w:p>
      <w:pPr>
        <w:pStyle w:val="9"/>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2020年度收、支总计均为</w:t>
      </w:r>
      <w:r>
        <w:rPr>
          <w:rFonts w:hint="eastAsia" w:ascii="仿宋_GB2312" w:eastAsia="仿宋_GB2312"/>
          <w:sz w:val="32"/>
          <w:szCs w:val="32"/>
          <w:lang w:val="en-US" w:eastAsia="zh-CN"/>
        </w:rPr>
        <w:t>224.37</w:t>
      </w:r>
      <w:r>
        <w:rPr>
          <w:rFonts w:hint="eastAsia" w:ascii="仿宋_GB2312" w:eastAsia="仿宋_GB2312"/>
          <w:sz w:val="32"/>
          <w:szCs w:val="32"/>
        </w:rPr>
        <w:t>万元。与上年度相比，收、支总计各增加</w:t>
      </w:r>
      <w:r>
        <w:rPr>
          <w:rFonts w:hint="eastAsia" w:ascii="仿宋_GB2312" w:eastAsia="仿宋_GB2312"/>
          <w:sz w:val="32"/>
          <w:szCs w:val="32"/>
          <w:lang w:val="en-US" w:eastAsia="zh-CN"/>
        </w:rPr>
        <w:t>74.76</w:t>
      </w:r>
      <w:r>
        <w:rPr>
          <w:rFonts w:hint="eastAsia" w:ascii="仿宋_GB2312" w:eastAsia="仿宋_GB2312"/>
          <w:sz w:val="32"/>
          <w:szCs w:val="32"/>
        </w:rPr>
        <w:t>万元，增长</w:t>
      </w:r>
      <w:r>
        <w:rPr>
          <w:rFonts w:hint="eastAsia" w:ascii="仿宋_GB2312" w:eastAsia="仿宋_GB2312"/>
          <w:sz w:val="32"/>
          <w:szCs w:val="32"/>
          <w:lang w:val="en-US" w:eastAsia="zh-CN"/>
        </w:rPr>
        <w:t>33</w:t>
      </w:r>
      <w:r>
        <w:rPr>
          <w:rFonts w:hint="eastAsia" w:ascii="仿宋_GB2312" w:eastAsia="仿宋_GB2312"/>
          <w:sz w:val="32"/>
          <w:szCs w:val="32"/>
        </w:rPr>
        <w:t>%。主要原因是工资增加。</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2020年度收入合计</w:t>
      </w:r>
      <w:r>
        <w:rPr>
          <w:rFonts w:hint="eastAsia" w:ascii="仿宋_GB2312" w:eastAsia="仿宋_GB2312"/>
          <w:sz w:val="32"/>
          <w:szCs w:val="32"/>
          <w:lang w:val="en-US" w:eastAsia="zh-CN"/>
        </w:rPr>
        <w:t>197.28</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197.28</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w:t>
      </w:r>
      <w:r>
        <w:rPr>
          <w:rFonts w:hint="eastAsia" w:ascii="仿宋_GB2312" w:eastAsia="仿宋_GB2312"/>
          <w:sz w:val="32"/>
          <w:szCs w:val="32"/>
          <w:lang w:val="en-US" w:eastAsia="zh-CN"/>
        </w:rPr>
        <w:t>189.43</w:t>
      </w:r>
      <w:r>
        <w:rPr>
          <w:rFonts w:hint="eastAsia" w:ascii="仿宋_GB2312" w:eastAsia="仿宋_GB2312"/>
          <w:sz w:val="32"/>
          <w:szCs w:val="32"/>
        </w:rPr>
        <w:t>万元，其中：基本支出</w:t>
      </w:r>
      <w:r>
        <w:rPr>
          <w:rFonts w:hint="eastAsia" w:ascii="仿宋_GB2312" w:eastAsia="仿宋_GB2312"/>
          <w:sz w:val="32"/>
          <w:szCs w:val="32"/>
          <w:lang w:val="en-US" w:eastAsia="zh-CN"/>
        </w:rPr>
        <w:t>189.43</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w:t>
      </w:r>
      <w:r>
        <w:rPr>
          <w:rFonts w:hint="eastAsia" w:ascii="仿宋_GB2312" w:eastAsia="仿宋_GB2312"/>
          <w:sz w:val="32"/>
          <w:szCs w:val="32"/>
          <w:lang w:val="en-US" w:eastAsia="zh-CN"/>
        </w:rPr>
        <w:t>224.37</w:t>
      </w:r>
      <w:r>
        <w:rPr>
          <w:rFonts w:hint="eastAsia" w:ascii="仿宋_GB2312" w:eastAsia="仿宋_GB2312"/>
          <w:sz w:val="32"/>
          <w:szCs w:val="32"/>
        </w:rPr>
        <w:t>万元。与上年度相比，财政拨款收、支总计各增加</w:t>
      </w:r>
      <w:r>
        <w:rPr>
          <w:rFonts w:hint="eastAsia" w:ascii="仿宋_GB2312" w:eastAsia="仿宋_GB2312"/>
          <w:sz w:val="32"/>
          <w:szCs w:val="32"/>
          <w:lang w:val="en-US" w:eastAsia="zh-CN"/>
        </w:rPr>
        <w:t>74.76</w:t>
      </w:r>
      <w:r>
        <w:rPr>
          <w:rFonts w:hint="eastAsia" w:ascii="仿宋_GB2312" w:eastAsia="仿宋_GB2312"/>
          <w:sz w:val="32"/>
          <w:szCs w:val="32"/>
        </w:rPr>
        <w:t>万元，增长</w:t>
      </w:r>
      <w:r>
        <w:rPr>
          <w:rFonts w:hint="eastAsia" w:ascii="仿宋_GB2312" w:eastAsia="仿宋_GB2312"/>
          <w:sz w:val="32"/>
          <w:szCs w:val="32"/>
          <w:lang w:val="en-US" w:eastAsia="zh-CN"/>
        </w:rPr>
        <w:t>33</w:t>
      </w:r>
      <w:r>
        <w:rPr>
          <w:rFonts w:hint="eastAsia" w:ascii="仿宋_GB2312" w:eastAsia="仿宋_GB2312"/>
          <w:sz w:val="32"/>
          <w:szCs w:val="32"/>
        </w:rPr>
        <w:t>%。主要原因是工资增加。</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189.43</w:t>
      </w:r>
      <w:r>
        <w:rPr>
          <w:rFonts w:hint="eastAsia" w:ascii="仿宋_GB2312" w:eastAsia="仿宋_GB2312"/>
          <w:sz w:val="32"/>
          <w:szCs w:val="32"/>
        </w:rPr>
        <w:t>万元，占支出合计的</w:t>
      </w:r>
      <w:r>
        <w:rPr>
          <w:rFonts w:hint="eastAsia" w:ascii="仿宋_GB2312" w:eastAsia="仿宋_GB2312"/>
          <w:sz w:val="32"/>
          <w:szCs w:val="32"/>
          <w:lang w:val="en-US" w:eastAsia="zh-CN"/>
        </w:rPr>
        <w:t>100</w:t>
      </w:r>
      <w:r>
        <w:rPr>
          <w:rFonts w:hint="eastAsia" w:ascii="仿宋_GB2312" w:eastAsia="仿宋_GB2312"/>
          <w:sz w:val="32"/>
          <w:szCs w:val="32"/>
        </w:rPr>
        <w:t>%。与上年度相比，一般公共预算财政拨款支出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66.91</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35</w:t>
      </w:r>
      <w:r>
        <w:rPr>
          <w:rFonts w:hint="eastAsia" w:ascii="仿宋_GB2312" w:eastAsia="仿宋_GB2312"/>
          <w:sz w:val="32"/>
          <w:szCs w:val="32"/>
        </w:rPr>
        <w:t>%。主要原因是贯彻落实中央“八项”规定精神，厉行勤俭节约。</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189.43</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189.43</w:t>
      </w:r>
      <w:r>
        <w:rPr>
          <w:rFonts w:hint="eastAsia" w:ascii="仿宋_GB2312" w:eastAsia="仿宋_GB2312"/>
          <w:sz w:val="32"/>
          <w:szCs w:val="32"/>
        </w:rPr>
        <w:t>万元，占</w:t>
      </w:r>
      <w:r>
        <w:rPr>
          <w:rFonts w:hint="eastAsia" w:ascii="仿宋_GB2312" w:eastAsia="仿宋_GB2312"/>
          <w:sz w:val="32"/>
          <w:szCs w:val="32"/>
          <w:lang w:val="en-US" w:eastAsia="zh-CN"/>
        </w:rPr>
        <w:t>100%。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w:t>
      </w:r>
      <w:r>
        <w:rPr>
          <w:rFonts w:hint="eastAsia" w:ascii="仿宋_GB2312" w:eastAsia="仿宋_GB2312"/>
          <w:sz w:val="32"/>
          <w:szCs w:val="32"/>
          <w:lang w:val="en-US" w:eastAsia="zh-CN"/>
        </w:rPr>
        <w:t xml:space="preserve"> 96.8 </w:t>
      </w:r>
      <w:r>
        <w:rPr>
          <w:rFonts w:hint="eastAsia" w:ascii="仿宋_GB2312" w:eastAsia="仿宋_GB2312"/>
          <w:sz w:val="32"/>
          <w:szCs w:val="32"/>
        </w:rPr>
        <w:t>万元，支出决算为</w:t>
      </w:r>
      <w:r>
        <w:rPr>
          <w:rFonts w:hint="eastAsia" w:ascii="仿宋_GB2312" w:eastAsia="仿宋_GB2312"/>
          <w:sz w:val="32"/>
          <w:szCs w:val="32"/>
          <w:lang w:val="en-US" w:eastAsia="zh-CN"/>
        </w:rPr>
        <w:t>189.43</w:t>
      </w:r>
      <w:r>
        <w:rPr>
          <w:rFonts w:hint="eastAsia" w:ascii="仿宋_GB2312" w:eastAsia="仿宋_GB2312"/>
          <w:sz w:val="32"/>
          <w:szCs w:val="32"/>
        </w:rPr>
        <w:t>万元，完成年初预算的</w:t>
      </w:r>
      <w:r>
        <w:rPr>
          <w:rFonts w:hint="eastAsia" w:ascii="仿宋_GB2312" w:eastAsia="仿宋_GB2312"/>
          <w:sz w:val="32"/>
          <w:szCs w:val="32"/>
          <w:lang w:val="en-US" w:eastAsia="zh-CN"/>
        </w:rPr>
        <w:t>195</w:t>
      </w:r>
      <w:r>
        <w:rPr>
          <w:rFonts w:hint="eastAsia" w:ascii="仿宋_GB2312" w:eastAsia="仿宋_GB2312"/>
          <w:sz w:val="32"/>
          <w:szCs w:val="32"/>
        </w:rPr>
        <w:t>%。其中：</w:t>
      </w:r>
    </w:p>
    <w:p>
      <w:pPr>
        <w:pStyle w:val="9"/>
        <w:numPr>
          <w:ilvl w:val="0"/>
          <w:numId w:val="3"/>
        </w:numPr>
        <w:shd w:val="clear" w:color="auto" w:fill="FFFFFF"/>
        <w:spacing w:before="0" w:beforeAutospacing="0" w:after="0" w:afterAutospacing="0"/>
        <w:ind w:left="0" w:leftChars="0" w:firstLine="480" w:firstLineChars="0"/>
        <w:rPr>
          <w:rFonts w:hint="eastAsia" w:ascii="仿宋_GB2312" w:eastAsia="仿宋_GB2312"/>
          <w:sz w:val="32"/>
          <w:szCs w:val="32"/>
        </w:rPr>
      </w:pPr>
      <w:r>
        <w:rPr>
          <w:rFonts w:hint="eastAsia" w:ascii="仿宋_GB2312" w:hAnsi="仿宋_GB2312" w:eastAsia="仿宋_GB2312" w:cs="仿宋_GB2312"/>
          <w:b/>
          <w:bCs/>
          <w:sz w:val="32"/>
          <w:szCs w:val="32"/>
        </w:rPr>
        <w:t>一般公共服务（类）</w:t>
      </w:r>
      <w:r>
        <w:rPr>
          <w:rFonts w:hint="eastAsia" w:ascii="仿宋_GB2312" w:hAnsi="仿宋_GB2312" w:eastAsia="仿宋_GB2312" w:cs="仿宋_GB2312"/>
          <w:b/>
          <w:bCs/>
          <w:sz w:val="32"/>
          <w:szCs w:val="32"/>
          <w:lang w:eastAsia="zh-CN"/>
        </w:rPr>
        <w:t>党委办公厅（室）及相关机构事务</w:t>
      </w:r>
      <w:r>
        <w:rPr>
          <w:rFonts w:hint="eastAsia" w:ascii="仿宋_GB2312" w:hAnsi="仿宋_GB2312" w:eastAsia="仿宋_GB2312" w:cs="仿宋_GB2312"/>
          <w:b/>
          <w:bCs/>
          <w:sz w:val="32"/>
          <w:szCs w:val="32"/>
        </w:rPr>
        <w:t>（款）  其他党委办公厅（室）及相关机构事务支出（项）</w:t>
      </w:r>
      <w:r>
        <w:rPr>
          <w:rFonts w:hint="eastAsia" w:ascii="仿宋_GB2312" w:eastAsia="仿宋_GB2312"/>
          <w:sz w:val="32"/>
          <w:szCs w:val="32"/>
        </w:rPr>
        <w:t>。年初预算为万元，支出决算为</w:t>
      </w:r>
      <w:r>
        <w:rPr>
          <w:rFonts w:hint="eastAsia" w:ascii="仿宋_GB2312" w:eastAsia="仿宋_GB2312"/>
          <w:sz w:val="32"/>
          <w:szCs w:val="32"/>
          <w:lang w:val="en-US" w:eastAsia="zh-CN"/>
        </w:rPr>
        <w:t>189.43</w:t>
      </w:r>
      <w:r>
        <w:rPr>
          <w:rFonts w:hint="eastAsia" w:ascii="仿宋_GB2312" w:eastAsia="仿宋_GB2312"/>
          <w:sz w:val="32"/>
          <w:szCs w:val="32"/>
        </w:rPr>
        <w:t xml:space="preserve">万元，完成年初预算的 </w:t>
      </w:r>
      <w:r>
        <w:rPr>
          <w:rFonts w:hint="eastAsia" w:ascii="仿宋_GB2312" w:eastAsia="仿宋_GB2312"/>
          <w:sz w:val="32"/>
          <w:szCs w:val="32"/>
          <w:lang w:val="en-US" w:eastAsia="zh-CN"/>
        </w:rPr>
        <w:t>195</w:t>
      </w:r>
      <w:r>
        <w:rPr>
          <w:rFonts w:hint="eastAsia" w:ascii="仿宋_GB2312" w:eastAsia="仿宋_GB2312"/>
          <w:sz w:val="32"/>
          <w:szCs w:val="32"/>
        </w:rPr>
        <w:t>%。决算数与年初预算数</w:t>
      </w:r>
      <w:r>
        <w:rPr>
          <w:rFonts w:hint="eastAsia" w:ascii="仿宋_GB2312" w:eastAsia="仿宋_GB2312"/>
          <w:sz w:val="32"/>
          <w:szCs w:val="32"/>
          <w:lang w:eastAsia="zh-CN"/>
        </w:rPr>
        <w:t>存在</w:t>
      </w:r>
      <w:r>
        <w:rPr>
          <w:rFonts w:hint="eastAsia" w:ascii="仿宋_GB2312" w:eastAsia="仿宋_GB2312"/>
          <w:sz w:val="32"/>
          <w:szCs w:val="32"/>
        </w:rPr>
        <w:t>差异</w:t>
      </w:r>
      <w:r>
        <w:rPr>
          <w:rFonts w:hint="eastAsia" w:ascii="仿宋_GB2312" w:eastAsia="仿宋_GB2312"/>
          <w:sz w:val="32"/>
          <w:szCs w:val="32"/>
          <w:lang w:eastAsia="zh-CN"/>
        </w:rPr>
        <w:t>的主要原因是人员工资增加</w:t>
      </w:r>
      <w:r>
        <w:rPr>
          <w:rFonts w:hint="eastAsia" w:ascii="仿宋_GB2312" w:eastAsia="仿宋_GB2312"/>
          <w:sz w:val="32"/>
          <w:szCs w:val="32"/>
        </w:rPr>
        <w:t>。</w:t>
      </w:r>
    </w:p>
    <w:p>
      <w:pPr>
        <w:pStyle w:val="9"/>
        <w:numPr>
          <w:ilvl w:val="0"/>
          <w:numId w:val="0"/>
        </w:numPr>
        <w:shd w:val="clear" w:color="auto" w:fill="FFFFFF"/>
        <w:spacing w:before="0" w:beforeAutospacing="0" w:after="0" w:afterAutospacing="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 xml:space="preserve">2020 年度一般公共预算财政拨款基本支出 </w:t>
      </w:r>
      <w:r>
        <w:rPr>
          <w:rFonts w:hint="eastAsia" w:ascii="仿宋_GB2312" w:eastAsia="仿宋_GB2312"/>
          <w:sz w:val="32"/>
          <w:szCs w:val="32"/>
          <w:lang w:val="en-US" w:eastAsia="zh-CN"/>
        </w:rPr>
        <w:t>189.43</w:t>
      </w:r>
      <w:r>
        <w:rPr>
          <w:rFonts w:hint="eastAsia" w:ascii="仿宋_GB2312" w:eastAsia="仿宋_GB2312"/>
          <w:sz w:val="32"/>
          <w:szCs w:val="32"/>
        </w:rPr>
        <w:t xml:space="preserve"> 万元。其中：人员经费</w:t>
      </w:r>
      <w:r>
        <w:rPr>
          <w:rFonts w:hint="eastAsia" w:ascii="仿宋_GB2312" w:eastAsia="仿宋_GB2312"/>
          <w:sz w:val="32"/>
          <w:szCs w:val="32"/>
          <w:lang w:val="en-US" w:eastAsia="zh-CN"/>
        </w:rPr>
        <w:t xml:space="preserve"> 122.06</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Pr>
          <w:rFonts w:hint="eastAsia" w:ascii="仿宋_GB2312" w:eastAsia="仿宋_GB2312"/>
          <w:sz w:val="32"/>
          <w:szCs w:val="32"/>
          <w:lang w:val="en-US" w:eastAsia="zh-CN"/>
        </w:rPr>
        <w:t>67.37</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 xml:space="preserve">2020 年度“三公”经费财政拨款支出预算为 </w:t>
      </w:r>
      <w:r>
        <w:rPr>
          <w:rFonts w:hint="eastAsia" w:ascii="仿宋_GB2312" w:eastAsia="仿宋_GB2312"/>
          <w:sz w:val="32"/>
          <w:szCs w:val="32"/>
          <w:lang w:val="en-US" w:eastAsia="zh-CN"/>
        </w:rPr>
        <w:t>0</w:t>
      </w:r>
      <w:r>
        <w:rPr>
          <w:rFonts w:hint="eastAsia" w:ascii="仿宋_GB2312" w:eastAsia="仿宋_GB2312"/>
          <w:sz w:val="32"/>
          <w:szCs w:val="32"/>
        </w:rPr>
        <w:t xml:space="preserve"> 万元，支出决算为 </w:t>
      </w:r>
      <w:r>
        <w:rPr>
          <w:rFonts w:hint="eastAsia" w:ascii="仿宋_GB2312" w:eastAsia="仿宋_GB2312"/>
          <w:sz w:val="32"/>
          <w:szCs w:val="32"/>
          <w:lang w:val="en-US" w:eastAsia="zh-CN"/>
        </w:rPr>
        <w:t>0</w:t>
      </w:r>
      <w:r>
        <w:rPr>
          <w:rFonts w:hint="eastAsia" w:ascii="仿宋_GB2312" w:eastAsia="仿宋_GB2312"/>
          <w:sz w:val="32"/>
          <w:szCs w:val="32"/>
        </w:rPr>
        <w:t xml:space="preserve"> 万元，完成预算的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widowControl/>
        <w:spacing w:line="59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2020 年度“三公”经费财政拨款支出决算中，因公出国（境）费支出决算0.00万元，完成预算的 0.00%，占0.00%；公务用车购置及运行费支出决算0.00万元，完成预 算的0.00%，占0.00%；公务接待费支出决算 </w:t>
      </w:r>
      <w:r>
        <w:rPr>
          <w:rFonts w:hint="eastAsia" w:ascii="仿宋_GB2312" w:eastAsia="仿宋_GB2312"/>
          <w:sz w:val="32"/>
          <w:szCs w:val="32"/>
          <w:lang w:val="en-US" w:eastAsia="zh-CN"/>
        </w:rPr>
        <w:t>0</w:t>
      </w:r>
      <w:r>
        <w:rPr>
          <w:rFonts w:hint="eastAsia" w:ascii="仿宋_GB2312" w:eastAsia="仿宋_GB2312"/>
          <w:sz w:val="32"/>
          <w:szCs w:val="32"/>
        </w:rPr>
        <w:t xml:space="preserve">万元，完成预算的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其中：</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1．因公出国（境）费年初预算为0万元，支出决算为0万元，完成年初预算的100%。全年因公出国（境）团组0个，累计0人次。</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2．公务用车购置及运行费年初预算为0万元，支出决算为0万元，完成年初预算的100%。</w:t>
      </w:r>
    </w:p>
    <w:p>
      <w:pPr>
        <w:pStyle w:val="4"/>
        <w:ind w:firstLine="640" w:firstLineChars="200"/>
        <w:rPr>
          <w:rFonts w:hint="eastAsia" w:ascii="宋体" w:hAnsi="宋体" w:cs="宋体"/>
          <w:sz w:val="32"/>
          <w:szCs w:val="32"/>
        </w:rPr>
      </w:pPr>
      <w:r>
        <w:rPr>
          <w:rFonts w:hint="eastAsia" w:ascii="宋体" w:hAnsi="宋体" w:cs="宋体"/>
          <w:sz w:val="32"/>
          <w:szCs w:val="32"/>
        </w:rPr>
        <w:t>公务用车购置支出为0万元，购置车辆0辆。</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公务用车运行支出0万元。2020年期末，部门开支财政拨款的公务用车保有量为0辆。</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3.公务接待费年初预算为</w:t>
      </w:r>
      <w:r>
        <w:rPr>
          <w:rFonts w:hint="eastAsia" w:cs="宋体"/>
          <w:sz w:val="32"/>
          <w:szCs w:val="32"/>
          <w:lang w:val="en-US" w:eastAsia="zh-CN"/>
        </w:rPr>
        <w:t>0</w:t>
      </w:r>
      <w:r>
        <w:rPr>
          <w:rFonts w:hint="eastAsia" w:ascii="宋体" w:hAnsi="宋体" w:cs="宋体"/>
          <w:sz w:val="32"/>
          <w:szCs w:val="32"/>
        </w:rPr>
        <w:t>万元，支出决算为</w:t>
      </w:r>
      <w:r>
        <w:rPr>
          <w:rFonts w:hint="eastAsia" w:cs="宋体"/>
          <w:sz w:val="32"/>
          <w:szCs w:val="32"/>
          <w:lang w:val="en-US" w:eastAsia="zh-CN"/>
        </w:rPr>
        <w:t>0</w:t>
      </w:r>
      <w:r>
        <w:rPr>
          <w:rFonts w:hint="eastAsia" w:ascii="宋体" w:hAnsi="宋体" w:cs="宋体"/>
          <w:sz w:val="32"/>
          <w:szCs w:val="32"/>
        </w:rPr>
        <w:t>万元，完成年初预算的</w:t>
      </w:r>
      <w:r>
        <w:rPr>
          <w:rFonts w:hint="eastAsia" w:cs="宋体"/>
          <w:sz w:val="32"/>
          <w:szCs w:val="32"/>
          <w:lang w:val="en-US" w:eastAsia="zh-CN"/>
        </w:rPr>
        <w:t>0</w:t>
      </w:r>
      <w:r>
        <w:rPr>
          <w:rFonts w:hint="eastAsia" w:ascii="宋体" w:hAnsi="宋体" w:cs="宋体"/>
          <w:sz w:val="32"/>
          <w:szCs w:val="32"/>
        </w:rPr>
        <w:t>%。其中：</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外宾接待支出0万元。2020年共接待国（境）外来访团组0个、来访外宾0人次（不包括陪同人员）。</w:t>
      </w:r>
    </w:p>
    <w:p>
      <w:pPr>
        <w:pStyle w:val="4"/>
        <w:ind w:firstLine="640" w:firstLineChars="200"/>
        <w:rPr>
          <w:rFonts w:hint="eastAsia" w:ascii="仿宋_GB2312" w:eastAsia="仿宋_GB2312"/>
          <w:sz w:val="32"/>
          <w:szCs w:val="32"/>
          <w:lang w:eastAsia="zh-CN"/>
        </w:rPr>
      </w:pPr>
      <w:r>
        <w:rPr>
          <w:rFonts w:hint="eastAsia" w:ascii="宋体" w:hAnsi="宋体" w:cs="宋体"/>
          <w:sz w:val="32"/>
          <w:szCs w:val="32"/>
        </w:rPr>
        <w:t>其他国内公务接待支出</w:t>
      </w:r>
      <w:r>
        <w:rPr>
          <w:rFonts w:hint="eastAsia" w:ascii="宋体" w:hAnsi="宋体" w:cs="宋体"/>
          <w:sz w:val="32"/>
          <w:szCs w:val="32"/>
          <w:lang w:val="en-US" w:eastAsia="zh-CN"/>
        </w:rPr>
        <w:t>0</w:t>
      </w:r>
      <w:r>
        <w:rPr>
          <w:rFonts w:hint="eastAsia" w:ascii="宋体" w:hAnsi="宋体" w:cs="宋体"/>
          <w:sz w:val="32"/>
          <w:szCs w:val="32"/>
        </w:rPr>
        <w:t>万元。主要用于外市县及上级领导的活动调研接待费。2020年共接待国内来访团组</w:t>
      </w:r>
      <w:r>
        <w:rPr>
          <w:rFonts w:hint="eastAsia" w:ascii="宋体" w:hAnsi="宋体" w:cs="宋体"/>
          <w:sz w:val="32"/>
          <w:szCs w:val="32"/>
          <w:lang w:val="en-US" w:eastAsia="zh-CN"/>
        </w:rPr>
        <w:t>0</w:t>
      </w:r>
      <w:r>
        <w:rPr>
          <w:rFonts w:hint="eastAsia" w:ascii="宋体" w:hAnsi="宋体" w:cs="宋体"/>
          <w:sz w:val="32"/>
          <w:szCs w:val="32"/>
        </w:rPr>
        <w:t>个、来宾</w:t>
      </w:r>
      <w:r>
        <w:rPr>
          <w:rFonts w:hint="eastAsia" w:ascii="宋体" w:hAnsi="宋体" w:cs="宋体"/>
          <w:sz w:val="32"/>
          <w:szCs w:val="32"/>
          <w:lang w:val="en-US" w:eastAsia="zh-CN"/>
        </w:rPr>
        <w:t>0</w:t>
      </w:r>
      <w:r>
        <w:rPr>
          <w:rFonts w:hint="eastAsia" w:ascii="宋体" w:hAnsi="宋体" w:cs="宋体"/>
          <w:sz w:val="32"/>
          <w:szCs w:val="32"/>
        </w:rPr>
        <w:t>人次（不包括陪同人员）。</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ind w:firstLine="620" w:firstLineChars="200"/>
        <w:rPr>
          <w:rFonts w:hint="eastAsia" w:ascii="仿宋" w:hAnsi="仿宋" w:eastAsia="仿宋" w:cs="仿宋"/>
          <w:color w:val="000000"/>
          <w:sz w:val="31"/>
          <w:szCs w:val="31"/>
        </w:rPr>
      </w:pPr>
      <w:r>
        <w:rPr>
          <w:rFonts w:ascii="仿宋" w:hAnsi="仿宋" w:eastAsia="仿宋" w:cs="仿宋"/>
          <w:color w:val="000000"/>
          <w:sz w:val="31"/>
          <w:szCs w:val="31"/>
        </w:rPr>
        <w:t>20</w:t>
      </w:r>
      <w:r>
        <w:rPr>
          <w:rFonts w:hint="eastAsia" w:ascii="仿宋" w:hAnsi="仿宋" w:eastAsia="仿宋" w:cs="仿宋"/>
          <w:color w:val="000000"/>
          <w:sz w:val="31"/>
          <w:szCs w:val="31"/>
        </w:rPr>
        <w:t>20</w:t>
      </w:r>
      <w:r>
        <w:rPr>
          <w:rFonts w:ascii="仿宋" w:hAnsi="仿宋" w:eastAsia="仿宋" w:cs="仿宋"/>
          <w:color w:val="000000"/>
          <w:sz w:val="31"/>
          <w:szCs w:val="31"/>
        </w:rPr>
        <w:t xml:space="preserve"> 年度</w:t>
      </w:r>
      <w:r>
        <w:rPr>
          <w:rFonts w:hint="eastAsia" w:ascii="仿宋" w:hAnsi="仿宋" w:eastAsia="仿宋" w:cs="仿宋"/>
          <w:color w:val="000000"/>
          <w:sz w:val="31"/>
          <w:szCs w:val="31"/>
          <w:lang w:eastAsia="zh-CN"/>
        </w:rPr>
        <w:t>中共信阳市平桥区委党史研究室没</w:t>
      </w:r>
      <w:r>
        <w:rPr>
          <w:rFonts w:ascii="仿宋" w:hAnsi="仿宋" w:eastAsia="仿宋" w:cs="仿宋"/>
          <w:color w:val="000000"/>
          <w:sz w:val="31"/>
          <w:szCs w:val="31"/>
        </w:rPr>
        <w:t>有民生项目和重点支出项目，</w:t>
      </w:r>
      <w:r>
        <w:rPr>
          <w:rFonts w:hint="eastAsia" w:ascii="仿宋" w:hAnsi="仿宋" w:eastAsia="仿宋" w:cs="仿宋"/>
          <w:color w:val="000000"/>
          <w:sz w:val="31"/>
          <w:szCs w:val="31"/>
        </w:rPr>
        <w:t>所以未开展预算绩效工作。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 2020年无项目绩效自评。</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 2020年无重点绩效评价。</w:t>
      </w:r>
    </w:p>
    <w:p>
      <w:pPr>
        <w:pStyle w:val="2"/>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spacing w:line="590" w:lineRule="exact"/>
        <w:ind w:firstLine="620" w:firstLineChars="200"/>
        <w:rPr>
          <w:rFonts w:ascii="仿宋_GB2312" w:hAnsi="仿宋_GB2312" w:eastAsia="仿宋_GB2312" w:cs="仿宋_GB2312"/>
          <w:sz w:val="32"/>
          <w:szCs w:val="32"/>
        </w:rPr>
      </w:pPr>
      <w:r>
        <w:rPr>
          <w:rFonts w:hint="eastAsia" w:ascii="仿宋" w:hAnsi="仿宋" w:eastAsia="仿宋" w:cs="仿宋"/>
          <w:color w:val="000000"/>
          <w:sz w:val="31"/>
          <w:szCs w:val="31"/>
        </w:rPr>
        <w:t>2020</w:t>
      </w:r>
      <w:r>
        <w:rPr>
          <w:rFonts w:ascii="仿宋" w:hAnsi="仿宋" w:eastAsia="仿宋" w:cs="仿宋"/>
          <w:color w:val="000000"/>
          <w:sz w:val="31"/>
          <w:szCs w:val="31"/>
        </w:rPr>
        <w:t xml:space="preserve"> 年度</w:t>
      </w:r>
      <w:r>
        <w:rPr>
          <w:rFonts w:hint="eastAsia" w:ascii="仿宋" w:hAnsi="仿宋" w:eastAsia="仿宋" w:cs="仿宋"/>
          <w:color w:val="000000"/>
          <w:sz w:val="31"/>
          <w:szCs w:val="31"/>
        </w:rPr>
        <w:t>中共信阳市平桥区委党史研究室</w:t>
      </w:r>
      <w:r>
        <w:rPr>
          <w:rFonts w:ascii="仿宋" w:hAnsi="仿宋" w:eastAsia="仿宋" w:cs="仿宋"/>
          <w:color w:val="000000"/>
          <w:sz w:val="31"/>
          <w:szCs w:val="31"/>
        </w:rPr>
        <w:t>无政府性基金收入，也没有使用政</w:t>
      </w:r>
      <w:r>
        <w:rPr>
          <w:rFonts w:hint="eastAsia" w:ascii="仿宋" w:hAnsi="仿宋" w:eastAsia="仿宋" w:cs="仿宋"/>
          <w:color w:val="000000"/>
          <w:sz w:val="31"/>
          <w:szCs w:val="31"/>
        </w:rPr>
        <w:t>府性基金安排的支出。</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w:t>
      </w:r>
      <w:r>
        <w:rPr>
          <w:rFonts w:hint="eastAsia" w:ascii="仿宋_GB2312" w:eastAsia="仿宋_GB2312"/>
          <w:sz w:val="32"/>
          <w:szCs w:val="32"/>
          <w:lang w:val="en-US" w:eastAsia="zh-CN"/>
        </w:rPr>
        <w:t>67.37</w:t>
      </w:r>
      <w:r>
        <w:rPr>
          <w:rFonts w:hint="eastAsia" w:ascii="仿宋_GB2312" w:eastAsia="仿宋_GB2312"/>
          <w:sz w:val="32"/>
          <w:szCs w:val="32"/>
        </w:rPr>
        <w:t>万元，支出决算为</w:t>
      </w:r>
      <w:r>
        <w:rPr>
          <w:rFonts w:hint="eastAsia" w:ascii="仿宋_GB2312" w:eastAsia="仿宋_GB2312"/>
          <w:sz w:val="32"/>
          <w:szCs w:val="32"/>
          <w:lang w:val="en-US" w:eastAsia="zh-CN"/>
        </w:rPr>
        <w:t>67.37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无</w:t>
      </w:r>
      <w:r>
        <w:rPr>
          <w:rFonts w:hint="eastAsia" w:ascii="仿宋_GB2312" w:eastAsia="仿宋_GB2312"/>
          <w:sz w:val="32"/>
          <w:szCs w:val="32"/>
        </w:rPr>
        <w:t>差异。</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sz w:val="32"/>
          <w:szCs w:val="32"/>
        </w:rPr>
        <w:t>2020 年度</w:t>
      </w:r>
      <w:r>
        <w:rPr>
          <w:rFonts w:hint="eastAsia" w:ascii="仿宋_GB2312" w:hAnsi="仿宋_GB2312" w:eastAsia="仿宋_GB2312" w:cs="仿宋_GB2312"/>
          <w:color w:val="auto"/>
          <w:sz w:val="32"/>
          <w:szCs w:val="32"/>
          <w:highlight w:val="none"/>
          <w:lang w:val="en-US" w:eastAsia="zh-CN"/>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ascii="仿宋_GB2312" w:eastAsia="仿宋_GB2312"/>
          <w:sz w:val="32"/>
          <w:szCs w:val="32"/>
        </w:rPr>
        <w:t>0</w:t>
      </w:r>
      <w:r>
        <w:rPr>
          <w:rFonts w:hint="eastAsia" w:ascii="仿宋_GB2312" w:eastAsia="仿宋_GB2312"/>
          <w:sz w:val="32"/>
          <w:szCs w:val="32"/>
        </w:rPr>
        <w:t>台（套），单位价值100万元以上专用设备 0台（套）。</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中共信阳市平桥区委党史研究室2020年度部门决算公开表</w:t>
      </w:r>
    </w:p>
    <w:p>
      <w:pPr>
        <w:rPr>
          <w:rFonts w:ascii="黑体" w:eastAsia="黑体"/>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ascii="仿宋_GB2312" w:eastAsia="仿宋_GB2312"/>
          <w:color w:val="000000"/>
          <w:sz w:val="32"/>
          <w:szCs w:val="32"/>
        </w:rPr>
        <w:sectPr>
          <w:pgSz w:w="11907" w:h="16840"/>
          <w:pgMar w:top="1440" w:right="1800" w:bottom="1440" w:left="1800" w:header="851" w:footer="992" w:gutter="0"/>
          <w:cols w:space="425" w:num="1"/>
          <w:docGrid w:type="lines" w:linePitch="312" w:charSpace="0"/>
        </w:sectPr>
      </w:pPr>
    </w:p>
    <w:p>
      <w:pPr>
        <w:rPr>
          <w:rFonts w:ascii="仿宋_GB2312" w:eastAsia="仿宋_GB2312"/>
          <w:color w:val="000000"/>
          <w:sz w:val="22"/>
          <w:szCs w:val="22"/>
        </w:rPr>
      </w:pPr>
    </w:p>
    <w:tbl>
      <w:tblPr>
        <w:tblStyle w:val="10"/>
        <w:tblW w:w="11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616"/>
        <w:gridCol w:w="2490"/>
        <w:gridCol w:w="3216"/>
        <w:gridCol w:w="616"/>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9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283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1"/>
        <w:gridCol w:w="296"/>
        <w:gridCol w:w="220"/>
        <w:gridCol w:w="3056"/>
        <w:gridCol w:w="1138"/>
        <w:gridCol w:w="1426"/>
        <w:gridCol w:w="1021"/>
        <w:gridCol w:w="936"/>
        <w:gridCol w:w="808"/>
        <w:gridCol w:w="1000"/>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6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2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3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15"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1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3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2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0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3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21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1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2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8"/>
        <w:gridCol w:w="435"/>
        <w:gridCol w:w="220"/>
        <w:gridCol w:w="3202"/>
        <w:gridCol w:w="1544"/>
        <w:gridCol w:w="1096"/>
        <w:gridCol w:w="1040"/>
        <w:gridCol w:w="1096"/>
        <w:gridCol w:w="1074"/>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9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3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3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3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63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6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6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9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3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7"/>
        <w:gridCol w:w="516"/>
        <w:gridCol w:w="938"/>
        <w:gridCol w:w="2598"/>
        <w:gridCol w:w="2265"/>
        <w:gridCol w:w="1015"/>
        <w:gridCol w:w="874"/>
        <w:gridCol w:w="951"/>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1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2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11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415"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6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0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0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70"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15"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41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41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1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0"/>
        <w:gridCol w:w="317"/>
        <w:gridCol w:w="317"/>
        <w:gridCol w:w="3793"/>
        <w:gridCol w:w="2031"/>
        <w:gridCol w:w="2031"/>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2"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3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2"/>
        <w:gridCol w:w="2401"/>
        <w:gridCol w:w="998"/>
        <w:gridCol w:w="593"/>
        <w:gridCol w:w="1862"/>
        <w:gridCol w:w="824"/>
        <w:gridCol w:w="593"/>
        <w:gridCol w:w="298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6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7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部门：中共信阳市平桥区委党史研究室</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3"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3"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122.06</w:t>
            </w:r>
          </w:p>
        </w:tc>
        <w:tc>
          <w:tcPr>
            <w:tcW w:w="0" w:type="auto"/>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p>
      <w:pPr>
        <w:rPr>
          <w:rFonts w:ascii="仿宋_GB2312" w:eastAsia="仿宋_GB2312"/>
          <w:color w:val="000000"/>
          <w:sz w:val="22"/>
          <w:szCs w:val="22"/>
        </w:rPr>
      </w:pPr>
    </w:p>
    <w:tbl>
      <w:tblPr>
        <w:tblStyle w:val="10"/>
        <w:tblW w:w="14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536"/>
        <w:gridCol w:w="1276"/>
        <w:gridCol w:w="820"/>
        <w:gridCol w:w="963"/>
        <w:gridCol w:w="143"/>
        <w:gridCol w:w="785"/>
        <w:gridCol w:w="928"/>
        <w:gridCol w:w="213"/>
        <w:gridCol w:w="691"/>
        <w:gridCol w:w="1195"/>
        <w:gridCol w:w="40"/>
        <w:gridCol w:w="827"/>
        <w:gridCol w:w="904"/>
        <w:gridCol w:w="196"/>
        <w:gridCol w:w="598"/>
        <w:gridCol w:w="904"/>
        <w:gridCol w:w="424"/>
        <w:gridCol w:w="565"/>
        <w:gridCol w:w="1368"/>
        <w:gridCol w:w="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44"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一般公共预算财政拨款“三公”经费支出决算表</w:t>
            </w:r>
          </w:p>
        </w:tc>
        <w:tc>
          <w:tcPr>
            <w:tcW w:w="86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4"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9"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63" w:type="dxa"/>
            <w:gridSpan w:val="2"/>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4"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预算代码：101</w:t>
            </w:r>
          </w:p>
        </w:tc>
        <w:tc>
          <w:tcPr>
            <w:tcW w:w="96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6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4"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9"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63"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4" w:type="dxa"/>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部门：中共信阳市平桥区委党史研究室</w:t>
            </w:r>
          </w:p>
        </w:tc>
        <w:tc>
          <w:tcPr>
            <w:tcW w:w="96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6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4"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63"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2" w:type="dxa"/>
            <w:gridSpan w:val="11"/>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921" w:type="dxa"/>
            <w:gridSpan w:val="10"/>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4"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6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760" w:type="dxa"/>
            <w:gridSpan w:val="5"/>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1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67"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687" w:type="dxa"/>
            <w:gridSpan w:val="5"/>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63"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44"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6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28"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04"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1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7"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4"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0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89"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63"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4" w:type="dxa"/>
            <w:gridSpan w:val="4"/>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8"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4"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9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0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94"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9"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3"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4" w:type="dxa"/>
            <w:gridSpan w:val="4"/>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gridSpan w:val="2"/>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8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3"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3" w:type="dxa"/>
            <w:gridSpan w:val="2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3" w:type="dxa"/>
            <w:gridSpan w:val="2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lang w:val="en-US" w:eastAsia="zh-CN"/>
              </w:rPr>
            </w:pPr>
          </w:p>
          <w:p>
            <w:pPr>
              <w:pStyle w:val="2"/>
              <w:rPr>
                <w:rFonts w:hint="eastAsia" w:ascii="宋体" w:hAnsi="宋体" w:eastAsia="宋体" w:cs="宋体"/>
                <w:i w:val="0"/>
                <w:iCs w:val="0"/>
                <w:color w:val="000000"/>
                <w:kern w:val="0"/>
                <w:sz w:val="20"/>
                <w:szCs w:val="20"/>
                <w:u w:val="none"/>
                <w:lang w:val="en-US" w:eastAsia="zh-CN" w:bidi="ar"/>
              </w:rPr>
            </w:pPr>
          </w:p>
          <w:p>
            <w:pPr>
              <w:pStyle w:val="2"/>
              <w:rPr>
                <w:rFonts w:hint="eastAsia" w:ascii="宋体" w:hAnsi="宋体" w:eastAsia="宋体" w:cs="宋体"/>
                <w:i w:val="0"/>
                <w:iCs w:val="0"/>
                <w:color w:val="000000"/>
                <w:kern w:val="0"/>
                <w:sz w:val="20"/>
                <w:szCs w:val="20"/>
                <w:u w:val="none"/>
                <w:lang w:val="en-US" w:eastAsia="zh-CN" w:bidi="ar"/>
              </w:rPr>
            </w:pPr>
          </w:p>
          <w:p>
            <w:pPr>
              <w:pStyle w:val="2"/>
              <w:rPr>
                <w:rFonts w:hint="eastAsia" w:ascii="宋体" w:hAnsi="宋体" w:eastAsia="宋体" w:cs="宋体"/>
                <w:i w:val="0"/>
                <w:iCs w:val="0"/>
                <w:color w:val="000000"/>
                <w:kern w:val="0"/>
                <w:sz w:val="20"/>
                <w:szCs w:val="20"/>
                <w:u w:val="none"/>
                <w:lang w:val="en-US" w:eastAsia="zh-CN" w:bidi="ar"/>
              </w:rPr>
            </w:pPr>
          </w:p>
          <w:p>
            <w:pPr>
              <w:pStyle w:val="2"/>
              <w:rPr>
                <w:rFonts w:hint="eastAsia" w:ascii="宋体" w:hAnsi="宋体" w:eastAsia="宋体" w:cs="宋体"/>
                <w:i w:val="0"/>
                <w:iCs w:val="0"/>
                <w:color w:val="000000"/>
                <w:kern w:val="0"/>
                <w:sz w:val="20"/>
                <w:szCs w:val="20"/>
                <w:u w:val="none"/>
                <w:lang w:val="en-US" w:eastAsia="zh-CN" w:bidi="ar"/>
              </w:rPr>
            </w:pPr>
          </w:p>
          <w:p>
            <w:pPr>
              <w:pStyle w:val="2"/>
              <w:rPr>
                <w:rFonts w:hint="eastAsia" w:ascii="宋体" w:hAnsi="宋体" w:eastAsia="宋体" w:cs="宋体"/>
                <w:i w:val="0"/>
                <w:iCs w:val="0"/>
                <w:color w:val="000000"/>
                <w:kern w:val="0"/>
                <w:sz w:val="20"/>
                <w:szCs w:val="20"/>
                <w:u w:val="none"/>
                <w:lang w:val="en-US" w:eastAsia="zh-CN" w:bidi="ar"/>
              </w:rPr>
            </w:pPr>
            <w:bookmarkStart w:id="0" w:name="_GoBack"/>
            <w:bookmarkEnd w:id="0"/>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600" w:hRule="atLeast"/>
        </w:trPr>
        <w:tc>
          <w:tcPr>
            <w:tcW w:w="13988" w:type="dxa"/>
            <w:gridSpan w:val="20"/>
            <w:tcBorders>
              <w:top w:val="nil"/>
              <w:left w:val="nil"/>
              <w:bottom w:val="nil"/>
              <w:right w:val="nil"/>
            </w:tcBorders>
            <w:shd w:val="clear" w:color="auto" w:fill="FFFFFF"/>
            <w:noWrap w:val="0"/>
            <w:tcMar>
              <w:top w:w="15" w:type="dxa"/>
              <w:left w:w="15" w:type="dxa"/>
              <w:right w:w="15" w:type="dxa"/>
            </w:tcMar>
            <w:vAlign w:val="center"/>
          </w:tcPr>
          <w:p>
            <w:pPr>
              <w:tabs>
                <w:tab w:val="left" w:pos="310"/>
              </w:tabs>
              <w:bidi w:val="0"/>
              <w:ind w:firstLine="3840" w:firstLineChars="1200"/>
              <w:jc w:val="left"/>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300" w:hRule="atLeast"/>
        </w:trPr>
        <w:tc>
          <w:tcPr>
            <w:tcW w:w="8202" w:type="dxa"/>
            <w:gridSpan w:val="12"/>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部门：中共信阳市平桥区委党史研究室</w:t>
            </w:r>
          </w:p>
        </w:tc>
        <w:tc>
          <w:tcPr>
            <w:tcW w:w="1927" w:type="dxa"/>
            <w:gridSpan w:val="3"/>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26" w:type="dxa"/>
            <w:gridSpan w:val="3"/>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926" w:type="dxa"/>
            <w:gridSpan w:val="3"/>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5779" w:type="dxa"/>
            <w:gridSpan w:val="9"/>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26" w:type="dxa"/>
            <w:gridSpan w:val="3"/>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27"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26" w:type="dxa"/>
            <w:gridSpan w:val="3"/>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gridSpan w:val="3"/>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0" w:type="dxa"/>
            <w:bottom w:w="0" w:type="dxa"/>
            <w:right w:w="0" w:type="dxa"/>
          </w:tblCellMar>
        </w:tblPrEx>
        <w:trPr>
          <w:gridAfter w:val="1"/>
          <w:wAfter w:w="95" w:type="dxa"/>
          <w:trHeight w:val="645" w:hRule="atLeast"/>
        </w:trPr>
        <w:tc>
          <w:tcPr>
            <w:tcW w:w="13988" w:type="dxa"/>
            <w:gridSpan w:val="20"/>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outlineLvl w:val="9"/>
        <w:rPr>
          <w:rFonts w:hint="eastAsia" w:ascii="仿宋_GB2312" w:hAnsi="仿宋_GB2312" w:eastAsia="仿宋_GB2312" w:cs="仿宋_GB2312"/>
          <w:color w:val="auto"/>
          <w:sz w:val="32"/>
          <w:szCs w:val="32"/>
          <w:highlight w:val="yellow"/>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yellow"/>
          <w:lang w:val="en-US" w:eastAsia="zh-CN"/>
        </w:rPr>
        <w:t>说明：我部门没有政府性基金收入，也没有使用政府性基金安排的支出，故本表无数据。</w:t>
      </w:r>
    </w:p>
    <w:p>
      <w:pPr>
        <w:rPr>
          <w:rFonts w:ascii="仿宋_GB2312" w:eastAsia="仿宋_GB2312"/>
          <w:color w:val="000000"/>
          <w:sz w:val="22"/>
          <w:szCs w:val="22"/>
        </w:rPr>
      </w:pPr>
    </w:p>
    <w:p>
      <w:pPr>
        <w:rPr>
          <w:rFonts w:ascii="仿宋_GB2312" w:eastAsia="仿宋_GB2312"/>
          <w:color w:val="000000"/>
          <w:sz w:val="22"/>
          <w:szCs w:val="22"/>
        </w:rPr>
      </w:pPr>
    </w:p>
    <w:p/>
    <w:sectPr>
      <w:pgSz w:w="16840"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47208"/>
    <w:multiLevelType w:val="singleLevel"/>
    <w:tmpl w:val="AA347208"/>
    <w:lvl w:ilvl="0" w:tentative="0">
      <w:start w:val="1"/>
      <w:numFmt w:val="decimal"/>
      <w:suff w:val="nothing"/>
      <w:lvlText w:val="%1．"/>
      <w:lvlJc w:val="left"/>
      <w:pPr>
        <w:ind w:left="-161"/>
      </w:pPr>
    </w:lvl>
  </w:abstractNum>
  <w:abstractNum w:abstractNumId="1">
    <w:nsid w:val="064946E1"/>
    <w:multiLevelType w:val="multilevel"/>
    <w:tmpl w:val="064946E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M0MjBkYWFjOTllOTg0MmI3MmZiY2Q0NmMyZTQifQ=="/>
  </w:docVars>
  <w:rsids>
    <w:rsidRoot w:val="00380C49"/>
    <w:rsid w:val="000527E8"/>
    <w:rsid w:val="00053B75"/>
    <w:rsid w:val="0005518E"/>
    <w:rsid w:val="000D3621"/>
    <w:rsid w:val="0014355F"/>
    <w:rsid w:val="0015324F"/>
    <w:rsid w:val="001C7E92"/>
    <w:rsid w:val="00272949"/>
    <w:rsid w:val="00380C49"/>
    <w:rsid w:val="00391415"/>
    <w:rsid w:val="00463B25"/>
    <w:rsid w:val="004C77BC"/>
    <w:rsid w:val="00582974"/>
    <w:rsid w:val="005C01C3"/>
    <w:rsid w:val="005E1C3D"/>
    <w:rsid w:val="00606CE0"/>
    <w:rsid w:val="006C602E"/>
    <w:rsid w:val="006E0A96"/>
    <w:rsid w:val="007169BE"/>
    <w:rsid w:val="007D7C6F"/>
    <w:rsid w:val="008B0129"/>
    <w:rsid w:val="008C5E94"/>
    <w:rsid w:val="008F0429"/>
    <w:rsid w:val="009008AB"/>
    <w:rsid w:val="00957A2C"/>
    <w:rsid w:val="009B7718"/>
    <w:rsid w:val="00B07176"/>
    <w:rsid w:val="00B30B3E"/>
    <w:rsid w:val="00BA392A"/>
    <w:rsid w:val="00C53051"/>
    <w:rsid w:val="00C73F3D"/>
    <w:rsid w:val="00CA1E5C"/>
    <w:rsid w:val="00CB1114"/>
    <w:rsid w:val="00CE118F"/>
    <w:rsid w:val="00D45C75"/>
    <w:rsid w:val="00D60397"/>
    <w:rsid w:val="00DE7EB7"/>
    <w:rsid w:val="00E67804"/>
    <w:rsid w:val="00E91CCC"/>
    <w:rsid w:val="00F9788A"/>
    <w:rsid w:val="00FB4D83"/>
    <w:rsid w:val="00FD03C9"/>
    <w:rsid w:val="00FD5856"/>
    <w:rsid w:val="1FF61C9C"/>
    <w:rsid w:val="2BBB0739"/>
    <w:rsid w:val="50DD6F35"/>
    <w:rsid w:val="580200E1"/>
    <w:rsid w:val="702A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8"/>
    <w:qFormat/>
    <w:uiPriority w:val="9"/>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paragraph" w:styleId="4">
    <w:name w:val="annotation text"/>
    <w:basedOn w:val="1"/>
    <w:link w:val="25"/>
    <w:unhideWhenUsed/>
    <w:qFormat/>
    <w:uiPriority w:val="99"/>
    <w:pPr>
      <w:widowControl w:val="0"/>
    </w:pPr>
    <w:rPr>
      <w:rFonts w:ascii="Times New Roman" w:hAnsi="Times New Roman" w:cs="Times New Roman"/>
      <w:kern w:val="2"/>
      <w:sz w:val="21"/>
      <w:szCs w:val="22"/>
    </w:rPr>
  </w:style>
  <w:style w:type="paragraph" w:styleId="5">
    <w:name w:val="Balloon Text"/>
    <w:basedOn w:val="1"/>
    <w:link w:val="26"/>
    <w:unhideWhenUsed/>
    <w:qFormat/>
    <w:uiPriority w:val="99"/>
    <w:pPr>
      <w:widowControl w:val="0"/>
      <w:jc w:val="both"/>
    </w:pPr>
    <w:rPr>
      <w:rFonts w:asciiTheme="minorHAnsi" w:hAnsiTheme="minorHAnsi" w:eastAsiaTheme="minorEastAsia" w:cstheme="minorBidi"/>
      <w:kern w:val="2"/>
      <w:sz w:val="18"/>
      <w:szCs w:val="18"/>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7"/>
    <w:unhideWhenUsed/>
    <w:qFormat/>
    <w:uiPriority w:val="99"/>
    <w:pPr>
      <w:widowControl w:val="0"/>
      <w:snapToGrid w:val="0"/>
    </w:pPr>
    <w:rPr>
      <w:rFonts w:ascii="Times New Roman" w:hAnsi="Times New Roman" w:cs="Times New Roman"/>
      <w:kern w:val="2"/>
      <w:sz w:val="18"/>
      <w:szCs w:val="22"/>
    </w:rPr>
  </w:style>
  <w:style w:type="paragraph" w:styleId="9">
    <w:name w:val="Normal (Web)"/>
    <w:basedOn w:val="1"/>
    <w:semiHidden/>
    <w:unhideWhenUsed/>
    <w:qFormat/>
    <w:uiPriority w:val="99"/>
    <w:pPr>
      <w:spacing w:before="100" w:beforeAutospacing="1" w:after="100" w:afterAutospacing="1"/>
    </w:p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footnote reference"/>
    <w:basedOn w:val="12"/>
    <w:unhideWhenUsed/>
    <w:qFormat/>
    <w:uiPriority w:val="99"/>
    <w:rPr>
      <w:vertAlign w:val="superscript"/>
    </w:rPr>
  </w:style>
  <w:style w:type="character" w:customStyle="1" w:styleId="16">
    <w:name w:val="页眉 Char"/>
    <w:basedOn w:val="12"/>
    <w:link w:val="7"/>
    <w:qFormat/>
    <w:uiPriority w:val="99"/>
    <w:rPr>
      <w:rFonts w:ascii="宋体" w:hAnsi="宋体" w:eastAsia="宋体" w:cs="宋体"/>
      <w:kern w:val="0"/>
      <w:sz w:val="18"/>
      <w:szCs w:val="18"/>
    </w:rPr>
  </w:style>
  <w:style w:type="character" w:customStyle="1" w:styleId="17">
    <w:name w:val="页脚 Char"/>
    <w:basedOn w:val="12"/>
    <w:link w:val="6"/>
    <w:qFormat/>
    <w:uiPriority w:val="99"/>
    <w:rPr>
      <w:rFonts w:ascii="宋体" w:hAnsi="宋体" w:eastAsia="宋体" w:cs="宋体"/>
      <w:kern w:val="0"/>
      <w:sz w:val="18"/>
      <w:szCs w:val="18"/>
    </w:rPr>
  </w:style>
  <w:style w:type="character" w:customStyle="1" w:styleId="18">
    <w:name w:val="标题 1 Char"/>
    <w:basedOn w:val="12"/>
    <w:link w:val="3"/>
    <w:uiPriority w:val="9"/>
    <w:rPr>
      <w:rFonts w:ascii="Times New Roman" w:hAnsi="Times New Roman" w:eastAsia="宋体" w:cs="Times New Roman"/>
      <w:b/>
      <w:bCs/>
      <w:kern w:val="44"/>
      <w:sz w:val="44"/>
      <w:szCs w:val="44"/>
    </w:rPr>
  </w:style>
  <w:style w:type="character" w:customStyle="1" w:styleId="19">
    <w:name w:val="font21"/>
    <w:basedOn w:val="12"/>
    <w:uiPriority w:val="0"/>
    <w:rPr>
      <w:rFonts w:hint="eastAsia" w:ascii="宋体" w:hAnsi="宋体" w:eastAsia="宋体" w:cs="宋体"/>
      <w:color w:val="000000"/>
      <w:sz w:val="22"/>
      <w:szCs w:val="22"/>
      <w:u w:val="none"/>
    </w:rPr>
  </w:style>
  <w:style w:type="character" w:customStyle="1" w:styleId="20">
    <w:name w:val="批注框文本 Char"/>
    <w:basedOn w:val="12"/>
    <w:link w:val="5"/>
    <w:uiPriority w:val="99"/>
    <w:rPr>
      <w:sz w:val="18"/>
      <w:szCs w:val="18"/>
    </w:rPr>
  </w:style>
  <w:style w:type="character" w:customStyle="1" w:styleId="21">
    <w:name w:val="font11"/>
    <w:basedOn w:val="12"/>
    <w:qFormat/>
    <w:uiPriority w:val="0"/>
    <w:rPr>
      <w:rFonts w:hint="eastAsia" w:ascii="宋体" w:hAnsi="宋体" w:eastAsia="宋体" w:cs="宋体"/>
      <w:color w:val="000000"/>
      <w:sz w:val="20"/>
      <w:szCs w:val="20"/>
      <w:u w:val="none"/>
    </w:rPr>
  </w:style>
  <w:style w:type="character" w:customStyle="1" w:styleId="22">
    <w:name w:val="font5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4"/>
      <w:szCs w:val="24"/>
      <w:u w:val="none"/>
    </w:rPr>
  </w:style>
  <w:style w:type="character" w:customStyle="1" w:styleId="25">
    <w:name w:val="批注文字 Char"/>
    <w:basedOn w:val="12"/>
    <w:link w:val="4"/>
    <w:qFormat/>
    <w:uiPriority w:val="99"/>
    <w:rPr>
      <w:rFonts w:ascii="Times New Roman" w:hAnsi="Times New Roman" w:eastAsia="宋体" w:cs="Times New Roman"/>
    </w:rPr>
  </w:style>
  <w:style w:type="character" w:customStyle="1" w:styleId="26">
    <w:name w:val="批注框文本 Char1"/>
    <w:basedOn w:val="12"/>
    <w:link w:val="5"/>
    <w:semiHidden/>
    <w:qFormat/>
    <w:uiPriority w:val="99"/>
    <w:rPr>
      <w:rFonts w:ascii="宋体" w:hAnsi="宋体" w:eastAsia="宋体" w:cs="宋体"/>
      <w:kern w:val="0"/>
      <w:sz w:val="18"/>
      <w:szCs w:val="18"/>
    </w:rPr>
  </w:style>
  <w:style w:type="character" w:customStyle="1" w:styleId="27">
    <w:name w:val="脚注文本 Char"/>
    <w:basedOn w:val="12"/>
    <w:link w:val="8"/>
    <w:qFormat/>
    <w:uiPriority w:val="99"/>
    <w:rPr>
      <w:rFonts w:ascii="Times New Roman" w:hAnsi="Times New Roman" w:eastAsia="宋体" w:cs="Times New Roman"/>
      <w:sz w:val="18"/>
    </w:rPr>
  </w:style>
  <w:style w:type="paragraph" w:customStyle="1" w:styleId="28">
    <w:name w:val="标题1"/>
    <w:basedOn w:val="3"/>
    <w:qFormat/>
    <w:uiPriority w:val="0"/>
    <w:pPr>
      <w:spacing w:before="0" w:after="0" w:line="240" w:lineRule="auto"/>
      <w:jc w:val="center"/>
    </w:pPr>
    <w:rPr>
      <w:rFonts w:ascii="华文中宋" w:hAnsi="华文中宋" w:eastAsia="华文中宋"/>
      <w:sz w:val="36"/>
      <w:szCs w:val="36"/>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6177</Words>
  <Characters>7851</Characters>
  <Lines>68</Lines>
  <Paragraphs>19</Paragraphs>
  <TotalTime>0</TotalTime>
  <ScaleCrop>false</ScaleCrop>
  <LinksUpToDate>false</LinksUpToDate>
  <CharactersWithSpaces>8076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上好佳</cp:lastModifiedBy>
  <dcterms:modified xsi:type="dcterms:W3CDTF">2022-09-02T07:48:09Z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A1A37BAA7B1046558D02A8421357936F</vt:lpwstr>
  </property>
</Properties>
</file>