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0" w:lineRule="atLeast"/>
        <w:ind w:firstLine="0" w:firstLineChars="0"/>
        <w:rPr>
          <w:rFonts w:ascii="Times New Roman" w:hAnsi="Times New Roman" w:eastAsia="黑体"/>
          <w:sz w:val="30"/>
          <w:szCs w:val="30"/>
        </w:rPr>
      </w:pPr>
      <w:bookmarkStart w:id="0" w:name="_GoBack"/>
      <w:bookmarkEnd w:id="0"/>
      <w:r>
        <w:rPr>
          <w:rFonts w:ascii="Times New Roman" w:hAnsi="Times New Roman" w:eastAsia="黑体"/>
          <w:sz w:val="30"/>
          <w:szCs w:val="30"/>
        </w:rPr>
        <w:t>附件2</w:t>
      </w:r>
    </w:p>
    <w:p>
      <w:pPr>
        <w:pStyle w:val="9"/>
        <w:autoSpaceDE w:val="0"/>
        <w:spacing w:line="0" w:lineRule="atLeast"/>
        <w:jc w:val="center"/>
        <w:rPr>
          <w:rFonts w:ascii="Times New Roman" w:hAnsi="Times New Roman" w:eastAsia="方正小标宋_GBK"/>
          <w:sz w:val="44"/>
          <w:szCs w:val="44"/>
        </w:rPr>
      </w:pPr>
      <w:r>
        <w:rPr>
          <w:rFonts w:ascii="Times New Roman" w:hAnsi="Times New Roman" w:eastAsia="方正小标宋_GBK"/>
          <w:sz w:val="44"/>
          <w:szCs w:val="44"/>
        </w:rPr>
        <w:t>信阳市交由街道办事处行使的</w:t>
      </w:r>
    </w:p>
    <w:p>
      <w:pPr>
        <w:pStyle w:val="9"/>
        <w:autoSpaceDE w:val="0"/>
        <w:spacing w:line="0" w:lineRule="atLeast"/>
        <w:jc w:val="center"/>
        <w:rPr>
          <w:rFonts w:ascii="Times New Roman" w:hAnsi="Times New Roman" w:eastAsia="方正小标宋简体"/>
          <w:sz w:val="44"/>
          <w:szCs w:val="44"/>
        </w:rPr>
      </w:pPr>
      <w:r>
        <w:rPr>
          <w:rFonts w:ascii="Times New Roman" w:hAnsi="Times New Roman" w:eastAsia="方正小标宋_GBK"/>
          <w:sz w:val="44"/>
          <w:szCs w:val="44"/>
        </w:rPr>
        <w:t>行政处罚权事项清单</w:t>
      </w:r>
    </w:p>
    <w:tbl>
      <w:tblPr>
        <w:tblStyle w:val="6"/>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64"/>
        <w:gridCol w:w="281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blHeader/>
          <w:jc w:val="center"/>
        </w:trPr>
        <w:tc>
          <w:tcPr>
            <w:tcW w:w="675" w:type="dxa"/>
            <w:noWrap w:val="0"/>
            <w:vAlign w:val="center"/>
          </w:tcPr>
          <w:p>
            <w:pPr>
              <w:tabs>
                <w:tab w:val="left" w:pos="0"/>
              </w:tabs>
              <w:spacing w:line="0" w:lineRule="atLeast"/>
              <w:jc w:val="center"/>
              <w:rPr>
                <w:rFonts w:ascii="Times New Roman" w:hAnsi="Times New Roman" w:eastAsia="黑体"/>
                <w:szCs w:val="21"/>
              </w:rPr>
            </w:pPr>
            <w:r>
              <w:rPr>
                <w:rFonts w:ascii="Times New Roman" w:hAnsi="Times New Roman" w:eastAsia="黑体"/>
                <w:szCs w:val="21"/>
              </w:rPr>
              <w:t>序号</w:t>
            </w:r>
          </w:p>
        </w:tc>
        <w:tc>
          <w:tcPr>
            <w:tcW w:w="3664" w:type="dxa"/>
            <w:noWrap w:val="0"/>
            <w:vAlign w:val="center"/>
          </w:tcPr>
          <w:p>
            <w:pPr>
              <w:tabs>
                <w:tab w:val="left" w:pos="0"/>
              </w:tabs>
              <w:spacing w:line="0" w:lineRule="atLeast"/>
              <w:jc w:val="center"/>
              <w:rPr>
                <w:rFonts w:ascii="Times New Roman" w:hAnsi="Times New Roman" w:eastAsia="黑体"/>
                <w:szCs w:val="21"/>
              </w:rPr>
            </w:pPr>
            <w:r>
              <w:rPr>
                <w:rFonts w:ascii="Times New Roman" w:hAnsi="Times New Roman" w:eastAsia="黑体"/>
                <w:szCs w:val="21"/>
              </w:rPr>
              <w:t>赋权事项</w:t>
            </w:r>
          </w:p>
        </w:tc>
        <w:tc>
          <w:tcPr>
            <w:tcW w:w="2816" w:type="dxa"/>
            <w:noWrap w:val="0"/>
            <w:vAlign w:val="center"/>
          </w:tcPr>
          <w:p>
            <w:pPr>
              <w:tabs>
                <w:tab w:val="left" w:pos="0"/>
              </w:tabs>
              <w:spacing w:line="0" w:lineRule="atLeast"/>
              <w:jc w:val="center"/>
              <w:rPr>
                <w:rFonts w:ascii="Times New Roman" w:hAnsi="Times New Roman" w:eastAsia="黑体"/>
                <w:szCs w:val="21"/>
              </w:rPr>
            </w:pPr>
            <w:r>
              <w:rPr>
                <w:rFonts w:ascii="Times New Roman" w:hAnsi="Times New Roman" w:eastAsia="黑体"/>
                <w:szCs w:val="21"/>
              </w:rPr>
              <w:t>实施依据</w:t>
            </w:r>
          </w:p>
        </w:tc>
        <w:tc>
          <w:tcPr>
            <w:tcW w:w="2555" w:type="dxa"/>
            <w:noWrap w:val="0"/>
            <w:vAlign w:val="center"/>
          </w:tcPr>
          <w:p>
            <w:pPr>
              <w:tabs>
                <w:tab w:val="left" w:pos="0"/>
              </w:tabs>
              <w:spacing w:line="0" w:lineRule="atLeast"/>
              <w:jc w:val="center"/>
              <w:rPr>
                <w:rFonts w:ascii="Times New Roman" w:hAnsi="Times New Roman" w:eastAsia="黑体"/>
                <w:szCs w:val="21"/>
              </w:rPr>
            </w:pPr>
            <w:r>
              <w:rPr>
                <w:rFonts w:ascii="Times New Roman" w:hAnsi="Times New Roman" w:eastAsia="黑体"/>
                <w:szCs w:val="21"/>
              </w:rPr>
              <w:t>原实施部门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trike/>
                <w:szCs w:val="21"/>
              </w:rPr>
            </w:pPr>
            <w:r>
              <w:rPr>
                <w:rFonts w:ascii="Times New Roman" w:hAnsi="Times New Roman"/>
                <w:szCs w:val="21"/>
              </w:rPr>
              <w:t>1</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对未经同意擅自占用城市绿化用地的处罚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kern w:val="0"/>
                <w:szCs w:val="21"/>
              </w:rPr>
              <w:t>《河南省城市绿化实施办法》</w:t>
            </w:r>
            <w:r>
              <w:rPr>
                <w:rFonts w:ascii="Times New Roman" w:hAnsi="Times New Roman"/>
                <w:szCs w:val="21"/>
              </w:rPr>
              <w:t>第十六条、</w:t>
            </w:r>
            <w:r>
              <w:rPr>
                <w:rFonts w:ascii="Times New Roman" w:hAnsi="Times New Roman"/>
                <w:kern w:val="0"/>
                <w:szCs w:val="21"/>
              </w:rPr>
              <w:t>第二十一条第二项</w:t>
            </w:r>
          </w:p>
        </w:tc>
        <w:tc>
          <w:tcPr>
            <w:tcW w:w="2555" w:type="dxa"/>
            <w:noWrap w:val="0"/>
            <w:vAlign w:val="center"/>
          </w:tcPr>
          <w:p>
            <w:pPr>
              <w:tabs>
                <w:tab w:val="left" w:pos="0"/>
              </w:tabs>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w:t>
            </w:r>
          </w:p>
        </w:tc>
        <w:tc>
          <w:tcPr>
            <w:tcW w:w="3664" w:type="dxa"/>
            <w:noWrap w:val="0"/>
            <w:vAlign w:val="center"/>
          </w:tcPr>
          <w:p>
            <w:pPr>
              <w:spacing w:line="0" w:lineRule="atLeast"/>
              <w:jc w:val="left"/>
              <w:rPr>
                <w:rFonts w:ascii="Times New Roman" w:hAnsi="Times New Roman"/>
                <w:szCs w:val="21"/>
              </w:rPr>
            </w:pPr>
            <w:r>
              <w:rPr>
                <w:rFonts w:ascii="Times New Roman" w:hAnsi="Times New Roman"/>
                <w:szCs w:val="21"/>
              </w:rPr>
              <w:t>对损坏城市树木、花草、草坪或盗窃绿地设施的处罚</w:t>
            </w:r>
          </w:p>
        </w:tc>
        <w:tc>
          <w:tcPr>
            <w:tcW w:w="2816" w:type="dxa"/>
            <w:noWrap w:val="0"/>
            <w:vAlign w:val="center"/>
          </w:tcPr>
          <w:p>
            <w:pPr>
              <w:spacing w:line="0" w:lineRule="atLeast"/>
              <w:rPr>
                <w:rFonts w:ascii="Times New Roman" w:hAnsi="Times New Roman"/>
                <w:szCs w:val="21"/>
              </w:rPr>
            </w:pPr>
            <w:r>
              <w:rPr>
                <w:rFonts w:ascii="Times New Roman" w:hAnsi="Times New Roman"/>
                <w:kern w:val="0"/>
                <w:szCs w:val="21"/>
              </w:rPr>
              <w:t>《河南省城市绿化实施办法》</w:t>
            </w:r>
            <w:r>
              <w:rPr>
                <w:rFonts w:ascii="Times New Roman" w:hAnsi="Times New Roman"/>
                <w:szCs w:val="21"/>
              </w:rPr>
              <w:t>第十七条第一项、</w:t>
            </w:r>
            <w:r>
              <w:rPr>
                <w:rFonts w:ascii="Times New Roman" w:hAnsi="Times New Roman"/>
                <w:kern w:val="0"/>
                <w:szCs w:val="21"/>
              </w:rPr>
              <w:t>第二十一条第三项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w:t>
            </w:r>
          </w:p>
        </w:tc>
        <w:tc>
          <w:tcPr>
            <w:tcW w:w="3664" w:type="dxa"/>
            <w:noWrap w:val="0"/>
            <w:vAlign w:val="center"/>
          </w:tcPr>
          <w:p>
            <w:pPr>
              <w:spacing w:line="0" w:lineRule="atLeast"/>
              <w:jc w:val="left"/>
              <w:rPr>
                <w:rFonts w:ascii="Times New Roman" w:hAnsi="Times New Roman"/>
                <w:szCs w:val="21"/>
              </w:rPr>
            </w:pPr>
            <w:r>
              <w:rPr>
                <w:rFonts w:ascii="Times New Roman" w:hAnsi="Times New Roman"/>
                <w:szCs w:val="21"/>
              </w:rPr>
              <w:t>对就树盖房，在绿地内或树木下搭灶生火，倾倒有害物质的处罚</w:t>
            </w:r>
          </w:p>
        </w:tc>
        <w:tc>
          <w:tcPr>
            <w:tcW w:w="2816" w:type="dxa"/>
            <w:noWrap w:val="0"/>
            <w:vAlign w:val="center"/>
          </w:tcPr>
          <w:p>
            <w:pPr>
              <w:spacing w:line="0" w:lineRule="atLeast"/>
              <w:rPr>
                <w:rFonts w:ascii="Times New Roman" w:hAnsi="Times New Roman"/>
                <w:szCs w:val="21"/>
              </w:rPr>
            </w:pPr>
            <w:r>
              <w:rPr>
                <w:rFonts w:ascii="Times New Roman" w:hAnsi="Times New Roman"/>
                <w:szCs w:val="21"/>
              </w:rPr>
              <w:t>《河南省城市绿化实施办法》第十七条第二项、第二十一条第三项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w:t>
            </w:r>
          </w:p>
        </w:tc>
        <w:tc>
          <w:tcPr>
            <w:tcW w:w="3664" w:type="dxa"/>
            <w:noWrap w:val="0"/>
            <w:vAlign w:val="center"/>
          </w:tcPr>
          <w:p>
            <w:pPr>
              <w:spacing w:line="0" w:lineRule="atLeast"/>
              <w:jc w:val="left"/>
              <w:rPr>
                <w:rFonts w:ascii="Times New Roman" w:hAnsi="Times New Roman"/>
                <w:szCs w:val="21"/>
              </w:rPr>
            </w:pPr>
            <w:r>
              <w:rPr>
                <w:rFonts w:ascii="Times New Roman" w:hAnsi="Times New Roman"/>
                <w:szCs w:val="21"/>
              </w:rPr>
              <w:t>对在树木上架设电线，在绿地内停放车辆、放牧或乱扔废弃物，在绿地和道路两侧绿篱内挖坑取土的处罚</w:t>
            </w:r>
          </w:p>
        </w:tc>
        <w:tc>
          <w:tcPr>
            <w:tcW w:w="2816" w:type="dxa"/>
            <w:noWrap w:val="0"/>
            <w:vAlign w:val="center"/>
          </w:tcPr>
          <w:p>
            <w:pPr>
              <w:spacing w:line="0" w:lineRule="atLeast"/>
              <w:rPr>
                <w:rFonts w:ascii="Times New Roman" w:hAnsi="Times New Roman"/>
                <w:szCs w:val="21"/>
              </w:rPr>
            </w:pPr>
            <w:r>
              <w:rPr>
                <w:rFonts w:ascii="Times New Roman" w:hAnsi="Times New Roman"/>
                <w:szCs w:val="21"/>
              </w:rPr>
              <w:t>《河南省城市绿化实施办法》第十七条第四项、第二十一条第三项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对在主要街道和重点区域的建筑物外立面装饰装修或者顶部搭建雨棚、遮阳蓬帐、突出门廊，安装太阳能板、空调外机、防盗网等设施设备不符合城市容貌标准的处罚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《信阳市城市市容和环境卫生管理条例》第十六条第二款、第三十九条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6</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对在主要街道和重点区域建筑物、构筑物的外立面、屋顶、阳台外、窗外、平台、外走廊，堆放、悬挂有碍市容的物品的处罚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《信阳市城市市容和环境卫生管理条例》第十六条第三款、第三十九条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7</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对擅自占用城市道路、广场等其他公共场所从事商业活动以及超出店铺门窗店外经营的处罚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《信阳市城市市容和环境卫生管理条例》第十九条第一款、第四十条第一项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8</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对占用城市道路、公共场所从事洗车、喷漆、维修、收购废品等活动的处罚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《信阳市城市市容和环境卫生管理条例》第十九条第二款、第四十条第二项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9</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对擅自在城市道路两侧和公共场地摆放物料，搭建建筑物、构筑物或者其他设施的处罚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《信阳市城市市容和环境卫生管理条例》第十九条第三款 、第四十条第三项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10</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对擅自在当地人民政府禁止的区域内露天烧烤食品或者为露天烧烤食品提供场地的处罚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《信阳市城市市容和环境卫生管理条例》第十九条第四款、第四十条第四项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11</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对城市道路上运输砂石、渣土、水泥等散装货物和液体、垃圾、粪便等物品的车辆，未采取密封、全覆盖、清洗等措施泄漏、遗撒的处罚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《信阳市城市市容和环境卫生管理条例》第二十条、第四十一条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12</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对在主要街道和重点区域内擅自在道路路缘设置接坡的处罚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《信阳市城市市容和环境卫生管理条例》第二十一条第一项、第四十二条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13</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对在主要街道和重点区域内擅自在人行道和公共场地上设置地锁、限行桩、停车位的处罚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《信阳市城市市容和环境卫生管理条例》第二十一条第二项、第四十二条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14</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对在主要街道和重点区域内擅自在道路红线内设置门店踏步、化粪池的处罚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《信阳市城市市容和环境卫生管理条例》第二十一条第三项、第四十二条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15</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对在主要街道和重点区域内占用城市公共绿地种植瓜果蔬菜的处罚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《信阳市城市市容和环境卫生管理条例》第四十二条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16</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对户外广告以及非广告的招牌、报栏、画廊、门头牌匾、实物造型等户外设施未按规定设置的处罚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《信阳市城市市容和环境卫生管理条例》第二十三条第二款、第四十三条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17</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对未按照有关规定办理审批手续或者未按照批准的位置、规格和期限设置大型户外广告的处罚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《信阳市城市市容和环境卫生管理条例》第二十三条第三款、第四十三条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18</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对户外设施的设置单位未按要求对户外设施进行日常维护保养的处罚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《信阳市城市市容和环境卫生管理条例》第二十三条第四款、第四十三条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19</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对擅自在树木、电线杆、建筑物、构筑物、道路或者其他设施上张贴、设置横幅、标语等宣传品或者刻画、涂写的处罚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《信阳市城市市容和环境卫生管理条例》第二十六条、第四十四条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20</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对侵占、损坏和擅自拆除、封闭环境卫生设施及擅自改变环境卫生设施的处罚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《信阳市城市市容和环境卫生管理条例》第二十七条第一款、第四十五条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21</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对因城市建设需要拆除环境卫生设施的建设单位未报市、县（区）市容环境卫生行政主管部门批准，按环境卫生设施的造价给予补偿的处罚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《信阳市城市市容和环境卫生管理条例》第二十七条第二款、第四十五条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22</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对随地吐痰、便溺，乱扔果皮、纸屑、烟头等废弃物的处罚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《信阳市城市市容和环境卫生管理条例》第二十八条第一项、第四十六条第一项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23</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对乱丢废电池、荧光灯管、显示屏等有毒有害物品的处罚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《信阳市城市市容和环境卫生管理条例》第二十八条第二项、第四十六条第一项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24</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对随意倾倒污水、污油等的处罚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《信阳市城市市容和环境卫生管理条例》第二十八条第三项、第四十六条第二项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25</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对向广场、花坛、绿化带、内河等扫入或者倾倒垃圾的处罚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《信阳市城市市容和环境卫生管理条例》第二十八条第四项、第四十六条第三项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26</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对在市容环境卫生行政主管部门指定区域和规定时间段内从事经营的临时摊点或者举办的文化商贸会展等活动，经营者或者举办单位未保持场所和周围环境卫生整洁，污染、损毁路面和公共设施的处罚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《信阳市城市市容和环境卫生管理条例》第二十九条、第四十七条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27</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对从事早间、夜间小商品和餐饮服务的经营者违规经营的处罚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《信阳市城市市容和环境卫生管理条例》第三十条、第四十七条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28</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对不按规定将生活垃圾实行分类投放、收集、运输和处置的处罚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《信阳市城市市容和环境卫生管理条例》第三十一条、第四十八条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29</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对餐饮业经营者和其他单位任意处置其产生的餐厨垃圾的处罚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《信阳市城市市容和环境卫生管理条例》第三十二条、第四十九条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30</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对未经核准擅自处置建筑垃圾的单位的处罚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《信阳市城市市容和环境卫生管理条例》第三十三条第一款、第五十条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31</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对未按照规定的路线、时间、地点运输和倾倒建筑垃圾的处罚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《信阳市城市市容和环境卫生管理条例》第三十三条第二款、第五十条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32</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对建设工程的施工现场未设置遮挡围墙和车辆清洗设施，进出口的路面未实行硬化处理等有效措，防止扬尘、污水污染环境的处罚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《信阳市城市市容和环境卫生管理条例》第三十四条、第五十一条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33</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对在城市建成区内饲养家禽、家畜的处罚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《信阳市城市市容和环境卫生管理条例》第三十六条第一款、第五十二条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34</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对在城市建成区内宠物饲养人未立即清除宠物在道路和其他公共场所产生的粪便的处罚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《信阳市城市市容和环境卫生管理条例》第五十二条第二款</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35</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对不按规定及时清运、处理粪便的处罚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《河南省〈城市市容和环境卫生管理条例〉实施办法》第三十条第八项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36</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对在城市道路或人行道上从事各类作业后，不清除杂物、渣土、污水淤泥的处罚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《河南省〈城市市容和环境卫生管理条例〉实施办法》第三十条第九项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37</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对在露天场所和垃圾收集容器内焚烧树枝（叶）、垃圾或者其他物品的处罚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《河南省〈城市市容和环境卫生管理条例〉实施办法》第三十条第十项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38</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对未经批准从事城市生活垃圾经营性清扫、收集、运输或者处置活动的处罚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《城市生活垃圾管理办法》第四十三条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39</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对从事城市生活垃圾经营性清扫、收集、运输的企业不履行按照环境卫生作业标准和作业规范，在规定的时间内及时清扫、收运城市生活垃圾等义务的处罚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《城市生活垃圾管理办法》第二十条第一项、第四十五条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675" w:type="dxa"/>
            <w:noWrap w:val="0"/>
            <w:vAlign w:val="center"/>
          </w:tcPr>
          <w:p>
            <w:pPr>
              <w:tabs>
                <w:tab w:val="left" w:pos="0"/>
              </w:tabs>
              <w:spacing w:line="0" w:lineRule="atLeast"/>
              <w:jc w:val="center"/>
              <w:rPr>
                <w:rFonts w:ascii="Times New Roman" w:hAnsi="Times New Roman"/>
                <w:strike/>
                <w:szCs w:val="21"/>
              </w:rPr>
            </w:pPr>
            <w:r>
              <w:rPr>
                <w:rFonts w:ascii="Times New Roman" w:hAnsi="Times New Roman"/>
                <w:szCs w:val="21"/>
              </w:rPr>
              <w:t>40</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w:t>
            </w:r>
            <w:r>
              <w:rPr>
                <w:rFonts w:ascii="Times New Roman" w:hAnsi="Times New Roman"/>
                <w:szCs w:val="21"/>
                <w:shd w:val="clear" w:color="0A0000" w:fill="FFFFFF"/>
              </w:rPr>
              <w:t>从事城市生活垃圾经营性清扫、收集、运输的企业</w:t>
            </w:r>
            <w:r>
              <w:rPr>
                <w:rFonts w:ascii="Times New Roman" w:hAnsi="Times New Roman"/>
                <w:szCs w:val="21"/>
              </w:rPr>
              <w:t>未将收集的城市生活垃圾运到直辖市、市、县人民政府建设（环境卫生）主管部门认可的处理场所的处罚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《城市生活垃圾管理办法》第二十条第二项、第四十五条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41</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对从事城市生活垃圾经营性清扫、收集、运输的企业清扫、收运城市生活垃圾后，未对生活垃圾收集设施及时保洁、复位，清理作业场地，保持生活垃圾收集设施和周边环境干净整洁的处罚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《城市生活垃圾管理办法》第二十条第三项、第四十五条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42</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对从事</w:t>
            </w:r>
            <w:r>
              <w:rPr>
                <w:rFonts w:ascii="Times New Roman" w:hAnsi="Times New Roman"/>
                <w:szCs w:val="21"/>
                <w:shd w:val="clear" w:color="0A0000" w:fill="FFFFFF"/>
              </w:rPr>
              <w:t>城市</w:t>
            </w:r>
            <w:r>
              <w:rPr>
                <w:rFonts w:ascii="Times New Roman" w:hAnsi="Times New Roman"/>
                <w:szCs w:val="21"/>
              </w:rPr>
              <w:t>生活垃圾经营性清扫、收集、运输的企业，用于收集、运输城市生活垃圾的车辆、船舶未做到密闭、完好和整洁的处罚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《城市生活垃圾管理办法》第二十条第四项、第四十五条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43</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w:t>
            </w:r>
            <w:r>
              <w:rPr>
                <w:rFonts w:ascii="Times New Roman" w:hAnsi="Times New Roman"/>
                <w:szCs w:val="21"/>
                <w:shd w:val="clear" w:color="0A0000" w:fill="FFFFFF"/>
              </w:rPr>
              <w:t>从事城市生活垃圾经营性处置的企业</w:t>
            </w:r>
            <w:r>
              <w:rPr>
                <w:rFonts w:ascii="Times New Roman" w:hAnsi="Times New Roman"/>
                <w:szCs w:val="21"/>
              </w:rPr>
              <w:t>未严格按照国家有关规定和技术标准处置城市生活垃圾的处罚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《城市生活垃圾管理办法》第二十八条第一项、第四十五条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44</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pacing w:val="-6"/>
                <w:szCs w:val="21"/>
              </w:rPr>
              <w:t>对洗车、洗浴、高尔夫球场、人工滑雪场等特种行业用水的单位和个人，未按规定采用低耗水或者循环用水等节水技术、工艺和设备的处罚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《河南省节约用水条例》第五十条第四项</w:t>
            </w:r>
          </w:p>
        </w:tc>
        <w:tc>
          <w:tcPr>
            <w:tcW w:w="2555" w:type="dxa"/>
            <w:noWrap w:val="0"/>
            <w:vAlign w:val="center"/>
          </w:tcPr>
          <w:p>
            <w:pPr>
              <w:tabs>
                <w:tab w:val="left" w:pos="0"/>
              </w:tabs>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45</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对未经批准或者不按照釆砂许可规定的区域、期限和作业方式进行釆砂活动的处罚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《河南省实施〈中华人民共和国水法〉办法》第四十三条第六项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46</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对个人少量自用采砂，未在指定地点进行的处罚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《河南省实施〈中华人民共和国防洪法〉办法》第四十条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47</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对擅自操作、移动水文监测设施的处罚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《河南省水文条例》第二十八条第一项</w:t>
            </w:r>
          </w:p>
        </w:tc>
        <w:tc>
          <w:tcPr>
            <w:tcW w:w="2555" w:type="dxa"/>
            <w:noWrap w:val="0"/>
            <w:vAlign w:val="center"/>
          </w:tcPr>
          <w:p>
            <w:pPr>
              <w:tabs>
                <w:tab w:val="left" w:pos="0"/>
              </w:tabs>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48</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对生产、销售未取得登记证的肥料产品的处罚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《肥料登记管理办法》第二十六第一项</w:t>
            </w:r>
          </w:p>
        </w:tc>
        <w:tc>
          <w:tcPr>
            <w:tcW w:w="2555" w:type="dxa"/>
            <w:noWrap w:val="0"/>
            <w:vAlign w:val="center"/>
          </w:tcPr>
          <w:p>
            <w:pPr>
              <w:tabs>
                <w:tab w:val="left" w:pos="0"/>
              </w:tabs>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49</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对假冒、伪造肥料登记证、登记证号的处罚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《肥料登记管理办法》第二十六条第二项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50</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对生产、销售的肥料产品有效成分或含量与登记批准内容不符的处罚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《肥料登记管理办法》第二十六条第三项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51</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对转让肥料登记证或登记证号的处罚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《肥料登记管理办法》第二十七条第一项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52</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对登记证有效期满未经批准续展登记而继续生产该肥料产品的处罚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《肥料登记管理办法》第二十七条第二项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53</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对生产、销售包装上未附标签、标签残缺不清或者擅自修改标签内容的处罚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《肥料登记管理办法》第二十七条第三项</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54</w:t>
            </w:r>
          </w:p>
        </w:tc>
        <w:tc>
          <w:tcPr>
            <w:tcW w:w="3664"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对冒用农产品质量标志的处罚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rPr>
              <w:t>《中华人民共和国农产品质量安全法》第七十四条</w:t>
            </w:r>
          </w:p>
        </w:tc>
        <w:tc>
          <w:tcPr>
            <w:tcW w:w="2555" w:type="dxa"/>
            <w:noWrap w:val="0"/>
            <w:vAlign w:val="center"/>
          </w:tcPr>
          <w:p>
            <w:pPr>
              <w:spacing w:line="0" w:lineRule="atLeast"/>
              <w:jc w:val="center"/>
              <w:rPr>
                <w:rFonts w:ascii="Times New Roman" w:hAnsi="Times New Roman"/>
                <w:szCs w:val="21"/>
              </w:rPr>
            </w:pPr>
            <w:r>
              <w:rPr>
                <w:rFonts w:hint="eastAsia" w:ascii="Times New Roman" w:hAnsi="Times New Roman"/>
                <w:szCs w:val="21"/>
                <w:lang w:eastAsia="zh-CN"/>
              </w:rPr>
              <w:t>市、</w:t>
            </w:r>
            <w:r>
              <w:rPr>
                <w:rFonts w:ascii="Times New Roman" w:hAnsi="Times New Roman"/>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55</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对擅自从事营业性演出经营活动的处罚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《营业性演出管理条例》第四十三条第一项</w:t>
            </w:r>
          </w:p>
        </w:tc>
        <w:tc>
          <w:tcPr>
            <w:tcW w:w="255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56</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对未经批准举办营业性演出的处罚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《营业性演出管理条例》第四十四条</w:t>
            </w:r>
          </w:p>
        </w:tc>
        <w:tc>
          <w:tcPr>
            <w:tcW w:w="255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57</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对歌舞娱乐场所接纳未成年人的处罚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《娱乐场所管理条例》第四十八条第三项</w:t>
            </w:r>
          </w:p>
        </w:tc>
        <w:tc>
          <w:tcPr>
            <w:tcW w:w="255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58</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对未取得导游证或者不具备领队条件而从事导游、领队活动的处罚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《中华人民共和国旅游法》第一百零二条</w:t>
            </w:r>
          </w:p>
        </w:tc>
        <w:tc>
          <w:tcPr>
            <w:tcW w:w="255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市文化广电和旅游局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67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59</w:t>
            </w:r>
          </w:p>
        </w:tc>
        <w:tc>
          <w:tcPr>
            <w:tcW w:w="3664" w:type="dxa"/>
            <w:noWrap w:val="0"/>
            <w:vAlign w:val="center"/>
          </w:tcPr>
          <w:p>
            <w:pPr>
              <w:tabs>
                <w:tab w:val="left" w:pos="0"/>
              </w:tabs>
              <w:spacing w:line="0" w:lineRule="atLeast"/>
              <w:jc w:val="left"/>
              <w:rPr>
                <w:rFonts w:ascii="Times New Roman" w:hAnsi="Times New Roman"/>
                <w:szCs w:val="21"/>
              </w:rPr>
            </w:pPr>
            <w:r>
              <w:rPr>
                <w:rFonts w:ascii="Times New Roman" w:hAnsi="Times New Roman"/>
                <w:szCs w:val="21"/>
              </w:rPr>
              <w:t>对旅行社未与旅游者签订旅游合同的处罚</w:t>
            </w:r>
          </w:p>
        </w:tc>
        <w:tc>
          <w:tcPr>
            <w:tcW w:w="2816" w:type="dxa"/>
            <w:noWrap w:val="0"/>
            <w:vAlign w:val="center"/>
          </w:tcPr>
          <w:p>
            <w:pPr>
              <w:tabs>
                <w:tab w:val="left" w:pos="0"/>
              </w:tabs>
              <w:spacing w:line="0" w:lineRule="atLeast"/>
              <w:rPr>
                <w:rFonts w:ascii="Times New Roman" w:hAnsi="Times New Roman"/>
                <w:szCs w:val="21"/>
              </w:rPr>
            </w:pPr>
            <w:r>
              <w:rPr>
                <w:rFonts w:ascii="Times New Roman" w:hAnsi="Times New Roman"/>
                <w:szCs w:val="21"/>
              </w:rPr>
              <w:t xml:space="preserve">《旅行社条例》第五十五条第一项  </w:t>
            </w:r>
          </w:p>
        </w:tc>
        <w:tc>
          <w:tcPr>
            <w:tcW w:w="2555" w:type="dxa"/>
            <w:noWrap w:val="0"/>
            <w:vAlign w:val="center"/>
          </w:tcPr>
          <w:p>
            <w:pPr>
              <w:tabs>
                <w:tab w:val="left" w:pos="0"/>
              </w:tabs>
              <w:spacing w:line="0" w:lineRule="atLeast"/>
              <w:jc w:val="center"/>
              <w:rPr>
                <w:rFonts w:ascii="Times New Roman" w:hAnsi="Times New Roman"/>
                <w:szCs w:val="21"/>
              </w:rPr>
            </w:pPr>
            <w:r>
              <w:rPr>
                <w:rFonts w:ascii="Times New Roman" w:hAnsi="Times New Roman"/>
                <w:szCs w:val="21"/>
              </w:rPr>
              <w:t>市文化广电和旅游局</w:t>
            </w:r>
          </w:p>
        </w:tc>
      </w:tr>
    </w:tbl>
    <w:p>
      <w:pPr>
        <w:pStyle w:val="4"/>
        <w:spacing w:line="260" w:lineRule="exact"/>
        <w:rPr>
          <w:rFonts w:ascii="Times New Roman" w:hAnsi="Times New Roman" w:eastAsia="仿宋_GB2312" w:cs="Times New Roman"/>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0"/>
    <w:family w:val="modern"/>
    <w:pitch w:val="default"/>
    <w:sig w:usb0="E0002AFF" w:usb1="C0007843"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5F4101"/>
    <w:rsid w:val="3F39C082"/>
    <w:rsid w:val="FA5F4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styleId="3">
    <w:name w:val="Body Text 2"/>
    <w:basedOn w:val="1"/>
    <w:qFormat/>
    <w:uiPriority w:val="99"/>
    <w:pPr>
      <w:adjustRightInd w:val="0"/>
      <w:spacing w:line="360" w:lineRule="auto"/>
    </w:pPr>
    <w:rPr>
      <w:rFonts w:ascii="楷体_GB2312" w:eastAsia="Times New Roman" w:cs="楷体_GB2312"/>
      <w:kern w:val="44"/>
      <w:sz w:val="28"/>
      <w:szCs w:val="28"/>
    </w:rPr>
  </w:style>
  <w:style w:type="paragraph" w:styleId="4">
    <w:name w:val="Plain Text"/>
    <w:basedOn w:val="1"/>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szCs w:val="18"/>
    </w:rPr>
  </w:style>
  <w:style w:type="paragraph" w:customStyle="1" w:styleId="8">
    <w:name w:val="Body Text First Indent1"/>
    <w:basedOn w:val="2"/>
    <w:qFormat/>
    <w:uiPriority w:val="0"/>
    <w:pPr>
      <w:ind w:firstLine="420" w:firstLineChars="100"/>
    </w:pPr>
  </w:style>
  <w:style w:type="paragraph" w:customStyle="1" w:styleId="9">
    <w:name w:val="正文 New"/>
    <w:basedOn w:val="1"/>
    <w:qFormat/>
    <w:uiPriority w:val="0"/>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2023-03-16T18:49:00Z</dcterms:created>
  <dc:creator>guest</dc:creator>
  <cp:lastModifiedBy>guest</cp:lastModifiedBy>
  <dcterms:modified xsi:type="dcterms:W3CDTF">2023-03-16T10:54:00Z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