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rPr>
        <w:t>信阳市平桥区人力资源和社会保障局</w:t>
      </w:r>
    </w:p>
    <w:p>
      <w:pPr>
        <w:jc w:val="center"/>
        <w:rPr>
          <w:rFonts w:hint="eastAsia" w:ascii="黑体" w:hAnsi="黑体" w:eastAsia="黑体" w:cs="黑体"/>
          <w:sz w:val="52"/>
          <w:szCs w:val="52"/>
        </w:rPr>
      </w:pPr>
      <w:r>
        <w:rPr>
          <w:rFonts w:hint="eastAsia" w:ascii="黑体" w:hAnsi="黑体" w:eastAsia="黑体" w:cs="黑体"/>
          <w:sz w:val="52"/>
          <w:szCs w:val="52"/>
        </w:rPr>
        <w:t>202</w:t>
      </w:r>
      <w:r>
        <w:rPr>
          <w:rFonts w:hint="eastAsia" w:ascii="黑体" w:hAnsi="黑体" w:eastAsia="黑体" w:cs="黑体"/>
          <w:sz w:val="52"/>
          <w:szCs w:val="52"/>
          <w:lang w:val="en-US" w:eastAsia="zh-CN"/>
        </w:rPr>
        <w:t>1</w:t>
      </w:r>
      <w:r>
        <w:rPr>
          <w:rFonts w:hint="eastAsia" w:ascii="黑体" w:hAnsi="黑体" w:eastAsia="黑体" w:cs="黑体"/>
          <w:sz w:val="52"/>
          <w:szCs w:val="52"/>
        </w:rPr>
        <w:t>年度部门决算公开</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default" w:ascii="黑体" w:hAnsi="黑体" w:eastAsia="黑体" w:cs="黑体"/>
          <w:sz w:val="52"/>
          <w:szCs w:val="52"/>
          <w:lang w:val="en-US" w:eastAsia="zh-CN"/>
        </w:rPr>
      </w:pPr>
      <w:r>
        <w:rPr>
          <w:rFonts w:hint="eastAsia" w:ascii="黑体" w:hAnsi="黑体" w:eastAsia="黑体" w:cs="黑体"/>
          <w:b w:val="0"/>
          <w:bCs w:val="0"/>
          <w:sz w:val="36"/>
          <w:szCs w:val="36"/>
          <w:lang w:val="en-US" w:eastAsia="zh-CN"/>
        </w:rPr>
        <w:t>二0二二年八月</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信阳市平桥区人力资源和社会保障局概况</w:t>
      </w:r>
    </w:p>
    <w:p>
      <w:pPr>
        <w:rPr>
          <w:rFonts w:ascii="黑体" w:hAnsi="黑体" w:eastAsia="黑体" w:cs="黑体"/>
          <w:sz w:val="32"/>
          <w:szCs w:val="32"/>
        </w:rPr>
      </w:pPr>
    </w:p>
    <w:p>
      <w:pPr>
        <w:widowControl w:val="0"/>
        <w:numPr>
          <w:ilvl w:val="0"/>
          <w:numId w:val="1"/>
        </w:numPr>
        <w:ind w:firstLine="640" w:firstLineChars="200"/>
        <w:rPr>
          <w:sz w:val="32"/>
          <w:szCs w:val="32"/>
        </w:rPr>
      </w:pPr>
      <w:r>
        <w:rPr>
          <w:rFonts w:hint="eastAsia"/>
          <w:sz w:val="32"/>
          <w:szCs w:val="32"/>
        </w:rPr>
        <w:t>部门职责</w:t>
      </w:r>
    </w:p>
    <w:p>
      <w:pPr>
        <w:widowControl w:val="0"/>
        <w:numPr>
          <w:ilvl w:val="0"/>
          <w:numId w:val="1"/>
        </w:numPr>
        <w:ind w:firstLine="640" w:firstLineChars="200"/>
        <w:rPr>
          <w:sz w:val="32"/>
          <w:szCs w:val="32"/>
        </w:rPr>
      </w:pPr>
      <w:r>
        <w:rPr>
          <w:rFonts w:hint="eastAsia"/>
          <w:sz w:val="32"/>
          <w:szCs w:val="32"/>
        </w:rPr>
        <w:t>机构设置</w:t>
      </w:r>
    </w:p>
    <w:p>
      <w:pPr>
        <w:rPr>
          <w:rFonts w:hint="eastAsia" w:ascii="黑体" w:hAnsi="黑体" w:eastAsia="黑体" w:cs="黑体"/>
          <w:sz w:val="32"/>
          <w:szCs w:val="32"/>
        </w:rPr>
      </w:pPr>
      <w:r>
        <w:rPr>
          <w:rFonts w:hint="eastAsia" w:ascii="黑体" w:hAnsi="黑体" w:eastAsia="黑体" w:cs="黑体"/>
          <w:sz w:val="32"/>
          <w:szCs w:val="32"/>
        </w:rPr>
        <w:t>第二部分　　20</w:t>
      </w:r>
      <w:r>
        <w:rPr>
          <w:rFonts w:hint="eastAsia" w:ascii="黑体" w:hAnsi="黑体" w:eastAsia="黑体" w:cs="黑体"/>
          <w:sz w:val="32"/>
          <w:szCs w:val="32"/>
          <w:lang w:val="en-US" w:eastAsia="zh-CN"/>
        </w:rPr>
        <w:t>21</w:t>
      </w:r>
      <w:r>
        <w:rPr>
          <w:rFonts w:hint="eastAsia" w:ascii="黑体" w:hAnsi="黑体" w:eastAsia="黑体" w:cs="黑体"/>
          <w:sz w:val="32"/>
          <w:szCs w:val="32"/>
        </w:rPr>
        <w:t>年度部门决算情况说明</w:t>
      </w:r>
    </w:p>
    <w:p>
      <w:pPr>
        <w:ind w:firstLine="640" w:firstLineChars="200"/>
        <w:rPr>
          <w:rFonts w:hint="eastAsia"/>
          <w:sz w:val="32"/>
          <w:szCs w:val="32"/>
        </w:rPr>
      </w:pPr>
      <w:r>
        <w:rPr>
          <w:rFonts w:hint="eastAsia"/>
          <w:sz w:val="32"/>
          <w:szCs w:val="32"/>
        </w:rPr>
        <w:t>一、收入支出决算总体情况说明</w:t>
      </w:r>
    </w:p>
    <w:p>
      <w:pPr>
        <w:ind w:firstLine="640" w:firstLineChars="200"/>
        <w:rPr>
          <w:rFonts w:hint="eastAsia"/>
          <w:sz w:val="32"/>
          <w:szCs w:val="32"/>
        </w:rPr>
      </w:pPr>
      <w:r>
        <w:rPr>
          <w:rFonts w:hint="eastAsia"/>
          <w:sz w:val="32"/>
          <w:szCs w:val="32"/>
        </w:rPr>
        <w:t>二、收入决算情况说明</w:t>
      </w:r>
    </w:p>
    <w:p>
      <w:pPr>
        <w:ind w:firstLine="640" w:firstLineChars="200"/>
        <w:rPr>
          <w:rFonts w:hint="eastAsia"/>
          <w:sz w:val="32"/>
          <w:szCs w:val="32"/>
        </w:rPr>
      </w:pPr>
      <w:r>
        <w:rPr>
          <w:rFonts w:hint="eastAsia"/>
          <w:sz w:val="32"/>
          <w:szCs w:val="32"/>
        </w:rPr>
        <w:t>三、支出决算情况说明</w:t>
      </w:r>
    </w:p>
    <w:p>
      <w:pPr>
        <w:ind w:firstLine="640" w:firstLineChars="200"/>
        <w:rPr>
          <w:rFonts w:hint="eastAsia"/>
          <w:sz w:val="32"/>
          <w:szCs w:val="32"/>
        </w:rPr>
      </w:pPr>
      <w:r>
        <w:rPr>
          <w:rFonts w:hint="eastAsia"/>
          <w:sz w:val="32"/>
          <w:szCs w:val="32"/>
        </w:rPr>
        <w:t>四、财政拨款收入支出决算总体情况说明</w:t>
      </w:r>
    </w:p>
    <w:p>
      <w:pPr>
        <w:ind w:firstLine="640" w:firstLineChars="200"/>
        <w:rPr>
          <w:rFonts w:hint="eastAsia"/>
          <w:sz w:val="32"/>
          <w:szCs w:val="32"/>
        </w:rPr>
      </w:pPr>
      <w:r>
        <w:rPr>
          <w:rFonts w:hint="eastAsia"/>
          <w:sz w:val="32"/>
          <w:szCs w:val="32"/>
        </w:rPr>
        <w:t>五、一般公共预算财政拨款支出决算情况说明</w:t>
      </w:r>
    </w:p>
    <w:p>
      <w:pPr>
        <w:ind w:firstLine="640" w:firstLineChars="200"/>
        <w:rPr>
          <w:rFonts w:hint="eastAsia"/>
          <w:sz w:val="32"/>
          <w:szCs w:val="32"/>
        </w:rPr>
      </w:pPr>
      <w:r>
        <w:rPr>
          <w:rFonts w:hint="eastAsia"/>
          <w:sz w:val="32"/>
          <w:szCs w:val="32"/>
        </w:rPr>
        <w:t>六、一般公共预算财政拨款基本支出决算情况说明</w:t>
      </w:r>
    </w:p>
    <w:p>
      <w:pPr>
        <w:ind w:firstLine="640" w:firstLineChars="200"/>
        <w:rPr>
          <w:rFonts w:hint="eastAsia"/>
          <w:sz w:val="32"/>
          <w:szCs w:val="32"/>
        </w:rPr>
      </w:pPr>
      <w:r>
        <w:rPr>
          <w:rFonts w:hint="eastAsia"/>
          <w:sz w:val="32"/>
          <w:szCs w:val="32"/>
        </w:rPr>
        <w:t>七、一般公共预算财政拨款“三公”经费支出决算情况说明</w:t>
      </w:r>
    </w:p>
    <w:p>
      <w:pPr>
        <w:ind w:firstLine="640" w:firstLineChars="200"/>
        <w:rPr>
          <w:rFonts w:hint="eastAsia"/>
          <w:sz w:val="32"/>
          <w:szCs w:val="32"/>
        </w:rPr>
      </w:pPr>
      <w:r>
        <w:rPr>
          <w:rFonts w:hint="eastAsia"/>
          <w:sz w:val="32"/>
          <w:szCs w:val="32"/>
        </w:rPr>
        <w:t>八、预算绩效情况说明</w:t>
      </w:r>
    </w:p>
    <w:p>
      <w:pPr>
        <w:ind w:firstLine="640" w:firstLineChars="200"/>
        <w:rPr>
          <w:rFonts w:hint="eastAsia"/>
          <w:sz w:val="32"/>
          <w:szCs w:val="32"/>
        </w:rPr>
      </w:pPr>
      <w:r>
        <w:rPr>
          <w:rFonts w:hint="eastAsia"/>
          <w:sz w:val="32"/>
          <w:szCs w:val="32"/>
        </w:rPr>
        <w:t>九、政府性基金预算财政拨款支出决算情况说明</w:t>
      </w:r>
    </w:p>
    <w:p>
      <w:pPr>
        <w:ind w:firstLine="640" w:firstLineChars="200"/>
        <w:rPr>
          <w:rFonts w:hint="eastAsia"/>
          <w:sz w:val="32"/>
          <w:szCs w:val="32"/>
        </w:rPr>
      </w:pPr>
      <w:r>
        <w:rPr>
          <w:rFonts w:hint="eastAsia"/>
          <w:sz w:val="32"/>
          <w:szCs w:val="32"/>
        </w:rPr>
        <w:t>十、机关运行经费支出情况说明</w:t>
      </w:r>
    </w:p>
    <w:p>
      <w:pPr>
        <w:ind w:firstLine="640" w:firstLineChars="200"/>
        <w:rPr>
          <w:rFonts w:hint="eastAsia"/>
          <w:sz w:val="32"/>
          <w:szCs w:val="32"/>
        </w:rPr>
      </w:pPr>
      <w:r>
        <w:rPr>
          <w:rFonts w:hint="eastAsia"/>
          <w:sz w:val="32"/>
          <w:szCs w:val="32"/>
        </w:rPr>
        <w:t>十一、政府采购支出情况说明</w:t>
      </w:r>
    </w:p>
    <w:p>
      <w:pPr>
        <w:ind w:firstLine="640" w:firstLineChars="200"/>
        <w:rPr>
          <w:rFonts w:hint="eastAsia"/>
          <w:sz w:val="32"/>
          <w:szCs w:val="32"/>
        </w:rPr>
      </w:pPr>
      <w:r>
        <w:rPr>
          <w:rFonts w:hint="eastAsia"/>
          <w:sz w:val="32"/>
          <w:szCs w:val="32"/>
        </w:rPr>
        <w:t>十二、国有资产占用情况说明</w:t>
      </w:r>
    </w:p>
    <w:p>
      <w:pPr>
        <w:rPr>
          <w:rFonts w:hint="eastAsia" w:ascii="黑体" w:hAnsi="黑体" w:eastAsia="黑体" w:cs="黑体"/>
          <w:sz w:val="32"/>
          <w:szCs w:val="32"/>
        </w:rPr>
      </w:pPr>
      <w:r>
        <w:rPr>
          <w:rFonts w:hint="eastAsia" w:ascii="黑体" w:hAnsi="黑体" w:eastAsia="黑体" w:cs="黑体"/>
          <w:sz w:val="32"/>
          <w:szCs w:val="32"/>
        </w:rPr>
        <w:t>第三部分　　名词解释</w:t>
      </w:r>
    </w:p>
    <w:p>
      <w:pPr>
        <w:rPr>
          <w:rFonts w:ascii="黑体" w:hAnsi="黑体" w:eastAsia="黑体" w:cs="黑体"/>
          <w:sz w:val="32"/>
          <w:szCs w:val="32"/>
        </w:rPr>
      </w:pPr>
      <w:r>
        <w:rPr>
          <w:rFonts w:hint="eastAsia" w:ascii="黑体" w:hAnsi="黑体" w:eastAsia="黑体" w:cs="黑体"/>
          <w:sz w:val="32"/>
          <w:szCs w:val="32"/>
        </w:rPr>
        <w:t>第四部分　　202</w:t>
      </w:r>
      <w:r>
        <w:rPr>
          <w:rFonts w:hint="eastAsia" w:ascii="黑体" w:hAnsi="黑体" w:eastAsia="黑体" w:cs="黑体"/>
          <w:sz w:val="32"/>
          <w:szCs w:val="32"/>
          <w:lang w:val="en-US" w:eastAsia="zh-CN"/>
        </w:rPr>
        <w:t>1</w:t>
      </w:r>
      <w:r>
        <w:rPr>
          <w:rFonts w:hint="eastAsia" w:ascii="黑体" w:hAnsi="黑体" w:eastAsia="黑体" w:cs="黑体"/>
          <w:sz w:val="32"/>
          <w:szCs w:val="32"/>
        </w:rPr>
        <w:t>年度部门决算表（Excel表格形式）</w:t>
      </w:r>
    </w:p>
    <w:p>
      <w:pPr>
        <w:ind w:firstLine="640" w:firstLineChars="200"/>
        <w:rPr>
          <w:sz w:val="32"/>
          <w:szCs w:val="32"/>
        </w:rPr>
      </w:pPr>
      <w:r>
        <w:rPr>
          <w:rFonts w:hint="eastAsia"/>
          <w:sz w:val="32"/>
          <w:szCs w:val="32"/>
        </w:rPr>
        <w:t>一、收入支出决算总表</w:t>
      </w:r>
    </w:p>
    <w:p>
      <w:pPr>
        <w:ind w:firstLine="640" w:firstLineChars="200"/>
        <w:rPr>
          <w:sz w:val="32"/>
          <w:szCs w:val="32"/>
        </w:rPr>
      </w:pPr>
      <w:r>
        <w:rPr>
          <w:rFonts w:hint="eastAsia"/>
          <w:sz w:val="32"/>
          <w:szCs w:val="32"/>
        </w:rPr>
        <w:t>二、收入决算表</w:t>
      </w:r>
    </w:p>
    <w:p>
      <w:pPr>
        <w:ind w:firstLine="640" w:firstLineChars="200"/>
        <w:rPr>
          <w:sz w:val="32"/>
          <w:szCs w:val="32"/>
        </w:rPr>
      </w:pPr>
      <w:r>
        <w:rPr>
          <w:rFonts w:hint="eastAsia"/>
          <w:sz w:val="32"/>
          <w:szCs w:val="32"/>
        </w:rPr>
        <w:t>三、支出决算表</w:t>
      </w:r>
    </w:p>
    <w:p>
      <w:pPr>
        <w:ind w:firstLine="640" w:firstLineChars="200"/>
        <w:rPr>
          <w:sz w:val="32"/>
          <w:szCs w:val="32"/>
        </w:rPr>
      </w:pPr>
      <w:r>
        <w:rPr>
          <w:rFonts w:hint="eastAsia"/>
          <w:sz w:val="32"/>
          <w:szCs w:val="32"/>
        </w:rPr>
        <w:t>四、财政拨款收入支出决算总表</w:t>
      </w:r>
    </w:p>
    <w:p>
      <w:pPr>
        <w:ind w:firstLine="640" w:firstLineChars="200"/>
        <w:rPr>
          <w:sz w:val="32"/>
          <w:szCs w:val="32"/>
        </w:rPr>
      </w:pPr>
      <w:r>
        <w:rPr>
          <w:rFonts w:hint="eastAsia"/>
          <w:sz w:val="32"/>
          <w:szCs w:val="32"/>
        </w:rPr>
        <w:t>五、一般公共预算财政拨款支出决算表</w:t>
      </w:r>
    </w:p>
    <w:p>
      <w:pPr>
        <w:ind w:firstLine="640" w:firstLineChars="200"/>
        <w:rPr>
          <w:sz w:val="32"/>
          <w:szCs w:val="32"/>
        </w:rPr>
      </w:pPr>
      <w:r>
        <w:rPr>
          <w:rFonts w:hint="eastAsia"/>
          <w:sz w:val="32"/>
          <w:szCs w:val="32"/>
        </w:rPr>
        <w:t>六、一般公共预算财政拨款基本支出决算表</w:t>
      </w:r>
    </w:p>
    <w:p>
      <w:pPr>
        <w:ind w:firstLine="640" w:firstLineChars="200"/>
        <w:rPr>
          <w:sz w:val="32"/>
          <w:szCs w:val="32"/>
        </w:rPr>
      </w:pPr>
      <w:r>
        <w:rPr>
          <w:rFonts w:hint="eastAsia"/>
          <w:sz w:val="32"/>
          <w:szCs w:val="32"/>
        </w:rPr>
        <w:t>七、一般公共预算财政拨款“三公”经费支出决算表</w:t>
      </w:r>
    </w:p>
    <w:p>
      <w:pPr>
        <w:ind w:firstLine="640" w:firstLineChars="200"/>
        <w:rPr>
          <w:rFonts w:ascii="黑体" w:hAnsi="黑体" w:eastAsia="黑体" w:cs="黑体"/>
          <w:sz w:val="44"/>
          <w:szCs w:val="44"/>
        </w:rPr>
      </w:pPr>
      <w:r>
        <w:rPr>
          <w:rFonts w:hint="eastAsia"/>
          <w:sz w:val="32"/>
          <w:szCs w:val="32"/>
        </w:rPr>
        <w:t>八、政府性基金预算财政拨款收入支出决算表</w:t>
      </w:r>
    </w:p>
    <w:p>
      <w:pPr>
        <w:ind w:firstLine="880" w:firstLineChars="200"/>
        <w:rPr>
          <w:rFonts w:ascii="黑体" w:hAnsi="黑体" w:eastAsia="黑体" w:cs="黑体"/>
          <w:sz w:val="44"/>
          <w:szCs w:val="44"/>
        </w:rPr>
      </w:pPr>
    </w:p>
    <w:p>
      <w:pPr>
        <w:jc w:val="center"/>
        <w:rPr>
          <w:rFonts w:ascii="黑体" w:hAnsi="黑体" w:eastAsia="黑体" w:cs="黑体"/>
          <w:sz w:val="44"/>
          <w:szCs w:val="44"/>
        </w:rPr>
      </w:pP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52"/>
          <w:szCs w:val="52"/>
        </w:rPr>
        <w:t>信阳市平桥区人力资源和社会保障局</w:t>
      </w:r>
      <w:r>
        <w:rPr>
          <w:rFonts w:hint="eastAsia" w:ascii="黑体" w:hAnsi="黑体" w:eastAsia="黑体" w:cs="黑体"/>
          <w:sz w:val="48"/>
          <w:szCs w:val="48"/>
        </w:rPr>
        <w:t>概况</w:t>
      </w:r>
    </w:p>
    <w:p>
      <w:pPr>
        <w:ind w:firstLine="640" w:firstLineChars="200"/>
        <w:outlineLvl w:val="1"/>
        <w:rPr>
          <w:rFonts w:ascii="黑体" w:hAnsi="黑体" w:eastAsia="黑体" w:cs="黑体"/>
          <w:sz w:val="32"/>
          <w:szCs w:val="32"/>
        </w:rPr>
      </w:pP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一、部门</w:t>
      </w:r>
      <w:r>
        <w:rPr>
          <w:rFonts w:hint="eastAsia" w:ascii="黑体" w:hAnsi="黑体" w:eastAsia="黑体" w:cs="黑体"/>
          <w:bCs/>
          <w:sz w:val="32"/>
          <w:szCs w:val="32"/>
        </w:rPr>
        <w:t>职责</w:t>
      </w:r>
    </w:p>
    <w:p>
      <w:pPr>
        <w:ind w:firstLine="640" w:firstLineChars="200"/>
        <w:rPr>
          <w:rFonts w:ascii="仿宋_GB2312" w:eastAsia="仿宋_GB2312"/>
          <w:sz w:val="32"/>
          <w:szCs w:val="32"/>
        </w:rPr>
      </w:pPr>
      <w:r>
        <w:rPr>
          <w:rFonts w:hint="eastAsia" w:ascii="仿宋_GB2312" w:eastAsia="仿宋_GB2312"/>
          <w:sz w:val="32"/>
          <w:szCs w:val="32"/>
        </w:rPr>
        <w:t>1、贯彻执行国家、省、市人力资源和社会保障法律、法规、政策；拟订全区人力资源和社会保障事业发展规划、政策措施，起草全区人力资源和社会保障地方性规章草案，并组织实施和监督检查。</w:t>
      </w:r>
    </w:p>
    <w:p>
      <w:pPr>
        <w:ind w:firstLine="640" w:firstLineChars="200"/>
        <w:rPr>
          <w:rFonts w:ascii="仿宋_GB2312" w:eastAsia="仿宋_GB2312"/>
          <w:sz w:val="32"/>
          <w:szCs w:val="32"/>
        </w:rPr>
      </w:pPr>
      <w:r>
        <w:rPr>
          <w:rFonts w:hint="eastAsia" w:ascii="仿宋_GB2312" w:eastAsia="仿宋_GB2312"/>
          <w:sz w:val="32"/>
          <w:szCs w:val="32"/>
        </w:rPr>
        <w:t>2、拟订全区人力资源市场发展规划和人力资源流动政策措施，建立统一规范的人力资源市场，促进人力资源合理流动、有效配置。</w:t>
      </w:r>
    </w:p>
    <w:p>
      <w:pPr>
        <w:ind w:firstLine="640" w:firstLineChars="200"/>
        <w:rPr>
          <w:rFonts w:ascii="仿宋_GB2312" w:eastAsia="仿宋_GB2312"/>
          <w:sz w:val="32"/>
          <w:szCs w:val="32"/>
        </w:rPr>
      </w:pPr>
      <w:r>
        <w:rPr>
          <w:rFonts w:hint="eastAsia" w:ascii="仿宋_GB2312" w:eastAsia="仿宋_GB2312"/>
          <w:sz w:val="32"/>
          <w:szCs w:val="32"/>
        </w:rPr>
        <w:t>3、负责全区促进就业工作。拟订全区统筹城乡的就业发展规划和实施意见，完善公共就业服务体系和公共创业服务体系；建立健全就业援助制度；完善职业资格制度；统筹建立面向城乡劳动者的职业培训制度，牵头拟订高校毕业生就业工作意见；会同有关部门拟订高技能人才、农村实用人才培养和激励政策措施。</w:t>
      </w:r>
    </w:p>
    <w:p>
      <w:pPr>
        <w:ind w:firstLine="640" w:firstLineChars="200"/>
        <w:rPr>
          <w:rFonts w:ascii="仿宋_GB2312" w:eastAsia="仿宋_GB2312"/>
          <w:sz w:val="32"/>
          <w:szCs w:val="32"/>
        </w:rPr>
      </w:pPr>
      <w:r>
        <w:rPr>
          <w:rFonts w:hint="eastAsia" w:ascii="仿宋_GB2312" w:eastAsia="仿宋_GB2312"/>
          <w:sz w:val="32"/>
          <w:szCs w:val="32"/>
        </w:rPr>
        <w:t>4、统筹建立覆盖全区城乡的社会保障体系。统筹拟订全区城乡社会保险及补充保险实施意见和标准，组织拟订全区统一的社会保险关系转续办法，统筹拟订全区机关企事业单位基本养老保险实施意见，会同有关部门拟订全区社会保险及其补充保险基金管理和监督制度，编制全区社会保险基金预决算草案。</w:t>
      </w:r>
    </w:p>
    <w:p>
      <w:pPr>
        <w:ind w:firstLine="640" w:firstLineChars="200"/>
        <w:rPr>
          <w:rFonts w:ascii="仿宋_GB2312" w:eastAsia="仿宋_GB2312"/>
          <w:sz w:val="32"/>
          <w:szCs w:val="32"/>
        </w:rPr>
      </w:pPr>
      <w:r>
        <w:rPr>
          <w:rFonts w:hint="eastAsia" w:ascii="仿宋_GB2312" w:eastAsia="仿宋_GB2312"/>
          <w:sz w:val="32"/>
          <w:szCs w:val="32"/>
        </w:rPr>
        <w:t>5、负责全区就业、失业、社会保险基金预测预警和信息引导，拟订应对预案，实施预防、调节和控制；拟订全区经济结构调整中涉及职工安置权益保障的有关政策措施，保持全区就业形势稳定和社会保险基金总体收支平衡。</w:t>
      </w:r>
    </w:p>
    <w:p>
      <w:pPr>
        <w:ind w:firstLine="640" w:firstLineChars="200"/>
        <w:rPr>
          <w:rFonts w:ascii="仿宋_GB2312" w:eastAsia="仿宋_GB2312"/>
          <w:sz w:val="32"/>
          <w:szCs w:val="32"/>
        </w:rPr>
      </w:pPr>
      <w:r>
        <w:rPr>
          <w:rFonts w:hint="eastAsia" w:ascii="仿宋_GB2312" w:eastAsia="仿宋_GB2312"/>
          <w:sz w:val="32"/>
          <w:szCs w:val="32"/>
        </w:rPr>
        <w:t>6、会同有关部门拟订全区机关、事业单位人员工资收入分配实施意见，建立全区机关企事业单位人员工资正常增长和支付保障机制；拟订全区机关企事业单位人员福利和离退休实施意见。</w:t>
      </w:r>
    </w:p>
    <w:p>
      <w:pPr>
        <w:ind w:firstLine="640" w:firstLineChars="200"/>
        <w:rPr>
          <w:rFonts w:ascii="仿宋_GB2312" w:eastAsia="仿宋_GB2312"/>
          <w:sz w:val="32"/>
          <w:szCs w:val="32"/>
        </w:rPr>
      </w:pPr>
      <w:r>
        <w:rPr>
          <w:rFonts w:hint="eastAsia" w:ascii="仿宋_GB2312" w:eastAsia="仿宋_GB2312"/>
          <w:sz w:val="32"/>
          <w:szCs w:val="32"/>
        </w:rPr>
        <w:t>7、会同有关部门指导全区事业单位人事制度改革，拟订全区事业单位人员和机关工勤人员管理实施意见，参与人才管理工作，制定全区专业技术人员管理和继续教育政策措施；负责全区职称制度改革工作；协同区委组织部做好享受政府特殊津贴人员的推荐、选拔和管理工作；负责全区其他高层次专业技术人才选拔和培养工作；拟订吸引国（境）外专家、留学人员来平桥工作或定居的意见。</w:t>
      </w:r>
    </w:p>
    <w:p>
      <w:pPr>
        <w:ind w:firstLine="640" w:firstLineChars="200"/>
        <w:rPr>
          <w:rFonts w:ascii="仿宋_GB2312" w:eastAsia="仿宋_GB2312"/>
          <w:sz w:val="32"/>
          <w:szCs w:val="32"/>
        </w:rPr>
      </w:pPr>
      <w:r>
        <w:rPr>
          <w:rFonts w:hint="eastAsia" w:ascii="仿宋_GB2312" w:eastAsia="仿宋_GB2312"/>
          <w:sz w:val="32"/>
          <w:szCs w:val="32"/>
        </w:rPr>
        <w:t>8、会同有关部门拟订全区军队转业干部安置措施和安置计划；负责全区军队转业干部教育培训工作；组织拟订部分企业军队转业干部解困和稳定实施办法；负责自主择业军队转业干部管理服务工作。</w:t>
      </w:r>
    </w:p>
    <w:p>
      <w:pPr>
        <w:ind w:firstLine="640" w:firstLineChars="200"/>
        <w:rPr>
          <w:rFonts w:ascii="仿宋_GB2312" w:eastAsia="仿宋_GB2312"/>
          <w:sz w:val="32"/>
          <w:szCs w:val="32"/>
        </w:rPr>
      </w:pPr>
      <w:r>
        <w:rPr>
          <w:rFonts w:hint="eastAsia" w:ascii="仿宋_GB2312" w:eastAsia="仿宋_GB2312"/>
          <w:sz w:val="32"/>
          <w:szCs w:val="32"/>
        </w:rPr>
        <w:t>9、负责全区行政机关公务员综合管理；拟订有关人员调配实施意见和特殊人员安置实施意见；会同有关部门组织落实国家荣誉制度；拟订政府奖励制度。</w:t>
      </w:r>
    </w:p>
    <w:p>
      <w:pPr>
        <w:ind w:firstLine="640" w:firstLineChars="200"/>
        <w:rPr>
          <w:rFonts w:ascii="仿宋_GB2312" w:eastAsia="仿宋_GB2312"/>
          <w:sz w:val="32"/>
          <w:szCs w:val="32"/>
        </w:rPr>
      </w:pPr>
      <w:r>
        <w:rPr>
          <w:rFonts w:hint="eastAsia" w:ascii="仿宋_GB2312" w:eastAsia="仿宋_GB2312"/>
          <w:sz w:val="32"/>
          <w:szCs w:val="32"/>
        </w:rPr>
        <w:t>10、会同有关部门拟订全区农民工工作综合性政策措施和规划，推动农民工相关政策的落实，协调解决重点难点问题，维护农民工合法权益。</w:t>
      </w:r>
    </w:p>
    <w:p>
      <w:pPr>
        <w:ind w:firstLine="640" w:firstLineChars="200"/>
        <w:rPr>
          <w:rFonts w:ascii="仿宋_GB2312" w:eastAsia="仿宋_GB2312"/>
          <w:sz w:val="32"/>
          <w:szCs w:val="32"/>
        </w:rPr>
      </w:pPr>
      <w:r>
        <w:rPr>
          <w:rFonts w:hint="eastAsia" w:ascii="仿宋_GB2312" w:eastAsia="仿宋_GB2312"/>
          <w:sz w:val="32"/>
          <w:szCs w:val="32"/>
        </w:rPr>
        <w:t>11、统筹拟订全区人事、劳动争议调解仲裁制度和劳动关系实施意见，完善劳动关系协调机制；依据国家特殊劳动保护政策制定实施细则并监督实施；组织实施劳动保障监察，协调劳动者维权工作，依法查处重大案件。</w:t>
      </w:r>
    </w:p>
    <w:p>
      <w:pPr>
        <w:ind w:firstLine="640" w:firstLineChars="200"/>
        <w:rPr>
          <w:rFonts w:ascii="仿宋_GB2312" w:eastAsia="仿宋_GB2312"/>
          <w:sz w:val="32"/>
          <w:szCs w:val="32"/>
        </w:rPr>
      </w:pPr>
      <w:r>
        <w:rPr>
          <w:rFonts w:hint="eastAsia" w:ascii="仿宋_GB2312" w:eastAsia="仿宋_GB2312"/>
          <w:sz w:val="32"/>
          <w:szCs w:val="32"/>
        </w:rPr>
        <w:t>12、负责全区引进国外智力工作，组织实施引进国外人才和出国（境）培训项目；负责我区人力资源和社会保障领域国际交流与合作工作。</w:t>
      </w:r>
    </w:p>
    <w:p>
      <w:pPr>
        <w:ind w:firstLine="640" w:firstLineChars="200"/>
        <w:rPr>
          <w:rFonts w:ascii="仿宋_GB2312" w:eastAsia="仿宋_GB2312"/>
          <w:sz w:val="32"/>
          <w:szCs w:val="32"/>
        </w:rPr>
      </w:pPr>
      <w:r>
        <w:rPr>
          <w:rFonts w:hint="eastAsia" w:ascii="仿宋_GB2312" w:eastAsia="仿宋_GB2312"/>
          <w:sz w:val="32"/>
          <w:szCs w:val="32"/>
        </w:rPr>
        <w:t>13、负责局机关及直属单位的政务信息化工作。</w:t>
      </w:r>
    </w:p>
    <w:p>
      <w:pPr>
        <w:ind w:firstLine="640" w:firstLineChars="200"/>
        <w:rPr>
          <w:rFonts w:ascii="仿宋_GB2312" w:eastAsia="仿宋_GB2312"/>
          <w:sz w:val="32"/>
          <w:szCs w:val="32"/>
        </w:rPr>
      </w:pPr>
      <w:r>
        <w:rPr>
          <w:rFonts w:hint="eastAsia" w:ascii="仿宋_GB2312" w:eastAsia="仿宋_GB2312"/>
          <w:sz w:val="32"/>
          <w:szCs w:val="32"/>
        </w:rPr>
        <w:t>14、承办区政府交办的其他事项。</w:t>
      </w:r>
    </w:p>
    <w:p>
      <w:pPr>
        <w:ind w:firstLine="640" w:firstLineChars="200"/>
        <w:outlineLvl w:val="1"/>
        <w:rPr>
          <w:rFonts w:ascii="黑体" w:hAnsi="黑体" w:eastAsia="黑体" w:cs="黑体"/>
          <w:sz w:val="32"/>
          <w:szCs w:val="32"/>
        </w:rPr>
      </w:pPr>
      <w:r>
        <w:rPr>
          <w:rFonts w:hint="eastAsia" w:ascii="黑体" w:hAnsi="黑体" w:eastAsia="黑体" w:cs="黑体"/>
          <w:sz w:val="32"/>
          <w:szCs w:val="32"/>
        </w:rPr>
        <w:t>二、机构设置</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信阳市平桥区人力资源和社会保障局设有局机关和11个二级机构</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信阳市平桥区人力资源和社会保障局局机关</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信阳市平桥区劳动保障监察大队</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信阳市平桥区机关事业养老保险管理所</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4、信阳市平桥区城乡居民养老保险中心</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5、信阳市平桥区人力资源和社会保障局档案管理中心</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信阳市平桥区考务培训中心</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信阳市平桥区人才交流服务中心</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信阳市平桥区劳动人事争议仲裁院</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信阳市平桥区工伤保险管理所</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信阳市平桥区职工失业保险管理所</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信阳市平桥区再就业小额贷款信用担保中心</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12、信阳市平桥区技工学校</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从决算单位构成看，信阳市平桥区人力资源和社会保障</w:t>
      </w:r>
      <w:r>
        <w:rPr>
          <w:rFonts w:hint="eastAsia" w:ascii="仿宋_GB2312" w:hAnsi="仿宋_GB2312" w:eastAsia="仿宋_GB2312" w:cs="仿宋_GB2312"/>
          <w:color w:val="000000"/>
          <w:kern w:val="0"/>
          <w:sz w:val="32"/>
          <w:szCs w:val="32"/>
        </w:rPr>
        <w:t>局</w:t>
      </w:r>
      <w:r>
        <w:rPr>
          <w:rFonts w:hint="eastAsia" w:ascii="仿宋_GB2312" w:hAnsi="仿宋_GB2312" w:eastAsia="仿宋_GB2312" w:cs="仿宋_GB2312"/>
          <w:kern w:val="0"/>
          <w:sz w:val="32"/>
          <w:szCs w:val="32"/>
        </w:rPr>
        <w:t>部门决算包括：本级决算、所属单位决算。</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本决算为汇总决算，纳入本部门20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年度部门决算编制范围的单位共</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个，其中二级预算单位</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个</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具体是：</w:t>
      </w:r>
    </w:p>
    <w:p>
      <w:pPr>
        <w:widowControl/>
        <w:numPr>
          <w:ilvl w:val="0"/>
          <w:numId w:val="2"/>
        </w:num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信阳市平桥区人力资源和社会保障局</w:t>
      </w:r>
      <w:r>
        <w:rPr>
          <w:rFonts w:hint="eastAsia" w:ascii="仿宋_GB2312" w:hAnsi="仿宋_GB2312" w:eastAsia="仿宋_GB2312" w:cs="仿宋_GB2312"/>
          <w:color w:val="000000"/>
          <w:kern w:val="0"/>
          <w:sz w:val="32"/>
          <w:szCs w:val="32"/>
          <w:lang w:val="en-US" w:eastAsia="zh-CN"/>
        </w:rPr>
        <w:t>本级</w:t>
      </w:r>
    </w:p>
    <w:p>
      <w:pPr>
        <w:widowControl/>
        <w:numPr>
          <w:ilvl w:val="0"/>
          <w:numId w:val="2"/>
        </w:num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信阳市平桥区职工失业保险管理所</w:t>
      </w:r>
    </w:p>
    <w:p>
      <w:pPr>
        <w:widowControl/>
        <w:numPr>
          <w:ilvl w:val="0"/>
          <w:numId w:val="2"/>
        </w:numPr>
        <w:ind w:firstLine="640" w:firstLineChars="200"/>
        <w:jc w:val="lef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信阳市平桥区职工失业保险管理所</w:t>
      </w:r>
    </w:p>
    <w:p>
      <w:pPr>
        <w:widowControl/>
        <w:jc w:val="left"/>
        <w:rPr>
          <w:rFonts w:hint="eastAsia" w:ascii="仿宋_GB2312" w:hAnsi="仿宋_GB2312" w:eastAsia="仿宋_GB2312" w:cs="仿宋_GB2312"/>
          <w:color w:val="000000"/>
          <w:kern w:val="0"/>
          <w:sz w:val="32"/>
          <w:szCs w:val="32"/>
        </w:rPr>
      </w:pPr>
    </w:p>
    <w:p>
      <w:pPr>
        <w:widowControl/>
        <w:jc w:val="left"/>
        <w:rPr>
          <w:rFonts w:hint="eastAsia" w:ascii="黑体" w:hAnsi="宋体" w:eastAsia="黑体" w:cs="宋体"/>
          <w:color w:val="000000"/>
          <w:kern w:val="0"/>
          <w:sz w:val="28"/>
          <w:szCs w:val="28"/>
        </w:rPr>
      </w:pPr>
    </w:p>
    <w:p>
      <w:pPr>
        <w:widowControl/>
        <w:ind w:firstLine="640" w:firstLineChars="200"/>
        <w:jc w:val="left"/>
        <w:rPr>
          <w:rFonts w:hint="eastAsia" w:ascii="仿宋_GB2312" w:hAnsi="仿宋_GB2312" w:eastAsia="仿宋_GB2312" w:cs="仿宋_GB2312"/>
          <w:color w:val="000000"/>
          <w:kern w:val="0"/>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hint="eastAsia" w:ascii="黑体" w:hAnsi="黑体" w:eastAsia="黑体" w:cs="黑体"/>
          <w:b/>
          <w:bCs/>
          <w:sz w:val="44"/>
          <w:szCs w:val="44"/>
        </w:rPr>
      </w:pPr>
      <w:r>
        <w:rPr>
          <w:rFonts w:hint="eastAsia" w:ascii="黑体" w:hAnsi="黑体" w:eastAsia="黑体" w:cs="黑体"/>
          <w:b/>
          <w:bCs/>
          <w:sz w:val="44"/>
          <w:szCs w:val="44"/>
        </w:rPr>
        <w:t>第二部分</w:t>
      </w:r>
    </w:p>
    <w:p>
      <w:pPr>
        <w:jc w:val="center"/>
        <w:rPr>
          <w:rFonts w:hint="eastAsia" w:ascii="黑体" w:hAnsi="黑体" w:eastAsia="黑体" w:cs="黑体"/>
          <w:b/>
          <w:bCs/>
          <w:sz w:val="44"/>
          <w:szCs w:val="44"/>
        </w:rPr>
      </w:pPr>
      <w:r>
        <w:rPr>
          <w:rFonts w:hint="eastAsia" w:ascii="黑体" w:hAnsi="黑体" w:eastAsia="黑体" w:cs="黑体"/>
          <w:b/>
          <w:bCs/>
          <w:sz w:val="44"/>
          <w:szCs w:val="44"/>
        </w:rPr>
        <w:t>信阳市平桥区人力资源和社会保障局202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rPr>
        <w:t>年度部门决算情况说明</w:t>
      </w:r>
    </w:p>
    <w:p>
      <w:pPr>
        <w:jc w:val="center"/>
        <w:rPr>
          <w:rFonts w:hint="eastAsia" w:ascii="黑体" w:hAnsi="黑体" w:eastAsia="黑体" w:cs="黑体"/>
          <w:b/>
          <w:bCs/>
          <w:sz w:val="44"/>
          <w:szCs w:val="44"/>
        </w:rPr>
      </w:pPr>
    </w:p>
    <w:p>
      <w:pPr>
        <w:pStyle w:val="4"/>
        <w:shd w:val="clear" w:color="auto" w:fill="FFFFFF"/>
        <w:spacing w:before="0" w:beforeAutospacing="0" w:after="0" w:afterAutospacing="0"/>
        <w:ind w:left="161" w:leftChars="67" w:firstLine="482" w:firstLineChars="150"/>
        <w:rPr>
          <w:rFonts w:hint="eastAsia" w:ascii="仿宋_GB2312" w:eastAsia="仿宋_GB2312"/>
          <w:b/>
          <w:bCs/>
          <w:sz w:val="32"/>
          <w:szCs w:val="32"/>
        </w:rPr>
      </w:pPr>
      <w:r>
        <w:rPr>
          <w:rFonts w:hint="eastAsia" w:ascii="仿宋_GB2312" w:eastAsia="仿宋_GB2312"/>
          <w:b/>
          <w:bCs/>
          <w:sz w:val="32"/>
          <w:szCs w:val="32"/>
        </w:rPr>
        <w:t>一、收入支出决算总体情况说明</w:t>
      </w:r>
    </w:p>
    <w:p>
      <w:pPr>
        <w:pStyle w:val="4"/>
        <w:shd w:val="clear" w:color="auto" w:fill="FFFFFF"/>
        <w:spacing w:before="0" w:beforeAutospacing="0" w:after="0" w:afterAutospacing="0"/>
        <w:ind w:left="161" w:leftChars="67" w:firstLine="480" w:firstLineChars="150"/>
        <w:rPr>
          <w:rFonts w:hint="eastAsia" w:ascii="黑体" w:hAnsi="黑体" w:eastAsia="黑体" w:cs="黑体"/>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年度收、支总计均为1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68万元。与上年度 相比，收、支总计各增加</w:t>
      </w:r>
      <w:r>
        <w:rPr>
          <w:rFonts w:hint="eastAsia" w:ascii="仿宋_GB2312" w:eastAsia="仿宋_GB2312"/>
          <w:sz w:val="32"/>
          <w:szCs w:val="32"/>
          <w:lang w:val="en-US" w:eastAsia="zh-CN"/>
        </w:rPr>
        <w:t>53.00</w:t>
      </w:r>
      <w:r>
        <w:rPr>
          <w:rFonts w:hint="eastAsia" w:ascii="仿宋_GB2312" w:eastAsia="仿宋_GB2312"/>
          <w:sz w:val="32"/>
          <w:szCs w:val="32"/>
        </w:rPr>
        <w:t>万元，增长</w:t>
      </w:r>
      <w:r>
        <w:rPr>
          <w:rFonts w:hint="eastAsia" w:ascii="仿宋_GB2312" w:eastAsia="仿宋_GB2312"/>
          <w:sz w:val="32"/>
          <w:szCs w:val="32"/>
          <w:lang w:val="en-US" w:eastAsia="zh-CN"/>
        </w:rPr>
        <w:t>2.88</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二、收入决算情况说明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年度收入合计</w:t>
      </w:r>
      <w:r>
        <w:rPr>
          <w:rFonts w:hint="eastAsia" w:ascii="仿宋_GB2312" w:eastAsia="仿宋_GB2312"/>
          <w:sz w:val="32"/>
          <w:szCs w:val="32"/>
          <w:lang w:val="en-US" w:eastAsia="zh-CN"/>
        </w:rPr>
        <w:t>1,346.39</w:t>
      </w:r>
      <w:r>
        <w:rPr>
          <w:rFonts w:hint="eastAsia" w:ascii="仿宋_GB2312" w:eastAsia="仿宋_GB2312"/>
          <w:sz w:val="32"/>
          <w:szCs w:val="32"/>
        </w:rPr>
        <w:t>万元，其中：财政拨款收入</w:t>
      </w:r>
      <w:r>
        <w:rPr>
          <w:rFonts w:hint="eastAsia" w:ascii="仿宋_GB2312" w:eastAsia="仿宋_GB2312"/>
          <w:sz w:val="32"/>
          <w:szCs w:val="32"/>
          <w:lang w:val="en-US" w:eastAsia="zh-CN"/>
        </w:rPr>
        <w:t>1,346.39</w:t>
      </w:r>
      <w:r>
        <w:rPr>
          <w:rFonts w:hint="eastAsia" w:ascii="仿宋_GB2312" w:eastAsia="仿宋_GB2312"/>
          <w:sz w:val="32"/>
          <w:szCs w:val="32"/>
        </w:rPr>
        <w:t>万元，占</w:t>
      </w:r>
      <w:r>
        <w:rPr>
          <w:rFonts w:hint="eastAsia" w:ascii="仿宋_GB2312" w:eastAsia="仿宋_GB2312"/>
          <w:sz w:val="32"/>
          <w:szCs w:val="32"/>
          <w:lang w:val="en-US" w:eastAsia="zh-CN"/>
        </w:rPr>
        <w:t>100.00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三、支出决算情况说明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年度支出合计1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68万元，其中：基本支出1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68万元，占100.00%。</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四、财政拨款收入支出决算总体情况说明</w:t>
      </w:r>
    </w:p>
    <w:p>
      <w:pPr>
        <w:pStyle w:val="4"/>
        <w:shd w:val="clear" w:color="auto" w:fill="FFFFFF"/>
        <w:spacing w:before="0" w:beforeAutospacing="0" w:after="0" w:afterAutospacing="0"/>
        <w:ind w:left="161" w:leftChars="67" w:firstLine="480" w:firstLineChars="150"/>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年度财政拨款收、支总计均为1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68万元。与上年度 相比，收、支总计各增加</w:t>
      </w:r>
      <w:r>
        <w:rPr>
          <w:rFonts w:hint="eastAsia" w:ascii="仿宋_GB2312" w:eastAsia="仿宋_GB2312"/>
          <w:sz w:val="32"/>
          <w:szCs w:val="32"/>
          <w:lang w:val="en-US" w:eastAsia="zh-CN"/>
        </w:rPr>
        <w:t>53.00</w:t>
      </w:r>
      <w:r>
        <w:rPr>
          <w:rFonts w:hint="eastAsia" w:ascii="仿宋_GB2312" w:eastAsia="仿宋_GB2312"/>
          <w:sz w:val="32"/>
          <w:szCs w:val="32"/>
        </w:rPr>
        <w:t>万元，增长</w:t>
      </w:r>
      <w:r>
        <w:rPr>
          <w:rFonts w:hint="eastAsia" w:ascii="仿宋_GB2312" w:eastAsia="仿宋_GB2312"/>
          <w:sz w:val="32"/>
          <w:szCs w:val="32"/>
          <w:lang w:val="en-US" w:eastAsia="zh-CN"/>
        </w:rPr>
        <w:t>2.88</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五、一般公共预算财政拨款支出决算情况说明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（一）总体情况。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 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68万元，占支出合计的</w:t>
      </w:r>
      <w:r>
        <w:rPr>
          <w:rFonts w:hint="eastAsia" w:ascii="仿宋_GB2312" w:eastAsia="仿宋_GB2312"/>
          <w:sz w:val="32"/>
          <w:szCs w:val="32"/>
          <w:lang w:val="en-US" w:eastAsia="zh-CN"/>
        </w:rPr>
        <w:t>100.00</w:t>
      </w:r>
      <w:r>
        <w:rPr>
          <w:rFonts w:hint="eastAsia" w:ascii="仿宋_GB2312" w:eastAsia="仿宋_GB2312"/>
          <w:sz w:val="32"/>
          <w:szCs w:val="32"/>
        </w:rPr>
        <w:t>%。与上年度相比，一般公共预算财政拨款支出增加</w:t>
      </w:r>
      <w:r>
        <w:rPr>
          <w:rFonts w:hint="eastAsia" w:ascii="仿宋_GB2312" w:eastAsia="仿宋_GB2312"/>
          <w:sz w:val="32"/>
          <w:szCs w:val="32"/>
          <w:lang w:val="en-US" w:eastAsia="zh-CN"/>
        </w:rPr>
        <w:t>53.00</w:t>
      </w:r>
      <w:r>
        <w:rPr>
          <w:rFonts w:hint="eastAsia" w:ascii="仿宋_GB2312" w:eastAsia="仿宋_GB2312"/>
          <w:sz w:val="32"/>
          <w:szCs w:val="32"/>
        </w:rPr>
        <w:t>万元，增长</w:t>
      </w:r>
      <w:r>
        <w:rPr>
          <w:rFonts w:hint="eastAsia" w:ascii="仿宋_GB2312" w:eastAsia="仿宋_GB2312"/>
          <w:sz w:val="32"/>
          <w:szCs w:val="32"/>
          <w:lang w:val="en-US" w:eastAsia="zh-CN"/>
        </w:rPr>
        <w:t>2.88</w:t>
      </w:r>
      <w:r>
        <w:rPr>
          <w:rFonts w:hint="eastAsia" w:ascii="仿宋_GB2312" w:eastAsia="仿宋_GB2312"/>
          <w:sz w:val="32"/>
          <w:szCs w:val="32"/>
        </w:rPr>
        <w:t>%。主要原因是</w:t>
      </w:r>
      <w:r>
        <w:rPr>
          <w:rFonts w:hint="eastAsia" w:ascii="仿宋_GB2312" w:hAnsi="仿宋_GB2312" w:eastAsia="仿宋_GB2312" w:cs="仿宋_GB2312"/>
          <w:sz w:val="32"/>
          <w:szCs w:val="32"/>
        </w:rPr>
        <w:t>工资正常晋级，开展各项中心工作。</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（二）结构情况。</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 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68万元，主要用于以下方面：社会保障和就业支出（类）支出 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68万元，占</w:t>
      </w:r>
      <w:r>
        <w:rPr>
          <w:rFonts w:hint="eastAsia" w:ascii="仿宋_GB2312" w:eastAsia="仿宋_GB2312"/>
          <w:sz w:val="32"/>
          <w:szCs w:val="32"/>
          <w:lang w:val="en-US" w:eastAsia="zh-CN"/>
        </w:rPr>
        <w:t>100.00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（三）具体情况。</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年度一般公共预算财政拨款支出年初预算为 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68万元，支出决算为 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68万元，完成年初预算的1</w:t>
      </w:r>
      <w:r>
        <w:rPr>
          <w:rFonts w:hint="eastAsia" w:ascii="仿宋_GB2312" w:eastAsia="仿宋_GB2312"/>
          <w:sz w:val="32"/>
          <w:szCs w:val="32"/>
          <w:lang w:val="en-US" w:eastAsia="zh-CN"/>
        </w:rPr>
        <w:t>00.00</w:t>
      </w:r>
      <w:r>
        <w:rPr>
          <w:rFonts w:hint="eastAsia" w:ascii="仿宋_GB2312" w:eastAsia="仿宋_GB2312"/>
          <w:sz w:val="32"/>
          <w:szCs w:val="32"/>
        </w:rPr>
        <w:t>%。</w:t>
      </w:r>
      <w:r>
        <w:rPr>
          <w:rFonts w:hint="eastAsia" w:ascii="仿宋_GB2312" w:eastAsia="仿宋_GB2312"/>
          <w:sz w:val="32"/>
          <w:szCs w:val="32"/>
          <w:lang w:val="en-US" w:eastAsia="zh-CN"/>
        </w:rPr>
        <w:t>其中：</w:t>
      </w:r>
    </w:p>
    <w:p>
      <w:pPr>
        <w:pStyle w:val="4"/>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lang w:val="en-US" w:eastAsia="zh-CN"/>
        </w:rPr>
        <w:t>1、社会保障和就业支出（类）人力资源和社会保障管理事务（款）行政运行（项）。年初预算为</w:t>
      </w: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w:t>
      </w:r>
      <w:r>
        <w:rPr>
          <w:rFonts w:hint="eastAsia" w:ascii="仿宋_GB2312" w:eastAsia="仿宋_GB2312"/>
          <w:sz w:val="32"/>
          <w:szCs w:val="32"/>
          <w:lang w:val="en-US" w:eastAsia="zh-CN"/>
        </w:rPr>
        <w:t>万元，支出决算为</w:t>
      </w: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68</w:t>
      </w:r>
      <w:r>
        <w:rPr>
          <w:rFonts w:hint="eastAsia" w:ascii="仿宋_GB2312" w:eastAsia="仿宋_GB2312"/>
          <w:sz w:val="32"/>
          <w:szCs w:val="32"/>
          <w:lang w:val="en-US" w:eastAsia="zh-CN"/>
        </w:rPr>
        <w:t>万元，完成年初预算的100.00%。决算数与年初预算数不存在差异。</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六、一般公共预算财政拨款基本支出决算情况说明</w:t>
      </w:r>
    </w:p>
    <w:p>
      <w:pPr>
        <w:pStyle w:val="4"/>
        <w:shd w:val="clear" w:color="auto" w:fill="FFFFFF"/>
        <w:spacing w:before="0" w:beforeAutospacing="0" w:after="0" w:afterAutospacing="0"/>
        <w:ind w:left="161" w:leftChars="67" w:firstLine="480" w:firstLineChars="150"/>
        <w:rPr>
          <w:rFonts w:hint="default" w:ascii="仿宋_GB2312" w:eastAsia="仿宋_GB2312"/>
          <w:sz w:val="32"/>
          <w:szCs w:val="32"/>
          <w:lang w:val="en-US"/>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年度一般公共预算财政拨款基本支出1</w:t>
      </w:r>
      <w:r>
        <w:rPr>
          <w:rFonts w:hint="eastAsia" w:ascii="仿宋_GB2312" w:eastAsia="仿宋_GB2312"/>
          <w:sz w:val="32"/>
          <w:szCs w:val="32"/>
          <w:lang w:val="en-US" w:eastAsia="zh-CN"/>
        </w:rPr>
        <w:t>,</w:t>
      </w:r>
      <w:r>
        <w:rPr>
          <w:rFonts w:hint="eastAsia" w:ascii="仿宋_GB2312" w:eastAsia="仿宋_GB2312"/>
          <w:sz w:val="32"/>
          <w:szCs w:val="32"/>
        </w:rPr>
        <w:t>894</w:t>
      </w:r>
      <w:r>
        <w:rPr>
          <w:rFonts w:hint="eastAsia" w:ascii="仿宋_GB2312" w:eastAsia="仿宋_GB2312"/>
          <w:sz w:val="32"/>
          <w:szCs w:val="32"/>
          <w:lang w:val="en-US" w:eastAsia="zh-CN"/>
        </w:rPr>
        <w:t>.</w:t>
      </w:r>
      <w:r>
        <w:rPr>
          <w:rFonts w:hint="eastAsia" w:ascii="仿宋_GB2312" w:eastAsia="仿宋_GB2312"/>
          <w:sz w:val="32"/>
          <w:szCs w:val="32"/>
        </w:rPr>
        <w:t xml:space="preserve">68万元。其中：人员经费 </w:t>
      </w:r>
      <w:r>
        <w:rPr>
          <w:rFonts w:hint="eastAsia" w:ascii="仿宋_GB2312" w:eastAsia="仿宋_GB2312"/>
          <w:sz w:val="32"/>
          <w:szCs w:val="32"/>
          <w:lang w:val="en-US" w:eastAsia="zh-CN"/>
        </w:rPr>
        <w:t>1427.60</w:t>
      </w:r>
      <w:r>
        <w:rPr>
          <w:rFonts w:hint="eastAsia" w:ascii="仿宋_GB2312" w:eastAsia="仿宋_GB2312"/>
          <w:sz w:val="32"/>
          <w:szCs w:val="32"/>
        </w:rPr>
        <w:t>万元，主要包括：基本工资、津贴补贴、</w:t>
      </w:r>
      <w:r>
        <w:rPr>
          <w:rFonts w:hint="eastAsia" w:ascii="仿宋_GB2312" w:eastAsia="仿宋_GB2312"/>
          <w:sz w:val="32"/>
          <w:szCs w:val="32"/>
          <w:lang w:eastAsia="zh-CN"/>
        </w:rPr>
        <w:t>奖金</w:t>
      </w:r>
      <w:r>
        <w:rPr>
          <w:rFonts w:hint="eastAsia" w:ascii="仿宋_GB2312" w:eastAsia="仿宋_GB2312"/>
          <w:sz w:val="32"/>
          <w:szCs w:val="32"/>
          <w:lang w:val="en-US" w:eastAsia="zh-CN"/>
        </w:rPr>
        <w:t>、</w:t>
      </w:r>
      <w:r>
        <w:rPr>
          <w:rFonts w:hint="eastAsia" w:ascii="仿宋_GB2312" w:eastAsia="仿宋_GB2312"/>
          <w:sz w:val="32"/>
          <w:szCs w:val="32"/>
        </w:rPr>
        <w:t>伙食补助费、绩效工资、机关事业单位基本养老保险缴费、其他社会保障缴费、</w:t>
      </w:r>
      <w:r>
        <w:rPr>
          <w:rFonts w:hint="eastAsia" w:ascii="仿宋_GB2312" w:eastAsia="仿宋_GB2312"/>
          <w:sz w:val="32"/>
          <w:szCs w:val="32"/>
          <w:lang w:eastAsia="zh-CN"/>
        </w:rPr>
        <w:t>职工基本医疗保险缴费、</w:t>
      </w:r>
      <w:r>
        <w:rPr>
          <w:rFonts w:hint="eastAsia" w:ascii="仿宋_GB2312" w:eastAsia="仿宋_GB2312"/>
          <w:sz w:val="32"/>
          <w:szCs w:val="32"/>
        </w:rPr>
        <w:t>其他工资福利支出、住房公积金；公用经费</w:t>
      </w:r>
      <w:r>
        <w:rPr>
          <w:rFonts w:hint="eastAsia" w:ascii="仿宋_GB2312" w:eastAsia="仿宋_GB2312"/>
          <w:sz w:val="32"/>
          <w:szCs w:val="32"/>
          <w:lang w:val="en-US" w:eastAsia="zh-CN"/>
        </w:rPr>
        <w:t>467.08</w:t>
      </w:r>
      <w:r>
        <w:rPr>
          <w:rFonts w:hint="eastAsia" w:ascii="仿宋_GB2312" w:eastAsia="仿宋_GB2312"/>
          <w:sz w:val="32"/>
          <w:szCs w:val="32"/>
        </w:rPr>
        <w:t>万元，主要包括：办公费、印刷费、水费、电费、邮电费、差旅费、维修（护）费、公务接待费、劳务费、工会经费、</w:t>
      </w:r>
      <w:r>
        <w:rPr>
          <w:rFonts w:hint="eastAsia" w:ascii="仿宋_GB2312" w:eastAsia="仿宋_GB2312"/>
          <w:sz w:val="32"/>
          <w:szCs w:val="32"/>
          <w:lang w:eastAsia="zh-CN"/>
        </w:rPr>
        <w:t>福利费</w:t>
      </w:r>
      <w:r>
        <w:rPr>
          <w:rFonts w:hint="eastAsia" w:ascii="仿宋_GB2312" w:eastAsia="仿宋_GB2312"/>
          <w:sz w:val="32"/>
          <w:szCs w:val="32"/>
          <w:lang w:val="en-US" w:eastAsia="zh-CN"/>
        </w:rPr>
        <w:t>、</w:t>
      </w:r>
      <w:r>
        <w:rPr>
          <w:rFonts w:hint="eastAsia" w:ascii="仿宋_GB2312" w:eastAsia="仿宋_GB2312"/>
          <w:sz w:val="32"/>
          <w:szCs w:val="32"/>
        </w:rPr>
        <w:t>其他交通费用、其他商品和服务支出</w:t>
      </w:r>
      <w:r>
        <w:rPr>
          <w:rFonts w:hint="eastAsia" w:ascii="仿宋_GB2312" w:eastAsia="仿宋_GB2312"/>
          <w:sz w:val="32"/>
          <w:szCs w:val="32"/>
          <w:lang w:eastAsia="zh-CN"/>
        </w:rPr>
        <w:t>；对个人和家庭的补助。</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七、一般公共预算财政拨款“三公”经费支出决算情况说明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（一）“三公”经费财政拨款支出决算总体情况说明。</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年度“三公”经费财政拨款支出预算为</w:t>
      </w:r>
      <w:r>
        <w:rPr>
          <w:rFonts w:hint="eastAsia" w:ascii="仿宋_GB2312" w:eastAsia="仿宋_GB2312"/>
          <w:sz w:val="32"/>
          <w:szCs w:val="32"/>
          <w:lang w:val="en-US" w:eastAsia="zh-CN"/>
        </w:rPr>
        <w:t>2.48</w:t>
      </w:r>
      <w:r>
        <w:rPr>
          <w:rFonts w:hint="eastAsia" w:ascii="仿宋_GB2312" w:eastAsia="仿宋_GB2312"/>
          <w:sz w:val="32"/>
          <w:szCs w:val="32"/>
        </w:rPr>
        <w:t xml:space="preserve">万元，支出决算为 </w:t>
      </w:r>
      <w:r>
        <w:rPr>
          <w:rFonts w:hint="eastAsia" w:ascii="仿宋_GB2312" w:eastAsia="仿宋_GB2312"/>
          <w:sz w:val="32"/>
          <w:szCs w:val="32"/>
          <w:lang w:val="en-US" w:eastAsia="zh-CN"/>
        </w:rPr>
        <w:t>2.48</w:t>
      </w:r>
      <w:r>
        <w:rPr>
          <w:rFonts w:hint="eastAsia" w:ascii="仿宋_GB2312" w:eastAsia="仿宋_GB2312"/>
          <w:sz w:val="32"/>
          <w:szCs w:val="32"/>
        </w:rPr>
        <w:t>元，完成预算的</w:t>
      </w:r>
      <w:r>
        <w:rPr>
          <w:rFonts w:hint="eastAsia" w:ascii="仿宋_GB2312" w:eastAsia="仿宋_GB2312"/>
          <w:sz w:val="32"/>
          <w:szCs w:val="32"/>
          <w:lang w:val="en-US" w:eastAsia="zh-CN"/>
        </w:rPr>
        <w:t>100.</w:t>
      </w:r>
      <w:r>
        <w:rPr>
          <w:rFonts w:hint="eastAsia" w:ascii="仿宋_GB2312" w:eastAsia="仿宋_GB2312"/>
          <w:sz w:val="32"/>
          <w:szCs w:val="32"/>
        </w:rPr>
        <w:t>00%。20</w:t>
      </w:r>
      <w:r>
        <w:rPr>
          <w:rFonts w:hint="eastAsia" w:ascii="仿宋_GB2312" w:eastAsia="仿宋_GB2312"/>
          <w:sz w:val="32"/>
          <w:szCs w:val="32"/>
          <w:lang w:val="en-US" w:eastAsia="zh-CN"/>
        </w:rPr>
        <w:t>21</w:t>
      </w:r>
      <w:r>
        <w:rPr>
          <w:rFonts w:hint="eastAsia" w:ascii="仿宋_GB2312" w:eastAsia="仿宋_GB2312"/>
          <w:sz w:val="32"/>
          <w:szCs w:val="32"/>
        </w:rPr>
        <w:t>年度“三公”经费支出决算数与预算数</w:t>
      </w:r>
      <w:r>
        <w:rPr>
          <w:rFonts w:hint="eastAsia" w:ascii="仿宋_GB2312" w:eastAsia="仿宋_GB2312"/>
          <w:sz w:val="32"/>
          <w:szCs w:val="32"/>
          <w:lang w:val="en-US" w:eastAsia="zh-CN"/>
        </w:rPr>
        <w:t>不</w:t>
      </w:r>
      <w:r>
        <w:rPr>
          <w:rFonts w:hint="eastAsia" w:ascii="仿宋_GB2312" w:eastAsia="仿宋_GB2312"/>
          <w:sz w:val="32"/>
          <w:szCs w:val="32"/>
        </w:rPr>
        <w:t>存在差异</w:t>
      </w:r>
      <w:r>
        <w:rPr>
          <w:rFonts w:hint="eastAsia" w:ascii="仿宋_GB2312" w:eastAsia="仿宋_GB2312"/>
          <w:sz w:val="32"/>
          <w:szCs w:val="32"/>
          <w:lang w:eastAsia="zh-CN"/>
        </w:rPr>
        <w:t>。</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（二）“三公”经费财政拨款支出决算具体情况说明。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年度“三公”经费财政拨款支出决算中，因公出国（境）费支出决算</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0.00</w:t>
      </w:r>
      <w:r>
        <w:rPr>
          <w:rFonts w:hint="eastAsia" w:ascii="仿宋_GB2312" w:eastAsia="仿宋_GB2312"/>
          <w:sz w:val="32"/>
          <w:szCs w:val="32"/>
        </w:rPr>
        <w:t>%，占</w:t>
      </w:r>
      <w:r>
        <w:rPr>
          <w:rFonts w:hint="eastAsia" w:ascii="仿宋_GB2312" w:eastAsia="仿宋_GB2312"/>
          <w:sz w:val="32"/>
          <w:szCs w:val="32"/>
          <w:lang w:val="en-US" w:eastAsia="zh-CN"/>
        </w:rPr>
        <w:t>0.00</w:t>
      </w:r>
      <w:r>
        <w:rPr>
          <w:rFonts w:hint="eastAsia" w:ascii="仿宋_GB2312" w:eastAsia="仿宋_GB2312"/>
          <w:sz w:val="32"/>
          <w:szCs w:val="32"/>
        </w:rPr>
        <w:t>%；公务用车购置及运行费支出决算</w:t>
      </w:r>
      <w:r>
        <w:rPr>
          <w:rFonts w:hint="eastAsia" w:ascii="仿宋_GB2312" w:eastAsia="仿宋_GB2312"/>
          <w:sz w:val="32"/>
          <w:szCs w:val="32"/>
          <w:lang w:val="en-US" w:eastAsia="zh-CN"/>
        </w:rPr>
        <w:t>0.00</w:t>
      </w:r>
      <w:r>
        <w:rPr>
          <w:rFonts w:hint="eastAsia" w:ascii="仿宋_GB2312" w:eastAsia="仿宋_GB2312"/>
          <w:sz w:val="32"/>
          <w:szCs w:val="32"/>
        </w:rPr>
        <w:t>万元，完成预算的</w:t>
      </w:r>
      <w:r>
        <w:rPr>
          <w:rFonts w:hint="eastAsia" w:ascii="仿宋_GB2312" w:eastAsia="仿宋_GB2312"/>
          <w:sz w:val="32"/>
          <w:szCs w:val="32"/>
          <w:lang w:val="en-US" w:eastAsia="zh-CN"/>
        </w:rPr>
        <w:t>0.00</w:t>
      </w:r>
      <w:r>
        <w:rPr>
          <w:rFonts w:hint="eastAsia" w:ascii="仿宋_GB2312" w:eastAsia="仿宋_GB2312"/>
          <w:sz w:val="32"/>
          <w:szCs w:val="32"/>
        </w:rPr>
        <w:t>%，占</w:t>
      </w:r>
      <w:r>
        <w:rPr>
          <w:rFonts w:hint="eastAsia" w:ascii="仿宋_GB2312" w:eastAsia="仿宋_GB2312"/>
          <w:sz w:val="32"/>
          <w:szCs w:val="32"/>
          <w:lang w:val="en-US" w:eastAsia="zh-CN"/>
        </w:rPr>
        <w:t>0.00</w:t>
      </w:r>
      <w:r>
        <w:rPr>
          <w:rFonts w:hint="eastAsia" w:ascii="仿宋_GB2312" w:eastAsia="仿宋_GB2312"/>
          <w:sz w:val="32"/>
          <w:szCs w:val="32"/>
        </w:rPr>
        <w:t>%；公务接待费支出决算</w:t>
      </w:r>
      <w:r>
        <w:rPr>
          <w:rFonts w:hint="eastAsia" w:ascii="仿宋_GB2312" w:eastAsia="仿宋_GB2312"/>
          <w:sz w:val="32"/>
          <w:szCs w:val="32"/>
          <w:lang w:val="en-US" w:eastAsia="zh-CN"/>
        </w:rPr>
        <w:t>2.48</w:t>
      </w:r>
      <w:r>
        <w:rPr>
          <w:rFonts w:hint="eastAsia" w:ascii="仿宋_GB2312" w:eastAsia="仿宋_GB2312"/>
          <w:sz w:val="32"/>
          <w:szCs w:val="32"/>
        </w:rPr>
        <w:t>万元，完成预算的</w:t>
      </w:r>
      <w:r>
        <w:rPr>
          <w:rFonts w:hint="eastAsia" w:ascii="仿宋_GB2312" w:eastAsia="仿宋_GB2312"/>
          <w:sz w:val="32"/>
          <w:szCs w:val="32"/>
          <w:lang w:val="en-US" w:eastAsia="zh-CN"/>
        </w:rPr>
        <w:t>100.00</w:t>
      </w:r>
      <w:r>
        <w:rPr>
          <w:rFonts w:hint="eastAsia" w:ascii="仿宋_GB2312" w:eastAsia="仿宋_GB2312"/>
          <w:sz w:val="32"/>
          <w:szCs w:val="32"/>
        </w:rPr>
        <w:t>%，占</w:t>
      </w:r>
      <w:r>
        <w:rPr>
          <w:rFonts w:hint="eastAsia" w:ascii="仿宋_GB2312" w:eastAsia="仿宋_GB2312"/>
          <w:sz w:val="32"/>
          <w:szCs w:val="32"/>
          <w:lang w:val="en-US" w:eastAsia="zh-CN"/>
        </w:rPr>
        <w:t>100.00</w:t>
      </w:r>
      <w:r>
        <w:rPr>
          <w:rFonts w:hint="eastAsia" w:ascii="仿宋_GB2312" w:eastAsia="仿宋_GB2312"/>
          <w:sz w:val="32"/>
          <w:szCs w:val="32"/>
        </w:rPr>
        <w:t>%。具体情况如下：</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1．因公出国（境）费年初预算为 0.00万元，支出决算为0.00 万元，完成年初预算的0.00%，</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。全年因公出国（境）团组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2． 公务用车购置及运行费年初预算为0.00万元，支出决算为 0.00万元，完成年初预算的0.00%，</w:t>
      </w:r>
      <w:r>
        <w:rPr>
          <w:rFonts w:hint="eastAsia" w:ascii="仿宋_GB2312" w:eastAsia="仿宋_GB2312"/>
          <w:sz w:val="32"/>
          <w:szCs w:val="32"/>
          <w:lang w:val="en-US" w:eastAsia="zh-CN"/>
        </w:rPr>
        <w:t>决算数与年初预算数不存在差异</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公务用车购置支出为</w:t>
      </w:r>
      <w:r>
        <w:rPr>
          <w:rFonts w:hint="eastAsia" w:ascii="仿宋_GB2312" w:eastAsia="仿宋_GB2312"/>
          <w:sz w:val="32"/>
          <w:szCs w:val="32"/>
          <w:lang w:val="en-US" w:eastAsia="zh-CN"/>
        </w:rPr>
        <w:t>0.00</w:t>
      </w:r>
      <w:r>
        <w:rPr>
          <w:rFonts w:hint="eastAsia" w:ascii="仿宋_GB2312" w:eastAsia="仿宋_GB2312"/>
          <w:sz w:val="32"/>
          <w:szCs w:val="32"/>
        </w:rPr>
        <w:t>万元，购置车辆</w:t>
      </w:r>
      <w:r>
        <w:rPr>
          <w:rFonts w:hint="eastAsia" w:ascii="仿宋_GB2312" w:eastAsia="仿宋_GB2312"/>
          <w:sz w:val="32"/>
          <w:szCs w:val="32"/>
          <w:lang w:val="en-US" w:eastAsia="zh-CN"/>
        </w:rPr>
        <w:t>0</w:t>
      </w:r>
      <w:r>
        <w:rPr>
          <w:rFonts w:hint="eastAsia" w:ascii="仿宋_GB2312" w:eastAsia="仿宋_GB2312"/>
          <w:sz w:val="32"/>
          <w:szCs w:val="32"/>
        </w:rPr>
        <w:t>辆。</w:t>
      </w:r>
    </w:p>
    <w:p>
      <w:pPr>
        <w:pStyle w:val="4"/>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公务用车运行支出</w:t>
      </w:r>
      <w:r>
        <w:rPr>
          <w:rFonts w:hint="eastAsia" w:ascii="仿宋_GB2312" w:eastAsia="仿宋_GB2312"/>
          <w:sz w:val="32"/>
          <w:szCs w:val="32"/>
          <w:lang w:val="en-US" w:eastAsia="zh-CN"/>
        </w:rPr>
        <w:t>0.00</w:t>
      </w:r>
      <w:r>
        <w:rPr>
          <w:rFonts w:hint="eastAsia" w:ascii="仿宋_GB2312" w:eastAsia="仿宋_GB2312"/>
          <w:sz w:val="32"/>
          <w:szCs w:val="32"/>
        </w:rPr>
        <w:t>万元。20</w:t>
      </w:r>
      <w:r>
        <w:rPr>
          <w:rFonts w:hint="eastAsia" w:ascii="仿宋_GB2312" w:eastAsia="仿宋_GB2312"/>
          <w:sz w:val="32"/>
          <w:szCs w:val="32"/>
          <w:lang w:val="en-US" w:eastAsia="zh-CN"/>
        </w:rPr>
        <w:t>21</w:t>
      </w:r>
      <w:r>
        <w:rPr>
          <w:rFonts w:hint="eastAsia" w:ascii="仿宋_GB2312" w:eastAsia="仿宋_GB2312"/>
          <w:sz w:val="32"/>
          <w:szCs w:val="32"/>
        </w:rPr>
        <w:t>年期末，部门开支财政拨款的公务用车保有量为</w:t>
      </w:r>
      <w:r>
        <w:rPr>
          <w:rFonts w:hint="eastAsia" w:ascii="仿宋_GB2312" w:eastAsia="仿宋_GB2312"/>
          <w:sz w:val="32"/>
          <w:szCs w:val="32"/>
          <w:lang w:val="en-US" w:eastAsia="zh-CN"/>
        </w:rPr>
        <w:t>0</w:t>
      </w:r>
      <w:r>
        <w:rPr>
          <w:rFonts w:hint="eastAsia" w:ascii="仿宋_GB2312" w:eastAsia="仿宋_GB2312"/>
          <w:sz w:val="32"/>
          <w:szCs w:val="32"/>
        </w:rPr>
        <w:t>辆。</w:t>
      </w:r>
    </w:p>
    <w:p>
      <w:pPr>
        <w:pStyle w:val="4"/>
        <w:numPr>
          <w:ilvl w:val="0"/>
          <w:numId w:val="3"/>
        </w:numPr>
        <w:shd w:val="clear" w:color="auto" w:fill="FFFFFF"/>
        <w:spacing w:before="0" w:beforeAutospacing="0" w:after="0" w:afterAutospacing="0"/>
        <w:ind w:left="161" w:leftChars="67" w:firstLine="480" w:firstLineChars="150"/>
        <w:rPr>
          <w:rFonts w:hint="eastAsia" w:ascii="仿宋_GB2312" w:eastAsia="仿宋_GB2312"/>
          <w:sz w:val="32"/>
          <w:szCs w:val="32"/>
        </w:rPr>
      </w:pPr>
      <w:r>
        <w:rPr>
          <w:rFonts w:hint="eastAsia" w:ascii="仿宋_GB2312" w:eastAsia="仿宋_GB2312"/>
          <w:sz w:val="32"/>
          <w:szCs w:val="32"/>
        </w:rPr>
        <w:t>公务接待费年初预算为</w:t>
      </w:r>
      <w:r>
        <w:rPr>
          <w:rFonts w:hint="eastAsia" w:ascii="仿宋_GB2312" w:eastAsia="仿宋_GB2312"/>
          <w:sz w:val="32"/>
          <w:szCs w:val="32"/>
          <w:lang w:val="en-US" w:eastAsia="zh-CN"/>
        </w:rPr>
        <w:t>2.48</w:t>
      </w:r>
      <w:r>
        <w:rPr>
          <w:rFonts w:hint="eastAsia" w:ascii="仿宋_GB2312" w:eastAsia="仿宋_GB2312"/>
          <w:sz w:val="32"/>
          <w:szCs w:val="32"/>
        </w:rPr>
        <w:t>万元，支出决算为</w:t>
      </w:r>
      <w:r>
        <w:rPr>
          <w:rFonts w:hint="eastAsia" w:ascii="仿宋_GB2312" w:eastAsia="仿宋_GB2312"/>
          <w:sz w:val="32"/>
          <w:szCs w:val="32"/>
          <w:lang w:val="en-US" w:eastAsia="zh-CN"/>
        </w:rPr>
        <w:t>2.48</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.00%。</w:t>
      </w:r>
      <w:r>
        <w:rPr>
          <w:rFonts w:hint="eastAsia" w:ascii="仿宋_GB2312" w:eastAsia="仿宋_GB2312"/>
          <w:sz w:val="32"/>
          <w:szCs w:val="32"/>
          <w:lang w:val="en-US" w:eastAsia="zh-CN"/>
        </w:rPr>
        <w:t>算数与年初预算数不存在差异</w:t>
      </w:r>
      <w:r>
        <w:rPr>
          <w:rFonts w:hint="eastAsia" w:ascii="仿宋_GB2312" w:eastAsia="仿宋_GB2312"/>
          <w:sz w:val="32"/>
          <w:szCs w:val="32"/>
        </w:rPr>
        <w:t>。其中：</w:t>
      </w:r>
    </w:p>
    <w:p>
      <w:pPr>
        <w:pStyle w:val="4"/>
        <w:numPr>
          <w:ilvl w:val="0"/>
          <w:numId w:val="0"/>
        </w:numPr>
        <w:shd w:val="clear" w:color="auto" w:fill="FFFFFF"/>
        <w:spacing w:before="0" w:beforeAutospacing="0" w:after="0" w:afterAutospacing="0"/>
        <w:ind w:leftChars="217" w:firstLine="321" w:firstLineChars="100"/>
        <w:rPr>
          <w:rFonts w:hint="eastAsia" w:ascii="仿宋_GB2312" w:eastAsia="仿宋_GB2312"/>
          <w:sz w:val="32"/>
          <w:szCs w:val="32"/>
        </w:rPr>
      </w:pPr>
      <w:r>
        <w:rPr>
          <w:rFonts w:hint="eastAsia" w:ascii="仿宋_GB2312" w:eastAsia="仿宋_GB2312"/>
          <w:b/>
          <w:bCs/>
          <w:sz w:val="32"/>
          <w:szCs w:val="32"/>
        </w:rPr>
        <w:t>外宾接待支出</w:t>
      </w:r>
      <w:r>
        <w:rPr>
          <w:rFonts w:hint="eastAsia" w:ascii="仿宋_GB2312" w:eastAsia="仿宋_GB2312"/>
          <w:b/>
          <w:bCs/>
          <w:sz w:val="32"/>
          <w:szCs w:val="32"/>
          <w:lang w:val="en-US" w:eastAsia="zh-CN"/>
        </w:rPr>
        <w:t>0.00</w:t>
      </w:r>
      <w:r>
        <w:rPr>
          <w:rFonts w:hint="eastAsia" w:ascii="仿宋_GB2312" w:eastAsia="仿宋_GB2312"/>
          <w:b/>
          <w:bCs/>
          <w:sz w:val="32"/>
          <w:szCs w:val="32"/>
        </w:rPr>
        <w:t>万元</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年共接待国（境）外来</w:t>
      </w:r>
    </w:p>
    <w:p>
      <w:pPr>
        <w:pStyle w:val="4"/>
        <w:numPr>
          <w:ilvl w:val="0"/>
          <w:numId w:val="0"/>
        </w:numPr>
        <w:shd w:val="clear" w:color="auto" w:fill="FFFFFF"/>
        <w:spacing w:before="0" w:beforeAutospacing="0" w:after="0" w:afterAutospacing="0"/>
        <w:rPr>
          <w:rFonts w:hint="eastAsia" w:ascii="仿宋_GB2312" w:eastAsia="仿宋_GB2312"/>
          <w:sz w:val="32"/>
          <w:szCs w:val="32"/>
        </w:rPr>
      </w:pPr>
      <w:r>
        <w:rPr>
          <w:rFonts w:hint="eastAsia" w:ascii="仿宋_GB2312" w:eastAsia="仿宋_GB2312"/>
          <w:sz w:val="32"/>
          <w:szCs w:val="32"/>
        </w:rPr>
        <w:t>访团组</w:t>
      </w:r>
      <w:r>
        <w:rPr>
          <w:rFonts w:hint="eastAsia" w:ascii="仿宋_GB2312" w:eastAsia="仿宋_GB2312"/>
          <w:sz w:val="32"/>
          <w:szCs w:val="32"/>
          <w:lang w:val="en-US" w:eastAsia="zh-CN"/>
        </w:rPr>
        <w:t>0</w:t>
      </w:r>
      <w:r>
        <w:rPr>
          <w:rFonts w:hint="eastAsia" w:ascii="仿宋_GB2312" w:eastAsia="仿宋_GB2312"/>
          <w:sz w:val="32"/>
          <w:szCs w:val="32"/>
        </w:rPr>
        <w:t>个、来访外宾</w:t>
      </w:r>
      <w:r>
        <w:rPr>
          <w:rFonts w:hint="eastAsia" w:ascii="仿宋_GB2312" w:eastAsia="仿宋_GB2312"/>
          <w:sz w:val="32"/>
          <w:szCs w:val="32"/>
          <w:lang w:val="en-US" w:eastAsia="zh-CN"/>
        </w:rPr>
        <w:t>0</w:t>
      </w:r>
      <w:r>
        <w:rPr>
          <w:rFonts w:hint="eastAsia" w:ascii="仿宋_GB2312" w:eastAsia="仿宋_GB2312"/>
          <w:sz w:val="32"/>
          <w:szCs w:val="32"/>
        </w:rPr>
        <w:t>人次（不包括陪同人员）。</w:t>
      </w:r>
    </w:p>
    <w:p>
      <w:pPr>
        <w:pStyle w:val="4"/>
        <w:numPr>
          <w:ilvl w:val="0"/>
          <w:numId w:val="0"/>
        </w:numPr>
        <w:shd w:val="clear" w:color="auto" w:fill="FFFFFF"/>
        <w:spacing w:before="0" w:beforeAutospacing="0" w:after="0" w:afterAutospacing="0"/>
        <w:ind w:firstLine="643" w:firstLineChars="200"/>
        <w:rPr>
          <w:rFonts w:ascii="仿宋_GB2312" w:eastAsia="仿宋_GB2312"/>
          <w:sz w:val="32"/>
          <w:szCs w:val="32"/>
        </w:rPr>
      </w:pPr>
      <w:r>
        <w:rPr>
          <w:rFonts w:hint="eastAsia" w:ascii="仿宋_GB2312" w:eastAsia="仿宋_GB2312"/>
          <w:b/>
          <w:bCs/>
          <w:sz w:val="32"/>
          <w:szCs w:val="32"/>
        </w:rPr>
        <w:t>其他国内公务接待支出</w:t>
      </w:r>
      <w:r>
        <w:rPr>
          <w:rFonts w:hint="eastAsia" w:ascii="仿宋_GB2312" w:eastAsia="仿宋_GB2312"/>
          <w:b/>
          <w:bCs/>
          <w:sz w:val="32"/>
          <w:szCs w:val="32"/>
          <w:lang w:val="en-US" w:eastAsia="zh-CN"/>
        </w:rPr>
        <w:t>2.48</w:t>
      </w:r>
      <w:r>
        <w:rPr>
          <w:rFonts w:hint="eastAsia" w:ascii="仿宋_GB2312" w:eastAsia="仿宋_GB2312"/>
          <w:b/>
          <w:bCs/>
          <w:sz w:val="32"/>
          <w:szCs w:val="32"/>
        </w:rPr>
        <w:t>万元</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年共接待国内来访团组</w:t>
      </w:r>
      <w:r>
        <w:rPr>
          <w:rFonts w:hint="eastAsia" w:ascii="仿宋_GB2312" w:eastAsia="仿宋_GB2312"/>
          <w:sz w:val="32"/>
          <w:szCs w:val="32"/>
          <w:lang w:val="en-US" w:eastAsia="zh-CN"/>
        </w:rPr>
        <w:t>20</w:t>
      </w:r>
      <w:r>
        <w:rPr>
          <w:rFonts w:hint="eastAsia" w:ascii="仿宋_GB2312" w:eastAsia="仿宋_GB2312"/>
          <w:sz w:val="32"/>
          <w:szCs w:val="32"/>
        </w:rPr>
        <w:t>个、来宾</w:t>
      </w:r>
      <w:r>
        <w:rPr>
          <w:rFonts w:hint="eastAsia" w:ascii="仿宋_GB2312" w:eastAsia="仿宋_GB2312"/>
          <w:sz w:val="32"/>
          <w:szCs w:val="32"/>
          <w:lang w:val="en-US" w:eastAsia="zh-CN"/>
        </w:rPr>
        <w:t>400</w:t>
      </w:r>
      <w:r>
        <w:rPr>
          <w:rFonts w:hint="eastAsia" w:ascii="仿宋_GB2312" w:eastAsia="仿宋_GB2312"/>
          <w:sz w:val="32"/>
          <w:szCs w:val="32"/>
        </w:rPr>
        <w:t>人次（不包括陪同人员）。</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2021年，我单位纳入预算绩效管理的支出总额为1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894.68万元，其中人员经费支出1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425.14万元，公用经费支出469.54万元；支出项目共0个，支出金额0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万元。其中，进行项目绩效自评0个，自评金额0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万元；纳入重点绩效评价0个，评价金额0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w:t>
      </w:r>
      <w:bookmarkStart w:id="0" w:name="_GoBack"/>
      <w:bookmarkEnd w:id="0"/>
    </w:p>
    <w:p>
      <w:pPr>
        <w:widowControl/>
        <w:spacing w:line="590" w:lineRule="exact"/>
        <w:ind w:firstLine="643" w:firstLineChars="200"/>
        <w:outlineLvl w:val="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积极落实区委，区政府文件精神，实施绩效信息公开，及时反映部门履职资金的整体绩效和专项资金的政策绩效，进一步完善了绩效评价质量管理机制，督促绩效问题的整改。</w:t>
      </w:r>
    </w:p>
    <w:p>
      <w:pPr>
        <w:widowControl/>
        <w:numPr>
          <w:ilvl w:val="0"/>
          <w:numId w:val="4"/>
        </w:numPr>
        <w:spacing w:line="590" w:lineRule="exact"/>
        <w:ind w:firstLine="643" w:firstLineChars="200"/>
        <w:outlineLvl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重点绩效评价结果。</w:t>
      </w:r>
    </w:p>
    <w:p>
      <w:pPr>
        <w:widowControl/>
        <w:numPr>
          <w:ilvl w:val="0"/>
          <w:numId w:val="0"/>
        </w:numPr>
        <w:spacing w:line="590" w:lineRule="exact"/>
        <w:outlineLvl w:val="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2021年度我单位无重点绩效评价。</w:t>
      </w:r>
      <w:r>
        <w:rPr>
          <w:rFonts w:hint="eastAsia" w:ascii="仿宋_GB2312" w:hAnsi="仿宋_GB2312" w:eastAsia="仿宋_GB2312" w:cs="仿宋_GB2312"/>
          <w:b/>
          <w:bCs/>
          <w:sz w:val="32"/>
          <w:szCs w:val="32"/>
          <w:lang w:val="en-US" w:eastAsia="zh-CN"/>
        </w:rPr>
        <w:t xml:space="preserve"> </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没有政府性基金预算财政拨款</w:t>
      </w:r>
      <w:r>
        <w:rPr>
          <w:rFonts w:hint="eastAsia" w:ascii="仿宋_GB2312" w:hAnsi="仿宋_GB2312" w:eastAsia="仿宋_GB2312" w:cs="仿宋_GB2312"/>
          <w:sz w:val="32"/>
          <w:szCs w:val="32"/>
          <w:lang w:val="en-US" w:eastAsia="zh-CN"/>
        </w:rPr>
        <w:t>收入，也没有</w:t>
      </w:r>
      <w:r>
        <w:rPr>
          <w:rFonts w:hint="eastAsia" w:ascii="仿宋_GB2312" w:hAnsi="仿宋_GB2312" w:eastAsia="仿宋_GB2312" w:cs="仿宋_GB2312"/>
          <w:sz w:val="32"/>
          <w:szCs w:val="32"/>
        </w:rPr>
        <w:t>政府性基金预算财政拨款</w:t>
      </w:r>
      <w:r>
        <w:rPr>
          <w:rFonts w:hint="eastAsia" w:ascii="仿宋_GB2312" w:hAnsi="仿宋_GB2312" w:eastAsia="仿宋_GB2312" w:cs="仿宋_GB2312"/>
          <w:sz w:val="32"/>
          <w:szCs w:val="32"/>
          <w:lang w:val="en-US" w:eastAsia="zh-CN"/>
        </w:rPr>
        <w:t>支出。</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十、机关运行经费支出情况说明</w:t>
      </w:r>
    </w:p>
    <w:p>
      <w:pPr>
        <w:pStyle w:val="4"/>
        <w:shd w:val="clear" w:color="auto" w:fill="FFFFFF"/>
        <w:spacing w:before="0" w:beforeAutospacing="0" w:after="0" w:afterAutospacing="0"/>
        <w:ind w:left="161" w:leftChars="67" w:firstLine="480" w:firstLineChars="15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年度机关运行经费初预算为</w:t>
      </w:r>
      <w:r>
        <w:rPr>
          <w:rFonts w:hint="eastAsia" w:ascii="仿宋_GB2312" w:eastAsia="仿宋_GB2312"/>
          <w:sz w:val="32"/>
          <w:szCs w:val="32"/>
          <w:lang w:val="en-US" w:eastAsia="zh-CN"/>
        </w:rPr>
        <w:t>467.08</w:t>
      </w:r>
      <w:r>
        <w:rPr>
          <w:rFonts w:hint="eastAsia" w:ascii="仿宋_GB2312" w:eastAsia="仿宋_GB2312"/>
          <w:sz w:val="32"/>
          <w:szCs w:val="32"/>
        </w:rPr>
        <w:t>万元，支出决算为</w:t>
      </w:r>
      <w:r>
        <w:rPr>
          <w:rFonts w:hint="eastAsia" w:ascii="仿宋_GB2312" w:eastAsia="仿宋_GB2312"/>
          <w:sz w:val="32"/>
          <w:szCs w:val="32"/>
          <w:lang w:val="en-US" w:eastAsia="zh-CN"/>
        </w:rPr>
        <w:t>467.08</w:t>
      </w:r>
      <w:r>
        <w:rPr>
          <w:rFonts w:hint="eastAsia" w:ascii="仿宋_GB2312" w:eastAsia="仿宋_GB2312"/>
          <w:sz w:val="32"/>
          <w:szCs w:val="32"/>
        </w:rPr>
        <w:t>万元，完成年初预算的</w:t>
      </w:r>
      <w:r>
        <w:rPr>
          <w:rFonts w:hint="eastAsia" w:ascii="仿宋_GB2312" w:eastAsia="仿宋_GB2312"/>
          <w:sz w:val="32"/>
          <w:szCs w:val="32"/>
          <w:lang w:val="en-US" w:eastAsia="zh-CN"/>
        </w:rPr>
        <w:t>100.00</w:t>
      </w:r>
      <w:r>
        <w:rPr>
          <w:rFonts w:hint="eastAsia" w:ascii="仿宋_GB2312" w:eastAsia="仿宋_GB2312"/>
          <w:sz w:val="32"/>
          <w:szCs w:val="32"/>
        </w:rPr>
        <w:t>%。</w:t>
      </w:r>
      <w:r>
        <w:rPr>
          <w:rFonts w:hint="eastAsia" w:ascii="仿宋_GB2312" w:eastAsia="仿宋_GB2312"/>
          <w:sz w:val="32"/>
          <w:szCs w:val="32"/>
          <w:lang w:val="en-US" w:eastAsia="zh-CN"/>
        </w:rPr>
        <w:t>决算数与年初预算数不存在差异。</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十一、政府采购支出情况说明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年度政府采购支出总额</w:t>
      </w:r>
      <w:r>
        <w:rPr>
          <w:rFonts w:hint="eastAsia" w:ascii="仿宋_GB2312" w:eastAsia="仿宋_GB2312"/>
          <w:sz w:val="32"/>
          <w:szCs w:val="32"/>
          <w:lang w:val="en-US" w:eastAsia="zh-CN"/>
        </w:rPr>
        <w:t>0.00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0.00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0.00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0.00</w:t>
      </w:r>
      <w:r>
        <w:rPr>
          <w:rFonts w:hint="eastAsia" w:ascii="仿宋_GB2312" w:eastAsia="仿宋_GB2312"/>
          <w:sz w:val="32"/>
          <w:szCs w:val="32"/>
        </w:rPr>
        <w:t>%。</w:t>
      </w:r>
    </w:p>
    <w:p>
      <w:pPr>
        <w:pStyle w:val="4"/>
        <w:shd w:val="clear" w:color="auto" w:fill="FFFFFF"/>
        <w:spacing w:before="0" w:beforeAutospacing="0" w:after="0" w:afterAutospacing="0"/>
        <w:ind w:left="161" w:leftChars="67" w:firstLine="482" w:firstLineChars="150"/>
        <w:rPr>
          <w:rFonts w:ascii="仿宋_GB2312" w:eastAsia="仿宋_GB2312"/>
          <w:b/>
          <w:bCs/>
          <w:sz w:val="32"/>
          <w:szCs w:val="32"/>
        </w:rPr>
      </w:pPr>
      <w:r>
        <w:rPr>
          <w:rFonts w:hint="eastAsia" w:ascii="仿宋_GB2312" w:eastAsia="仿宋_GB2312"/>
          <w:b/>
          <w:bCs/>
          <w:sz w:val="32"/>
          <w:szCs w:val="32"/>
        </w:rPr>
        <w:t>十二、国有资产占用情况说明</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年期末，我单位共有车辆</w:t>
      </w:r>
      <w:r>
        <w:rPr>
          <w:rFonts w:hint="eastAsia" w:ascii="仿宋_GB2312" w:eastAsia="仿宋_GB2312"/>
          <w:sz w:val="32"/>
          <w:szCs w:val="32"/>
          <w:lang w:val="en-US" w:eastAsia="zh-CN"/>
        </w:rPr>
        <w:t>0</w:t>
      </w:r>
      <w:r>
        <w:rPr>
          <w:rFonts w:hint="eastAsia" w:ascii="仿宋_GB2312" w:eastAsia="仿宋_GB2312"/>
          <w:sz w:val="32"/>
          <w:szCs w:val="32"/>
        </w:rPr>
        <w:t>辆，其中：省级领导干部用车0辆、主要领导干部用车 0辆、机要通信用车0辆、应急保障车0辆、执法执勤用车 0辆、特种专业技术用车0辆、离退休干部用车0辆、其他用 车</w:t>
      </w:r>
      <w:r>
        <w:rPr>
          <w:rFonts w:hint="eastAsia" w:ascii="仿宋_GB2312" w:eastAsia="仿宋_GB2312"/>
          <w:sz w:val="32"/>
          <w:szCs w:val="32"/>
          <w:lang w:val="en-US" w:eastAsia="zh-CN"/>
        </w:rPr>
        <w:t>0</w:t>
      </w:r>
      <w:r>
        <w:rPr>
          <w:rFonts w:hint="eastAsia" w:ascii="仿宋_GB2312" w:eastAsia="仿宋_GB2312"/>
          <w:sz w:val="32"/>
          <w:szCs w:val="32"/>
        </w:rPr>
        <w:t>辆；单位价值50万元以上通用设备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台（套），单位价值100万元以上专用设备 0.台（套）。</w:t>
      </w:r>
    </w:p>
    <w:p>
      <w:pPr>
        <w:pStyle w:val="4"/>
        <w:shd w:val="clear" w:color="auto" w:fill="FFFFFF"/>
        <w:spacing w:before="0" w:beforeAutospacing="0" w:after="0" w:afterAutospacing="0"/>
        <w:ind w:left="161" w:leftChars="67" w:firstLine="480" w:firstLineChars="150"/>
        <w:rPr>
          <w:rFonts w:ascii="仿宋_GB2312" w:eastAsia="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spacing w:line="590" w:lineRule="exact"/>
        <w:rPr>
          <w:rFonts w:hint="eastAsia" w:ascii="仿宋_GB2312" w:hAnsi="仿宋_GB2312" w:eastAsia="仿宋_GB2312" w:cs="仿宋_GB2312"/>
          <w:sz w:val="32"/>
          <w:szCs w:val="32"/>
        </w:rPr>
      </w:pPr>
    </w:p>
    <w:p>
      <w:pPr>
        <w:numPr>
          <w:ilvl w:val="0"/>
          <w:numId w:val="5"/>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年末结余：本年度或以前年度预算安排，已执行完毕或因客观条件发生变化无法按原预算安排实施，不需要再使用或无法按原预算安排继续使用的资金。</w:t>
      </w: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numPr>
          <w:ilvl w:val="0"/>
          <w:numId w:val="0"/>
        </w:numPr>
        <w:spacing w:line="590" w:lineRule="exact"/>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sectPr>
          <w:pgSz w:w="11907" w:h="16840"/>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rPr>
        <w:t>信阳市平桥区人力资源和社会保障局202</w:t>
      </w:r>
      <w:r>
        <w:rPr>
          <w:rFonts w:hint="eastAsia" w:ascii="黑体" w:hAnsi="黑体" w:eastAsia="黑体" w:cs="黑体"/>
          <w:sz w:val="44"/>
          <w:szCs w:val="44"/>
          <w:lang w:val="en-US" w:eastAsia="zh-CN"/>
        </w:rPr>
        <w:t>1</w:t>
      </w:r>
      <w:r>
        <w:rPr>
          <w:rFonts w:hint="eastAsia" w:ascii="黑体" w:hAnsi="黑体" w:eastAsia="黑体" w:cs="黑体"/>
          <w:sz w:val="44"/>
          <w:szCs w:val="44"/>
        </w:rPr>
        <w:t>年度部门决算公开表</w:t>
      </w:r>
    </w:p>
    <w:p>
      <w:pPr>
        <w:rPr>
          <w:rFonts w:ascii="黑体" w:eastAsia="黑体"/>
          <w:color w:val="000000"/>
          <w:sz w:val="28"/>
          <w:szCs w:val="28"/>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560" w:firstLineChars="200"/>
        <w:rPr>
          <w:rFonts w:hint="eastAsia"/>
          <w:sz w:val="28"/>
          <w:szCs w:val="28"/>
        </w:rPr>
      </w:pPr>
      <w:r>
        <w:rPr>
          <w:rFonts w:hint="eastAsia"/>
          <w:sz w:val="28"/>
          <w:szCs w:val="28"/>
        </w:rPr>
        <w:t>一、收入支出决算总表</w:t>
      </w:r>
    </w:p>
    <w:tbl>
      <w:tblPr>
        <w:tblStyle w:val="5"/>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05"/>
        <w:gridCol w:w="1224"/>
        <w:gridCol w:w="2268"/>
        <w:gridCol w:w="3192"/>
        <w:gridCol w:w="1332"/>
        <w:gridCol w:w="2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3985" w:type="dxa"/>
            <w:gridSpan w:val="6"/>
            <w:tcBorders>
              <w:right w:val="single" w:color="808080" w:sz="4" w:space="0"/>
            </w:tcBorders>
            <w:shd w:val="clear" w:color="auto" w:fill="FFFFFF"/>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shd w:val="clear" w:color="auto" w:fill="FFFFFF"/>
            <w:vAlign w:val="center"/>
          </w:tcPr>
          <w:p>
            <w:pPr>
              <w:jc w:val="left"/>
              <w:rPr>
                <w:rFonts w:hint="eastAsia" w:ascii="宋体" w:hAnsi="宋体" w:eastAsia="宋体" w:cs="宋体"/>
                <w:i w:val="0"/>
                <w:color w:val="000000"/>
                <w:sz w:val="18"/>
                <w:szCs w:val="18"/>
              </w:rPr>
            </w:pPr>
          </w:p>
        </w:tc>
        <w:tc>
          <w:tcPr>
            <w:tcW w:w="1224" w:type="dxa"/>
            <w:shd w:val="clear" w:color="auto" w:fill="FFFFFF"/>
            <w:vAlign w:val="center"/>
          </w:tcPr>
          <w:p>
            <w:pPr>
              <w:jc w:val="left"/>
              <w:rPr>
                <w:rFonts w:hint="eastAsia" w:ascii="宋体" w:hAnsi="宋体" w:eastAsia="宋体" w:cs="宋体"/>
                <w:i w:val="0"/>
                <w:color w:val="000000"/>
                <w:sz w:val="18"/>
                <w:szCs w:val="18"/>
              </w:rPr>
            </w:pPr>
          </w:p>
        </w:tc>
        <w:tc>
          <w:tcPr>
            <w:tcW w:w="2268" w:type="dxa"/>
            <w:shd w:val="clear" w:color="auto" w:fill="FFFFFF"/>
            <w:vAlign w:val="center"/>
          </w:tcPr>
          <w:p>
            <w:pPr>
              <w:jc w:val="left"/>
              <w:rPr>
                <w:rFonts w:hint="eastAsia" w:ascii="宋体" w:hAnsi="宋体" w:eastAsia="宋体" w:cs="宋体"/>
                <w:i w:val="0"/>
                <w:color w:val="000000"/>
                <w:sz w:val="18"/>
                <w:szCs w:val="18"/>
              </w:rPr>
            </w:pPr>
          </w:p>
        </w:tc>
        <w:tc>
          <w:tcPr>
            <w:tcW w:w="3192" w:type="dxa"/>
            <w:shd w:val="clear" w:color="auto" w:fill="FFFFFF"/>
            <w:vAlign w:val="center"/>
          </w:tcPr>
          <w:p>
            <w:pPr>
              <w:jc w:val="left"/>
              <w:rPr>
                <w:rFonts w:hint="eastAsia" w:ascii="宋体" w:hAnsi="宋体" w:eastAsia="宋体" w:cs="宋体"/>
                <w:i w:val="0"/>
                <w:color w:val="000000"/>
                <w:sz w:val="18"/>
                <w:szCs w:val="18"/>
              </w:rPr>
            </w:pPr>
          </w:p>
        </w:tc>
        <w:tc>
          <w:tcPr>
            <w:tcW w:w="3696" w:type="dxa"/>
            <w:gridSpan w:val="2"/>
            <w:tcBorders>
              <w:right w:val="single" w:color="808080" w:sz="4" w:space="0"/>
            </w:tcBorders>
            <w:shd w:val="clear" w:color="auto" w:fill="FFFFFF"/>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829" w:type="dxa"/>
            <w:gridSpan w:val="2"/>
            <w:tcBorders>
              <w:bottom w:val="single" w:color="808080" w:sz="4" w:space="0"/>
            </w:tcBorders>
            <w:shd w:val="clear" w:color="auto" w:fill="FFFFFF"/>
            <w:vAlign w:val="top"/>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2268" w:type="dxa"/>
            <w:tcBorders>
              <w:bottom w:val="single" w:color="808080" w:sz="4" w:space="0"/>
            </w:tcBorders>
            <w:shd w:val="clear" w:color="auto" w:fill="FFFFFF"/>
            <w:vAlign w:val="center"/>
          </w:tcPr>
          <w:p>
            <w:pPr>
              <w:widowControl/>
              <w:jc w:val="center"/>
              <w:textAlignment w:val="center"/>
              <w:rPr>
                <w:rFonts w:hint="eastAsia" w:ascii="宋体" w:hAnsi="宋体" w:eastAsia="宋体" w:cs="宋体"/>
                <w:i w:val="0"/>
                <w:color w:val="000000"/>
                <w:sz w:val="24"/>
                <w:szCs w:val="24"/>
              </w:rPr>
            </w:pPr>
          </w:p>
        </w:tc>
        <w:tc>
          <w:tcPr>
            <w:tcW w:w="319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4"/>
                <w:szCs w:val="24"/>
                <w:lang w:val="en-US" w:eastAsia="zh-CN" w:bidi="ar-SA"/>
              </w:rPr>
              <w:t>2021年度</w:t>
            </w:r>
          </w:p>
        </w:tc>
        <w:tc>
          <w:tcPr>
            <w:tcW w:w="3696" w:type="dxa"/>
            <w:gridSpan w:val="2"/>
            <w:tcBorders>
              <w:bottom w:val="single" w:color="808080" w:sz="4" w:space="0"/>
              <w:right w:val="single" w:color="808080" w:sz="4" w:space="0"/>
            </w:tcBorders>
            <w:shd w:val="clear" w:color="auto" w:fill="FFFFFF"/>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97" w:type="dxa"/>
            <w:gridSpan w:val="3"/>
            <w:tcBorders>
              <w:left w:val="single" w:color="000000" w:sz="4" w:space="0"/>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收入</w:t>
            </w:r>
          </w:p>
        </w:tc>
        <w:tc>
          <w:tcPr>
            <w:tcW w:w="6888" w:type="dxa"/>
            <w:gridSpan w:val="3"/>
            <w:tcBorders>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行次</w:t>
            </w:r>
          </w:p>
        </w:tc>
        <w:tc>
          <w:tcPr>
            <w:tcW w:w="2268"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金额</w:t>
            </w:r>
          </w:p>
        </w:tc>
        <w:tc>
          <w:tcPr>
            <w:tcW w:w="3192" w:type="dxa"/>
            <w:tcBorders>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行次</w:t>
            </w:r>
          </w:p>
        </w:tc>
        <w:tc>
          <w:tcPr>
            <w:tcW w:w="236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1224"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rPr>
            </w:pPr>
          </w:p>
        </w:tc>
        <w:tc>
          <w:tcPr>
            <w:tcW w:w="2268"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3192" w:type="dxa"/>
            <w:tcBorders>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1332"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rPr>
            </w:pPr>
          </w:p>
        </w:tc>
        <w:tc>
          <w:tcPr>
            <w:tcW w:w="236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一、一般公共预算财政拨款收入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1,346.39</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一、一般公共服务支出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32</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二、政府性基金预算财政拨款收入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二、外交支出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33</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三、国有资本经营预算财政拨款收入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三、国防支出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34</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四、上级补助收入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四、公共安全支出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35</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五、事业收入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五、教育支出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36</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六、经营收入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六、科学技术支出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37</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七、附属单位上缴收入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7</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七、文化旅游体育与传媒支出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38</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八、其他收入</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8</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八、社会保障和就业支出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9</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九、卫生健康支出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40</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10</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十、节能环保支出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41</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11</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十一、城乡社区支出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42</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12</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十二、农林水支出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43</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13</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十三、交通运输支出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44</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14</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十四、资源勘探工业信息等支出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45</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15</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十五、商业服务业等支出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46</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16</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十六、金融支出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47</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17</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十七、援助其他地区支出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48</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18</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十八、自然资源海洋气象等支出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49</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19</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十九、住房保障支出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50</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20</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二十、粮油物资储备支出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51</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21</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二十一、国有资本经营预算支出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52</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22</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二十二、灾害防治及应急管理支出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53</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23</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二十三、其他支出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54</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24</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二十四、债务还本支出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55</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25</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二十五、债务付息支出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56</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26</w:t>
            </w:r>
          </w:p>
        </w:tc>
        <w:tc>
          <w:tcPr>
            <w:tcW w:w="2268"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二十六、抗疫特别国债安排的支出</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57</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本年收入合计</w:t>
            </w:r>
          </w:p>
        </w:tc>
        <w:tc>
          <w:tcPr>
            <w:tcW w:w="1224"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27</w:t>
            </w:r>
          </w:p>
        </w:tc>
        <w:tc>
          <w:tcPr>
            <w:tcW w:w="2268" w:type="dxa"/>
            <w:tcBorders>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1,346.39</w:t>
            </w:r>
          </w:p>
        </w:tc>
        <w:tc>
          <w:tcPr>
            <w:tcW w:w="319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本年支出合计</w:t>
            </w:r>
          </w:p>
        </w:tc>
        <w:tc>
          <w:tcPr>
            <w:tcW w:w="1332" w:type="dxa"/>
            <w:tcBorders>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58</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cs="宋体"/>
                <w:i w:val="0"/>
                <w:color w:val="000000"/>
                <w:kern w:val="0"/>
                <w:sz w:val="20"/>
                <w:szCs w:val="20"/>
                <w:lang w:val="en-US" w:eastAsia="zh-CN" w:bidi="ar-SA"/>
              </w:rPr>
              <w:t>1,894.68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使用非财政拨款结余</w:t>
            </w:r>
          </w:p>
        </w:tc>
        <w:tc>
          <w:tcPr>
            <w:tcW w:w="12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31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结余分配</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59</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年初结转和结余</w:t>
            </w:r>
          </w:p>
        </w:tc>
        <w:tc>
          <w:tcPr>
            <w:tcW w:w="12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548.29</w:t>
            </w:r>
          </w:p>
        </w:tc>
        <w:tc>
          <w:tcPr>
            <w:tcW w:w="31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年末结转和结余</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60</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c>
          <w:tcPr>
            <w:tcW w:w="31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61</w:t>
            </w:r>
          </w:p>
        </w:tc>
        <w:tc>
          <w:tcPr>
            <w:tcW w:w="2364" w:type="dxa"/>
            <w:tcBorders>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总计</w:t>
            </w:r>
          </w:p>
        </w:tc>
        <w:tc>
          <w:tcPr>
            <w:tcW w:w="122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319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both"/>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总计</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62</w:t>
            </w:r>
          </w:p>
        </w:tc>
        <w:tc>
          <w:tcPr>
            <w:tcW w:w="2364" w:type="dxa"/>
            <w:tcBorders>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3985" w:type="dxa"/>
            <w:gridSpan w:val="6"/>
            <w:shd w:val="clear" w:color="auto" w:fill="FFFFFF"/>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注：本表反映部门本年度的总收支和年末结转结余情况。本套报表金额单位转换时可能存在尾数误差。</w:t>
            </w:r>
          </w:p>
        </w:tc>
      </w:tr>
    </w:tbl>
    <w:p>
      <w:pPr>
        <w:ind w:firstLine="640" w:firstLineChars="200"/>
        <w:rPr>
          <w:sz w:val="32"/>
          <w:szCs w:val="32"/>
        </w:rPr>
      </w:pPr>
    </w:p>
    <w:p>
      <w:pPr>
        <w:ind w:firstLine="560" w:firstLineChars="200"/>
        <w:rPr>
          <w:rFonts w:hint="eastAsia"/>
          <w:sz w:val="28"/>
          <w:szCs w:val="28"/>
        </w:rPr>
      </w:pPr>
      <w:r>
        <w:rPr>
          <w:rFonts w:hint="eastAsia"/>
          <w:sz w:val="28"/>
          <w:szCs w:val="28"/>
        </w:rPr>
        <w:t>二、收入决算表</w:t>
      </w:r>
    </w:p>
    <w:tbl>
      <w:tblPr>
        <w:tblStyle w:val="5"/>
        <w:tblW w:w="140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505"/>
        <w:gridCol w:w="920"/>
        <w:gridCol w:w="2092"/>
        <w:gridCol w:w="1548"/>
        <w:gridCol w:w="1884"/>
        <w:gridCol w:w="1068"/>
        <w:gridCol w:w="1212"/>
        <w:gridCol w:w="1284"/>
        <w:gridCol w:w="1416"/>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4009" w:type="dxa"/>
            <w:gridSpan w:val="11"/>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72" w:type="dxa"/>
            <w:shd w:val="clear" w:color="auto" w:fill="auto"/>
            <w:vAlign w:val="center"/>
          </w:tcPr>
          <w:p>
            <w:pPr>
              <w:jc w:val="left"/>
              <w:rPr>
                <w:rFonts w:hint="eastAsia" w:ascii="宋体" w:hAnsi="宋体" w:eastAsia="宋体" w:cs="宋体"/>
                <w:i w:val="0"/>
                <w:color w:val="000000"/>
                <w:sz w:val="18"/>
                <w:szCs w:val="18"/>
              </w:rPr>
            </w:pPr>
          </w:p>
        </w:tc>
        <w:tc>
          <w:tcPr>
            <w:tcW w:w="505" w:type="dxa"/>
            <w:shd w:val="clear" w:color="auto" w:fill="auto"/>
            <w:vAlign w:val="center"/>
          </w:tcPr>
          <w:p>
            <w:pPr>
              <w:jc w:val="left"/>
              <w:rPr>
                <w:rFonts w:hint="eastAsia" w:ascii="宋体" w:hAnsi="宋体" w:eastAsia="宋体" w:cs="宋体"/>
                <w:i w:val="0"/>
                <w:color w:val="000000"/>
                <w:sz w:val="18"/>
                <w:szCs w:val="18"/>
              </w:rPr>
            </w:pPr>
          </w:p>
        </w:tc>
        <w:tc>
          <w:tcPr>
            <w:tcW w:w="920" w:type="dxa"/>
            <w:shd w:val="clear" w:color="auto" w:fill="auto"/>
            <w:vAlign w:val="center"/>
          </w:tcPr>
          <w:p>
            <w:pPr>
              <w:jc w:val="left"/>
              <w:rPr>
                <w:rFonts w:hint="eastAsia" w:ascii="宋体" w:hAnsi="宋体" w:eastAsia="宋体" w:cs="宋体"/>
                <w:i w:val="0"/>
                <w:color w:val="000000"/>
                <w:sz w:val="18"/>
                <w:szCs w:val="18"/>
              </w:rPr>
            </w:pPr>
          </w:p>
        </w:tc>
        <w:tc>
          <w:tcPr>
            <w:tcW w:w="2092" w:type="dxa"/>
            <w:shd w:val="clear" w:color="auto" w:fill="auto"/>
            <w:vAlign w:val="center"/>
          </w:tcPr>
          <w:p>
            <w:pPr>
              <w:jc w:val="left"/>
              <w:rPr>
                <w:rFonts w:hint="eastAsia" w:ascii="宋体" w:hAnsi="宋体" w:eastAsia="宋体" w:cs="宋体"/>
                <w:i w:val="0"/>
                <w:color w:val="000000"/>
                <w:sz w:val="18"/>
                <w:szCs w:val="18"/>
              </w:rPr>
            </w:pPr>
          </w:p>
        </w:tc>
        <w:tc>
          <w:tcPr>
            <w:tcW w:w="1548" w:type="dxa"/>
            <w:shd w:val="clear" w:color="auto" w:fill="auto"/>
            <w:vAlign w:val="center"/>
          </w:tcPr>
          <w:p>
            <w:pPr>
              <w:jc w:val="left"/>
              <w:rPr>
                <w:rFonts w:hint="eastAsia" w:ascii="宋体" w:hAnsi="宋体" w:eastAsia="宋体" w:cs="宋体"/>
                <w:i w:val="0"/>
                <w:color w:val="000000"/>
                <w:sz w:val="18"/>
                <w:szCs w:val="18"/>
              </w:rPr>
            </w:pPr>
          </w:p>
        </w:tc>
        <w:tc>
          <w:tcPr>
            <w:tcW w:w="1884" w:type="dxa"/>
            <w:shd w:val="clear" w:color="auto" w:fill="auto"/>
            <w:vAlign w:val="center"/>
          </w:tcPr>
          <w:p>
            <w:pPr>
              <w:jc w:val="left"/>
              <w:rPr>
                <w:rFonts w:hint="eastAsia" w:ascii="宋体" w:hAnsi="宋体" w:eastAsia="宋体" w:cs="宋体"/>
                <w:i w:val="0"/>
                <w:color w:val="000000"/>
                <w:sz w:val="18"/>
                <w:szCs w:val="18"/>
              </w:rPr>
            </w:pPr>
          </w:p>
        </w:tc>
        <w:tc>
          <w:tcPr>
            <w:tcW w:w="1068" w:type="dxa"/>
            <w:shd w:val="clear" w:color="auto" w:fill="auto"/>
            <w:vAlign w:val="center"/>
          </w:tcPr>
          <w:p>
            <w:pPr>
              <w:jc w:val="left"/>
              <w:rPr>
                <w:rFonts w:hint="eastAsia" w:ascii="宋体" w:hAnsi="宋体" w:eastAsia="宋体" w:cs="宋体"/>
                <w:i w:val="0"/>
                <w:color w:val="000000"/>
                <w:sz w:val="18"/>
                <w:szCs w:val="18"/>
              </w:rPr>
            </w:pPr>
          </w:p>
        </w:tc>
        <w:tc>
          <w:tcPr>
            <w:tcW w:w="1212" w:type="dxa"/>
            <w:shd w:val="clear" w:color="auto" w:fill="auto"/>
            <w:vAlign w:val="center"/>
          </w:tcPr>
          <w:p>
            <w:pPr>
              <w:jc w:val="left"/>
              <w:rPr>
                <w:rFonts w:hint="eastAsia" w:ascii="宋体" w:hAnsi="宋体" w:eastAsia="宋体" w:cs="宋体"/>
                <w:i w:val="0"/>
                <w:color w:val="000000"/>
                <w:sz w:val="18"/>
                <w:szCs w:val="18"/>
              </w:rPr>
            </w:pPr>
          </w:p>
        </w:tc>
        <w:tc>
          <w:tcPr>
            <w:tcW w:w="1284" w:type="dxa"/>
            <w:shd w:val="clear" w:color="auto" w:fill="auto"/>
            <w:vAlign w:val="center"/>
          </w:tcPr>
          <w:p>
            <w:pPr>
              <w:jc w:val="left"/>
              <w:rPr>
                <w:rFonts w:hint="eastAsia" w:ascii="宋体" w:hAnsi="宋体" w:eastAsia="宋体" w:cs="宋体"/>
                <w:i w:val="0"/>
                <w:color w:val="000000"/>
                <w:sz w:val="18"/>
                <w:szCs w:val="18"/>
              </w:rPr>
            </w:pPr>
          </w:p>
        </w:tc>
        <w:tc>
          <w:tcPr>
            <w:tcW w:w="1416" w:type="dxa"/>
            <w:shd w:val="clear" w:color="auto" w:fill="auto"/>
            <w:vAlign w:val="center"/>
          </w:tcPr>
          <w:p>
            <w:pPr>
              <w:jc w:val="left"/>
              <w:rPr>
                <w:rFonts w:hint="eastAsia" w:ascii="宋体" w:hAnsi="宋体" w:eastAsia="宋体" w:cs="宋体"/>
                <w:i w:val="0"/>
                <w:color w:val="000000"/>
                <w:sz w:val="18"/>
                <w:szCs w:val="18"/>
              </w:rPr>
            </w:pPr>
          </w:p>
        </w:tc>
        <w:tc>
          <w:tcPr>
            <w:tcW w:w="1608"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537" w:type="dxa"/>
            <w:gridSpan w:val="5"/>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1884" w:type="dxa"/>
            <w:tcBorders>
              <w:bottom w:val="single" w:color="80808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rPr>
            </w:pPr>
          </w:p>
        </w:tc>
        <w:tc>
          <w:tcPr>
            <w:tcW w:w="2280" w:type="dxa"/>
            <w:gridSpan w:val="2"/>
            <w:tcBorders>
              <w:bottom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2021年度</w:t>
            </w:r>
          </w:p>
        </w:tc>
        <w:tc>
          <w:tcPr>
            <w:tcW w:w="1284"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416"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608" w:type="dxa"/>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989"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154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本年收入合计</w:t>
            </w:r>
          </w:p>
        </w:tc>
        <w:tc>
          <w:tcPr>
            <w:tcW w:w="188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财政拨款收入</w:t>
            </w:r>
          </w:p>
        </w:tc>
        <w:tc>
          <w:tcPr>
            <w:tcW w:w="106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上级补助收入</w:t>
            </w:r>
          </w:p>
        </w:tc>
        <w:tc>
          <w:tcPr>
            <w:tcW w:w="121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事业收入</w:t>
            </w:r>
          </w:p>
        </w:tc>
        <w:tc>
          <w:tcPr>
            <w:tcW w:w="128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经营收入</w:t>
            </w:r>
          </w:p>
        </w:tc>
        <w:tc>
          <w:tcPr>
            <w:tcW w:w="141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附属单位上缴收入</w:t>
            </w:r>
          </w:p>
        </w:tc>
        <w:tc>
          <w:tcPr>
            <w:tcW w:w="160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97" w:type="dxa"/>
            <w:gridSpan w:val="3"/>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功能分类科目编码</w:t>
            </w:r>
          </w:p>
        </w:tc>
        <w:tc>
          <w:tcPr>
            <w:tcW w:w="209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15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06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1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97"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06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1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897"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06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1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989" w:type="dxa"/>
            <w:gridSpan w:val="4"/>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15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18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06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21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4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3989"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15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1,346.39</w:t>
            </w:r>
          </w:p>
        </w:tc>
        <w:tc>
          <w:tcPr>
            <w:tcW w:w="18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1,346.39</w:t>
            </w:r>
          </w:p>
        </w:tc>
        <w:tc>
          <w:tcPr>
            <w:tcW w:w="106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1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897"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w:t>
            </w:r>
          </w:p>
        </w:tc>
        <w:tc>
          <w:tcPr>
            <w:tcW w:w="209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社会保障和就业支出</w:t>
            </w:r>
          </w:p>
        </w:tc>
        <w:tc>
          <w:tcPr>
            <w:tcW w:w="15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1,346.39</w:t>
            </w:r>
          </w:p>
        </w:tc>
        <w:tc>
          <w:tcPr>
            <w:tcW w:w="18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1,346.39</w:t>
            </w:r>
          </w:p>
        </w:tc>
        <w:tc>
          <w:tcPr>
            <w:tcW w:w="106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1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897"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20801</w:t>
            </w:r>
          </w:p>
        </w:tc>
        <w:tc>
          <w:tcPr>
            <w:tcW w:w="2092" w:type="dxa"/>
            <w:tcBorders>
              <w:bottom w:val="single" w:color="000000" w:sz="4" w:space="0"/>
              <w:right w:val="single" w:color="000000" w:sz="4" w:space="0"/>
            </w:tcBorders>
            <w:shd w:val="clear" w:color="auto" w:fill="auto"/>
            <w:vAlign w:val="center"/>
          </w:tcPr>
          <w:p>
            <w:pPr>
              <w:widowControl/>
              <w:ind w:firstLine="402" w:firstLineChars="200"/>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人力资源和社会保障管理事务</w:t>
            </w:r>
          </w:p>
        </w:tc>
        <w:tc>
          <w:tcPr>
            <w:tcW w:w="15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1,346.39</w:t>
            </w:r>
          </w:p>
        </w:tc>
        <w:tc>
          <w:tcPr>
            <w:tcW w:w="18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1,346.39</w:t>
            </w:r>
          </w:p>
        </w:tc>
        <w:tc>
          <w:tcPr>
            <w:tcW w:w="106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1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897"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2080101</w:t>
            </w:r>
          </w:p>
        </w:tc>
        <w:tc>
          <w:tcPr>
            <w:tcW w:w="209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w:t>
            </w:r>
            <w:r>
              <w:rPr>
                <w:rFonts w:hint="eastAsia" w:cs="宋体"/>
                <w:i w:val="0"/>
                <w:color w:val="000000"/>
                <w:kern w:val="0"/>
                <w:sz w:val="20"/>
                <w:szCs w:val="20"/>
                <w:lang w:val="en-US" w:eastAsia="zh-CN" w:bidi="ar-SA"/>
              </w:rPr>
              <w:t xml:space="preserve">     </w:t>
            </w:r>
            <w:r>
              <w:rPr>
                <w:rFonts w:hint="eastAsia" w:ascii="宋体" w:hAnsi="宋体" w:eastAsia="宋体" w:cs="宋体"/>
                <w:i w:val="0"/>
                <w:color w:val="000000"/>
                <w:kern w:val="0"/>
                <w:sz w:val="20"/>
                <w:szCs w:val="20"/>
                <w:lang w:val="en-US" w:eastAsia="zh-CN" w:bidi="ar-SA"/>
              </w:rPr>
              <w:t>行政运行</w:t>
            </w:r>
          </w:p>
        </w:tc>
        <w:tc>
          <w:tcPr>
            <w:tcW w:w="15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1,346.39</w:t>
            </w:r>
          </w:p>
        </w:tc>
        <w:tc>
          <w:tcPr>
            <w:tcW w:w="18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cs="宋体"/>
                <w:i w:val="0"/>
                <w:color w:val="000000"/>
                <w:kern w:val="0"/>
                <w:sz w:val="20"/>
                <w:szCs w:val="20"/>
                <w:lang w:val="en-US" w:eastAsia="zh-CN" w:bidi="ar-SA"/>
              </w:rPr>
              <w:t>1,346.39</w:t>
            </w:r>
          </w:p>
        </w:tc>
        <w:tc>
          <w:tcPr>
            <w:tcW w:w="106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1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4009" w:type="dxa"/>
            <w:gridSpan w:val="11"/>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注：本表反映部门本年度取得的各项收入情况。</w:t>
            </w:r>
          </w:p>
        </w:tc>
      </w:tr>
    </w:tbl>
    <w:p>
      <w:pPr>
        <w:ind w:firstLine="640" w:firstLineChars="200"/>
        <w:rPr>
          <w:sz w:val="32"/>
          <w:szCs w:val="32"/>
        </w:rPr>
      </w:pPr>
    </w:p>
    <w:p>
      <w:pPr>
        <w:ind w:firstLine="560" w:firstLineChars="200"/>
        <w:rPr>
          <w:rFonts w:hint="eastAsia"/>
          <w:sz w:val="28"/>
          <w:szCs w:val="28"/>
        </w:rPr>
      </w:pPr>
      <w:r>
        <w:rPr>
          <w:rFonts w:hint="eastAsia"/>
          <w:sz w:val="28"/>
          <w:szCs w:val="28"/>
        </w:rPr>
        <w:t>三、支出决算表</w:t>
      </w:r>
    </w:p>
    <w:tbl>
      <w:tblPr>
        <w:tblStyle w:val="5"/>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1184"/>
        <w:gridCol w:w="377"/>
        <w:gridCol w:w="2844"/>
        <w:gridCol w:w="1764"/>
        <w:gridCol w:w="1848"/>
        <w:gridCol w:w="1356"/>
        <w:gridCol w:w="1464"/>
        <w:gridCol w:w="1284"/>
        <w:gridCol w:w="1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3985" w:type="dxa"/>
            <w:gridSpan w:val="10"/>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72" w:type="dxa"/>
            <w:shd w:val="clear" w:color="auto" w:fill="auto"/>
            <w:vAlign w:val="center"/>
          </w:tcPr>
          <w:p>
            <w:pPr>
              <w:jc w:val="left"/>
              <w:rPr>
                <w:rFonts w:hint="eastAsia" w:ascii="宋体" w:hAnsi="宋体" w:eastAsia="宋体" w:cs="宋体"/>
                <w:i w:val="0"/>
                <w:color w:val="000000"/>
                <w:sz w:val="18"/>
                <w:szCs w:val="18"/>
              </w:rPr>
            </w:pPr>
          </w:p>
        </w:tc>
        <w:tc>
          <w:tcPr>
            <w:tcW w:w="1184" w:type="dxa"/>
            <w:shd w:val="clear" w:color="auto" w:fill="auto"/>
            <w:vAlign w:val="center"/>
          </w:tcPr>
          <w:p>
            <w:pPr>
              <w:jc w:val="left"/>
              <w:rPr>
                <w:rFonts w:hint="eastAsia" w:ascii="宋体" w:hAnsi="宋体" w:eastAsia="宋体" w:cs="宋体"/>
                <w:i w:val="0"/>
                <w:color w:val="000000"/>
                <w:sz w:val="18"/>
                <w:szCs w:val="18"/>
              </w:rPr>
            </w:pPr>
          </w:p>
        </w:tc>
        <w:tc>
          <w:tcPr>
            <w:tcW w:w="377" w:type="dxa"/>
            <w:shd w:val="clear" w:color="auto" w:fill="auto"/>
            <w:vAlign w:val="center"/>
          </w:tcPr>
          <w:p>
            <w:pPr>
              <w:jc w:val="left"/>
              <w:rPr>
                <w:rFonts w:hint="eastAsia" w:ascii="宋体" w:hAnsi="宋体" w:eastAsia="宋体" w:cs="宋体"/>
                <w:i w:val="0"/>
                <w:color w:val="000000"/>
                <w:sz w:val="18"/>
                <w:szCs w:val="18"/>
              </w:rPr>
            </w:pPr>
          </w:p>
        </w:tc>
        <w:tc>
          <w:tcPr>
            <w:tcW w:w="2844" w:type="dxa"/>
            <w:shd w:val="clear" w:color="auto" w:fill="auto"/>
            <w:vAlign w:val="center"/>
          </w:tcPr>
          <w:p>
            <w:pPr>
              <w:jc w:val="left"/>
              <w:rPr>
                <w:rFonts w:hint="eastAsia" w:ascii="宋体" w:hAnsi="宋体" w:eastAsia="宋体" w:cs="宋体"/>
                <w:i w:val="0"/>
                <w:color w:val="000000"/>
                <w:sz w:val="18"/>
                <w:szCs w:val="18"/>
              </w:rPr>
            </w:pPr>
          </w:p>
        </w:tc>
        <w:tc>
          <w:tcPr>
            <w:tcW w:w="1764" w:type="dxa"/>
            <w:shd w:val="clear" w:color="auto" w:fill="auto"/>
            <w:vAlign w:val="center"/>
          </w:tcPr>
          <w:p>
            <w:pPr>
              <w:jc w:val="left"/>
              <w:rPr>
                <w:rFonts w:hint="eastAsia" w:ascii="宋体" w:hAnsi="宋体" w:eastAsia="宋体" w:cs="宋体"/>
                <w:i w:val="0"/>
                <w:color w:val="000000"/>
                <w:sz w:val="18"/>
                <w:szCs w:val="18"/>
              </w:rPr>
            </w:pPr>
          </w:p>
        </w:tc>
        <w:tc>
          <w:tcPr>
            <w:tcW w:w="1848" w:type="dxa"/>
            <w:shd w:val="clear" w:color="auto" w:fill="auto"/>
            <w:vAlign w:val="center"/>
          </w:tcPr>
          <w:p>
            <w:pPr>
              <w:jc w:val="left"/>
              <w:rPr>
                <w:rFonts w:hint="eastAsia" w:ascii="宋体" w:hAnsi="宋体" w:eastAsia="宋体" w:cs="宋体"/>
                <w:i w:val="0"/>
                <w:color w:val="000000"/>
                <w:sz w:val="18"/>
                <w:szCs w:val="18"/>
              </w:rPr>
            </w:pPr>
          </w:p>
        </w:tc>
        <w:tc>
          <w:tcPr>
            <w:tcW w:w="1356" w:type="dxa"/>
            <w:shd w:val="clear" w:color="auto" w:fill="auto"/>
            <w:vAlign w:val="center"/>
          </w:tcPr>
          <w:p>
            <w:pPr>
              <w:jc w:val="left"/>
              <w:rPr>
                <w:rFonts w:hint="eastAsia" w:ascii="宋体" w:hAnsi="宋体" w:eastAsia="宋体" w:cs="宋体"/>
                <w:i w:val="0"/>
                <w:color w:val="000000"/>
                <w:sz w:val="18"/>
                <w:szCs w:val="18"/>
              </w:rPr>
            </w:pPr>
          </w:p>
        </w:tc>
        <w:tc>
          <w:tcPr>
            <w:tcW w:w="1464" w:type="dxa"/>
            <w:shd w:val="clear" w:color="auto" w:fill="auto"/>
            <w:vAlign w:val="center"/>
          </w:tcPr>
          <w:p>
            <w:pPr>
              <w:jc w:val="left"/>
              <w:rPr>
                <w:rFonts w:hint="eastAsia" w:ascii="宋体" w:hAnsi="宋体" w:eastAsia="宋体" w:cs="宋体"/>
                <w:i w:val="0"/>
                <w:color w:val="000000"/>
                <w:sz w:val="18"/>
                <w:szCs w:val="18"/>
              </w:rPr>
            </w:pPr>
          </w:p>
        </w:tc>
        <w:tc>
          <w:tcPr>
            <w:tcW w:w="1284" w:type="dxa"/>
            <w:shd w:val="clear" w:color="auto" w:fill="auto"/>
            <w:vAlign w:val="center"/>
          </w:tcPr>
          <w:p>
            <w:pPr>
              <w:jc w:val="left"/>
              <w:rPr>
                <w:rFonts w:hint="eastAsia" w:ascii="宋体" w:hAnsi="宋体" w:eastAsia="宋体" w:cs="宋体"/>
                <w:i w:val="0"/>
                <w:color w:val="000000"/>
                <w:sz w:val="18"/>
                <w:szCs w:val="18"/>
              </w:rPr>
            </w:pPr>
          </w:p>
        </w:tc>
        <w:tc>
          <w:tcPr>
            <w:tcW w:w="1392"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877" w:type="dxa"/>
            <w:gridSpan w:val="4"/>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1764" w:type="dxa"/>
            <w:tcBorders>
              <w:bottom w:val="single" w:color="808080" w:sz="4" w:space="0"/>
            </w:tcBorders>
            <w:shd w:val="clear" w:color="auto" w:fill="auto"/>
            <w:vAlign w:val="center"/>
          </w:tcPr>
          <w:p>
            <w:pPr>
              <w:widowControl/>
              <w:jc w:val="center"/>
              <w:textAlignment w:val="center"/>
              <w:rPr>
                <w:rFonts w:hint="eastAsia" w:ascii="宋体" w:hAnsi="宋体" w:eastAsia="宋体" w:cs="宋体"/>
                <w:i w:val="0"/>
                <w:color w:val="000000"/>
                <w:sz w:val="22"/>
                <w:szCs w:val="22"/>
              </w:rPr>
            </w:pPr>
          </w:p>
        </w:tc>
        <w:tc>
          <w:tcPr>
            <w:tcW w:w="3204" w:type="dxa"/>
            <w:gridSpan w:val="2"/>
            <w:tcBorders>
              <w:bottom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2021年度</w:t>
            </w:r>
          </w:p>
        </w:tc>
        <w:tc>
          <w:tcPr>
            <w:tcW w:w="1464"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2676" w:type="dxa"/>
            <w:gridSpan w:val="2"/>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877"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176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本年支出合计</w:t>
            </w:r>
          </w:p>
        </w:tc>
        <w:tc>
          <w:tcPr>
            <w:tcW w:w="184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基本支出</w:t>
            </w:r>
          </w:p>
        </w:tc>
        <w:tc>
          <w:tcPr>
            <w:tcW w:w="135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项目支出</w:t>
            </w:r>
          </w:p>
        </w:tc>
        <w:tc>
          <w:tcPr>
            <w:tcW w:w="146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上缴上级支出</w:t>
            </w:r>
          </w:p>
        </w:tc>
        <w:tc>
          <w:tcPr>
            <w:tcW w:w="128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经营支出</w:t>
            </w:r>
          </w:p>
        </w:tc>
        <w:tc>
          <w:tcPr>
            <w:tcW w:w="139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033" w:type="dxa"/>
            <w:gridSpan w:val="3"/>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功能分类科目编码</w:t>
            </w:r>
          </w:p>
        </w:tc>
        <w:tc>
          <w:tcPr>
            <w:tcW w:w="284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17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5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033"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8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5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033"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8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8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5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6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3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877" w:type="dxa"/>
            <w:gridSpan w:val="4"/>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17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18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35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4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877"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176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18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135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33"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w:t>
            </w:r>
          </w:p>
        </w:tc>
        <w:tc>
          <w:tcPr>
            <w:tcW w:w="284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社会保障和就业支出</w:t>
            </w:r>
          </w:p>
        </w:tc>
        <w:tc>
          <w:tcPr>
            <w:tcW w:w="176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18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135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33"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20801</w:t>
            </w:r>
          </w:p>
        </w:tc>
        <w:tc>
          <w:tcPr>
            <w:tcW w:w="284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人力资源和社会保障管理事务</w:t>
            </w:r>
          </w:p>
        </w:tc>
        <w:tc>
          <w:tcPr>
            <w:tcW w:w="176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18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135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4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33"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2080101</w:t>
            </w:r>
          </w:p>
        </w:tc>
        <w:tc>
          <w:tcPr>
            <w:tcW w:w="284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行政运行</w:t>
            </w:r>
          </w:p>
        </w:tc>
        <w:tc>
          <w:tcPr>
            <w:tcW w:w="176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8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cs="宋体"/>
                <w:i w:val="0"/>
                <w:color w:val="000000"/>
                <w:kern w:val="0"/>
                <w:sz w:val="20"/>
                <w:szCs w:val="20"/>
                <w:lang w:val="en-US" w:eastAsia="zh-CN" w:bidi="ar-SA"/>
              </w:rPr>
              <w:t>1,894.68</w:t>
            </w:r>
          </w:p>
        </w:tc>
        <w:tc>
          <w:tcPr>
            <w:tcW w:w="135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5" w:type="dxa"/>
            <w:gridSpan w:val="10"/>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注：本表反映部门本年度各项支出情况。</w:t>
            </w:r>
          </w:p>
        </w:tc>
      </w:tr>
    </w:tbl>
    <w:p>
      <w:pPr>
        <w:ind w:firstLine="640" w:firstLineChars="200"/>
        <w:rPr>
          <w:rFonts w:hint="eastAsia"/>
          <w:sz w:val="32"/>
          <w:szCs w:val="32"/>
        </w:rPr>
      </w:pPr>
    </w:p>
    <w:p>
      <w:pPr>
        <w:ind w:firstLine="560" w:firstLineChars="200"/>
        <w:rPr>
          <w:rFonts w:hint="eastAsia"/>
          <w:sz w:val="28"/>
          <w:szCs w:val="28"/>
        </w:rPr>
      </w:pPr>
      <w:r>
        <w:rPr>
          <w:rFonts w:hint="eastAsia"/>
          <w:sz w:val="28"/>
          <w:szCs w:val="28"/>
        </w:rPr>
        <w:t>四、财政拨款收入支出决算总表</w:t>
      </w:r>
    </w:p>
    <w:tbl>
      <w:tblPr>
        <w:tblStyle w:val="5"/>
        <w:tblW w:w="13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13"/>
        <w:gridCol w:w="840"/>
        <w:gridCol w:w="1560"/>
        <w:gridCol w:w="2064"/>
        <w:gridCol w:w="1260"/>
        <w:gridCol w:w="1404"/>
        <w:gridCol w:w="1488"/>
        <w:gridCol w:w="164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3973" w:type="dxa"/>
            <w:gridSpan w:val="9"/>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shd w:val="clear" w:color="auto" w:fill="auto"/>
            <w:vAlign w:val="center"/>
          </w:tcPr>
          <w:p>
            <w:pPr>
              <w:jc w:val="left"/>
              <w:rPr>
                <w:rFonts w:hint="eastAsia" w:ascii="宋体" w:hAnsi="宋体" w:eastAsia="宋体" w:cs="宋体"/>
                <w:i w:val="0"/>
                <w:color w:val="000000"/>
                <w:sz w:val="18"/>
                <w:szCs w:val="18"/>
              </w:rPr>
            </w:pPr>
          </w:p>
        </w:tc>
        <w:tc>
          <w:tcPr>
            <w:tcW w:w="840" w:type="dxa"/>
            <w:shd w:val="clear" w:color="auto" w:fill="auto"/>
            <w:vAlign w:val="center"/>
          </w:tcPr>
          <w:p>
            <w:pPr>
              <w:jc w:val="left"/>
              <w:rPr>
                <w:rFonts w:hint="eastAsia" w:ascii="宋体" w:hAnsi="宋体" w:eastAsia="宋体" w:cs="宋体"/>
                <w:i w:val="0"/>
                <w:color w:val="000000"/>
                <w:sz w:val="18"/>
                <w:szCs w:val="18"/>
              </w:rPr>
            </w:pPr>
          </w:p>
        </w:tc>
        <w:tc>
          <w:tcPr>
            <w:tcW w:w="1560" w:type="dxa"/>
            <w:shd w:val="clear" w:color="auto" w:fill="auto"/>
            <w:vAlign w:val="center"/>
          </w:tcPr>
          <w:p>
            <w:pPr>
              <w:jc w:val="left"/>
              <w:rPr>
                <w:rFonts w:hint="eastAsia" w:ascii="宋体" w:hAnsi="宋体" w:eastAsia="宋体" w:cs="宋体"/>
                <w:i w:val="0"/>
                <w:color w:val="000000"/>
                <w:sz w:val="18"/>
                <w:szCs w:val="18"/>
              </w:rPr>
            </w:pPr>
          </w:p>
        </w:tc>
        <w:tc>
          <w:tcPr>
            <w:tcW w:w="2064" w:type="dxa"/>
            <w:shd w:val="clear" w:color="auto" w:fill="auto"/>
            <w:vAlign w:val="center"/>
          </w:tcPr>
          <w:p>
            <w:pPr>
              <w:jc w:val="left"/>
              <w:rPr>
                <w:rFonts w:hint="eastAsia" w:ascii="宋体" w:hAnsi="宋体" w:eastAsia="宋体" w:cs="宋体"/>
                <w:i w:val="0"/>
                <w:color w:val="000000"/>
                <w:sz w:val="18"/>
                <w:szCs w:val="18"/>
              </w:rPr>
            </w:pPr>
          </w:p>
        </w:tc>
        <w:tc>
          <w:tcPr>
            <w:tcW w:w="1260" w:type="dxa"/>
            <w:shd w:val="clear" w:color="auto" w:fill="auto"/>
            <w:vAlign w:val="center"/>
          </w:tcPr>
          <w:p>
            <w:pPr>
              <w:jc w:val="left"/>
              <w:rPr>
                <w:rFonts w:hint="eastAsia" w:ascii="宋体" w:hAnsi="宋体" w:eastAsia="宋体" w:cs="宋体"/>
                <w:i w:val="0"/>
                <w:color w:val="000000"/>
                <w:sz w:val="18"/>
                <w:szCs w:val="18"/>
              </w:rPr>
            </w:pPr>
          </w:p>
        </w:tc>
        <w:tc>
          <w:tcPr>
            <w:tcW w:w="1404" w:type="dxa"/>
            <w:shd w:val="clear" w:color="auto" w:fill="auto"/>
            <w:vAlign w:val="center"/>
          </w:tcPr>
          <w:p>
            <w:pPr>
              <w:jc w:val="left"/>
              <w:rPr>
                <w:rFonts w:hint="eastAsia" w:ascii="宋体" w:hAnsi="宋体" w:eastAsia="宋体" w:cs="宋体"/>
                <w:i w:val="0"/>
                <w:color w:val="000000"/>
                <w:sz w:val="18"/>
                <w:szCs w:val="18"/>
              </w:rPr>
            </w:pPr>
          </w:p>
        </w:tc>
        <w:tc>
          <w:tcPr>
            <w:tcW w:w="1488" w:type="dxa"/>
            <w:shd w:val="clear" w:color="auto" w:fill="auto"/>
            <w:vAlign w:val="center"/>
          </w:tcPr>
          <w:p>
            <w:pPr>
              <w:jc w:val="left"/>
              <w:rPr>
                <w:rFonts w:hint="eastAsia" w:ascii="宋体" w:hAnsi="宋体" w:eastAsia="宋体" w:cs="宋体"/>
                <w:i w:val="0"/>
                <w:color w:val="000000"/>
                <w:sz w:val="18"/>
                <w:szCs w:val="18"/>
              </w:rPr>
            </w:pPr>
          </w:p>
        </w:tc>
        <w:tc>
          <w:tcPr>
            <w:tcW w:w="1644" w:type="dxa"/>
            <w:shd w:val="clear" w:color="auto" w:fill="auto"/>
            <w:vAlign w:val="center"/>
          </w:tcPr>
          <w:p>
            <w:pPr>
              <w:jc w:val="left"/>
              <w:rPr>
                <w:rFonts w:hint="eastAsia" w:ascii="宋体" w:hAnsi="宋体" w:eastAsia="宋体" w:cs="宋体"/>
                <w:i w:val="0"/>
                <w:color w:val="000000"/>
                <w:sz w:val="18"/>
                <w:szCs w:val="18"/>
              </w:rPr>
            </w:pPr>
          </w:p>
        </w:tc>
        <w:tc>
          <w:tcPr>
            <w:tcW w:w="1200"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913" w:type="dxa"/>
            <w:gridSpan w:val="3"/>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2064"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2664" w:type="dxa"/>
            <w:gridSpan w:val="2"/>
            <w:tcBorders>
              <w:bottom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2021年度</w:t>
            </w:r>
          </w:p>
        </w:tc>
        <w:tc>
          <w:tcPr>
            <w:tcW w:w="1488"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2844" w:type="dxa"/>
            <w:gridSpan w:val="2"/>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913"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收     入</w:t>
            </w:r>
          </w:p>
        </w:tc>
        <w:tc>
          <w:tcPr>
            <w:tcW w:w="9060" w:type="dxa"/>
            <w:gridSpan w:val="6"/>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 w:hRule="atLeast"/>
        </w:trPr>
        <w:tc>
          <w:tcPr>
            <w:tcW w:w="2513" w:type="dxa"/>
            <w:vMerge w:val="restart"/>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84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行次</w:t>
            </w:r>
          </w:p>
        </w:tc>
        <w:tc>
          <w:tcPr>
            <w:tcW w:w="156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金额</w:t>
            </w:r>
          </w:p>
        </w:tc>
        <w:tc>
          <w:tcPr>
            <w:tcW w:w="2064" w:type="dxa"/>
            <w:vMerge w:val="restart"/>
            <w:tcBorders>
              <w:bottom w:val="single" w:color="000000" w:sz="4" w:space="0"/>
              <w:right w:val="single" w:color="000000" w:sz="4" w:space="0"/>
            </w:tcBorders>
            <w:shd w:val="clear" w:color="auto" w:fill="auto"/>
            <w:vAlign w:val="bottom"/>
          </w:tcPr>
          <w:p>
            <w:pPr>
              <w:widowControl/>
              <w:jc w:val="both"/>
              <w:textAlignment w:val="bottom"/>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126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行次</w:t>
            </w:r>
          </w:p>
        </w:tc>
        <w:tc>
          <w:tcPr>
            <w:tcW w:w="140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148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一般公共预算财政拨款</w:t>
            </w:r>
          </w:p>
        </w:tc>
        <w:tc>
          <w:tcPr>
            <w:tcW w:w="164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政府性基金预算财政拨款</w:t>
            </w:r>
          </w:p>
        </w:tc>
        <w:tc>
          <w:tcPr>
            <w:tcW w:w="120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513"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rPr>
            </w:pPr>
          </w:p>
        </w:tc>
        <w:tc>
          <w:tcPr>
            <w:tcW w:w="84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6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vMerge w:val="continue"/>
            <w:tcBorders>
              <w:bottom w:val="single" w:color="000000" w:sz="4" w:space="0"/>
              <w:right w:val="single" w:color="000000" w:sz="4" w:space="0"/>
            </w:tcBorders>
            <w:shd w:val="clear" w:color="auto" w:fill="auto"/>
            <w:vAlign w:val="bottom"/>
          </w:tcPr>
          <w:p>
            <w:pPr>
              <w:jc w:val="both"/>
              <w:rPr>
                <w:rFonts w:hint="eastAsia" w:ascii="宋体" w:hAnsi="宋体" w:eastAsia="宋体" w:cs="宋体"/>
                <w:i w:val="0"/>
                <w:color w:val="000000"/>
                <w:sz w:val="20"/>
                <w:szCs w:val="20"/>
              </w:rPr>
            </w:pPr>
          </w:p>
        </w:tc>
        <w:tc>
          <w:tcPr>
            <w:tcW w:w="126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0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84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2064" w:type="dxa"/>
            <w:tcBorders>
              <w:bottom w:val="single" w:color="000000" w:sz="4" w:space="0"/>
              <w:right w:val="single" w:color="000000" w:sz="4" w:space="0"/>
            </w:tcBorders>
            <w:shd w:val="clear" w:color="auto" w:fill="auto"/>
            <w:vAlign w:val="bottom"/>
          </w:tcPr>
          <w:p>
            <w:pPr>
              <w:widowControl/>
              <w:jc w:val="both"/>
              <w:textAlignment w:val="bottom"/>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12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一、一般公共预算财政拨款</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1,346.39</w:t>
            </w: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一、一般公共服务支出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33</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二、政府性基金预算财政拨款</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二、外交支出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34</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三、国有资本经营财政拨款</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三、国防支出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35</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四、公共安全支出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36</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五、教育支出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37</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六、科学技术支出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38</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7</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七、文化旅游体育与传媒支出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8</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八、社会保障和就业支出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40</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9</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九、卫生健康支出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41</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10</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十、节能环保支出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42</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11</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十一、城乡社区支出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43</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12</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十二、农林水支出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44</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13</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十三、交通运输支出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45</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14</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十四、资源勘探工业信息等支出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46</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15</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十五、商业服务业等支出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47</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16</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十六、金融支出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48</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17</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十七、援助其他地区支出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49</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18</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十八、自然资源海洋气象等支出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50</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19</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十九、住房保障支出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51</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20</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二十、粮油物资储备支出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52</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21</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二十一、国有资本经营预算支出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53</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22</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二十二、灾害防治及应急管理支出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54</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23</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二十三、其他支出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55</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24</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二十四、债务还本支出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56</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25</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二十五、债务付息支出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57</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26</w:t>
            </w: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二十六、抗疫特别国债安排的支出</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58</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本年收入合计</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27</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1,346.39</w:t>
            </w:r>
          </w:p>
        </w:tc>
        <w:tc>
          <w:tcPr>
            <w:tcW w:w="206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本年支出合计</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59</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年初财政拨款结转和结余</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28</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548.29</w:t>
            </w:r>
          </w:p>
        </w:tc>
        <w:tc>
          <w:tcPr>
            <w:tcW w:w="2064"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年末财政拨款结转和结余</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60</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一般公共预算财政拨款</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29</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548.29</w:t>
            </w:r>
          </w:p>
        </w:tc>
        <w:tc>
          <w:tcPr>
            <w:tcW w:w="206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61</w:t>
            </w:r>
          </w:p>
        </w:tc>
        <w:tc>
          <w:tcPr>
            <w:tcW w:w="140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8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0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政府性基金预算财政拨款</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2064"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62</w:t>
            </w:r>
          </w:p>
        </w:tc>
        <w:tc>
          <w:tcPr>
            <w:tcW w:w="140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8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0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国有资本经营预算财政拨款</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2064"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63</w:t>
            </w:r>
          </w:p>
        </w:tc>
        <w:tc>
          <w:tcPr>
            <w:tcW w:w="140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488"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0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13" w:type="dxa"/>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总计</w:t>
            </w:r>
          </w:p>
        </w:tc>
        <w:tc>
          <w:tcPr>
            <w:tcW w:w="8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32</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2064" w:type="dxa"/>
            <w:tcBorders>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总计</w:t>
            </w:r>
          </w:p>
        </w:tc>
        <w:tc>
          <w:tcPr>
            <w:tcW w:w="12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64</w:t>
            </w:r>
          </w:p>
        </w:tc>
        <w:tc>
          <w:tcPr>
            <w:tcW w:w="140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48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2773" w:type="dxa"/>
            <w:gridSpan w:val="8"/>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注：本表反映部门本年度一般公共预算财政拨款、政府性基金预算财政拨款和国有资本经营预算财政拨款的总收支和年末结转结余情况。</w:t>
            </w:r>
          </w:p>
        </w:tc>
        <w:tc>
          <w:tcPr>
            <w:tcW w:w="1200" w:type="dxa"/>
            <w:shd w:val="clear" w:color="auto" w:fill="auto"/>
            <w:vAlign w:val="center"/>
          </w:tcPr>
          <w:p>
            <w:pPr>
              <w:jc w:val="left"/>
              <w:rPr>
                <w:rFonts w:hint="eastAsia" w:ascii="宋体" w:hAnsi="宋体" w:eastAsia="宋体" w:cs="宋体"/>
                <w:i w:val="0"/>
                <w:color w:val="000000"/>
                <w:sz w:val="20"/>
                <w:szCs w:val="20"/>
              </w:rPr>
            </w:pPr>
          </w:p>
        </w:tc>
      </w:tr>
    </w:tbl>
    <w:p>
      <w:pPr>
        <w:rPr>
          <w:rFonts w:hint="eastAsia"/>
          <w:sz w:val="32"/>
          <w:szCs w:val="32"/>
        </w:rPr>
      </w:pPr>
    </w:p>
    <w:p>
      <w:pPr>
        <w:ind w:firstLine="560" w:firstLineChars="200"/>
        <w:rPr>
          <w:rFonts w:hint="eastAsia"/>
          <w:sz w:val="28"/>
          <w:szCs w:val="28"/>
        </w:rPr>
      </w:pPr>
      <w:r>
        <w:rPr>
          <w:rFonts w:hint="eastAsia"/>
          <w:sz w:val="28"/>
          <w:szCs w:val="28"/>
        </w:rPr>
        <w:t>五、一般公共预算财政拨款支出决算表</w:t>
      </w:r>
    </w:p>
    <w:tbl>
      <w:tblPr>
        <w:tblStyle w:val="5"/>
        <w:tblW w:w="13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1133"/>
        <w:gridCol w:w="884"/>
        <w:gridCol w:w="3072"/>
        <w:gridCol w:w="2748"/>
        <w:gridCol w:w="2892"/>
        <w:gridCol w:w="2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3973" w:type="dxa"/>
            <w:gridSpan w:val="7"/>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72" w:type="dxa"/>
            <w:shd w:val="clear" w:color="auto" w:fill="auto"/>
            <w:vAlign w:val="center"/>
          </w:tcPr>
          <w:p>
            <w:pPr>
              <w:jc w:val="left"/>
              <w:rPr>
                <w:rFonts w:hint="eastAsia" w:ascii="宋体" w:hAnsi="宋体" w:eastAsia="宋体" w:cs="宋体"/>
                <w:i w:val="0"/>
                <w:color w:val="000000"/>
                <w:sz w:val="18"/>
                <w:szCs w:val="18"/>
              </w:rPr>
            </w:pPr>
          </w:p>
        </w:tc>
        <w:tc>
          <w:tcPr>
            <w:tcW w:w="1133" w:type="dxa"/>
            <w:shd w:val="clear" w:color="auto" w:fill="auto"/>
            <w:vAlign w:val="center"/>
          </w:tcPr>
          <w:p>
            <w:pPr>
              <w:jc w:val="left"/>
              <w:rPr>
                <w:rFonts w:hint="eastAsia" w:ascii="宋体" w:hAnsi="宋体" w:eastAsia="宋体" w:cs="宋体"/>
                <w:i w:val="0"/>
                <w:color w:val="000000"/>
                <w:sz w:val="18"/>
                <w:szCs w:val="18"/>
              </w:rPr>
            </w:pPr>
          </w:p>
        </w:tc>
        <w:tc>
          <w:tcPr>
            <w:tcW w:w="884" w:type="dxa"/>
            <w:shd w:val="clear" w:color="auto" w:fill="auto"/>
            <w:vAlign w:val="center"/>
          </w:tcPr>
          <w:p>
            <w:pPr>
              <w:jc w:val="left"/>
              <w:rPr>
                <w:rFonts w:hint="eastAsia" w:ascii="宋体" w:hAnsi="宋体" w:eastAsia="宋体" w:cs="宋体"/>
                <w:i w:val="0"/>
                <w:color w:val="000000"/>
                <w:sz w:val="18"/>
                <w:szCs w:val="18"/>
              </w:rPr>
            </w:pPr>
          </w:p>
        </w:tc>
        <w:tc>
          <w:tcPr>
            <w:tcW w:w="3072" w:type="dxa"/>
            <w:shd w:val="clear" w:color="auto" w:fill="auto"/>
            <w:vAlign w:val="center"/>
          </w:tcPr>
          <w:p>
            <w:pPr>
              <w:jc w:val="left"/>
              <w:rPr>
                <w:rFonts w:hint="eastAsia" w:ascii="宋体" w:hAnsi="宋体" w:eastAsia="宋体" w:cs="宋体"/>
                <w:i w:val="0"/>
                <w:color w:val="000000"/>
                <w:sz w:val="18"/>
                <w:szCs w:val="18"/>
              </w:rPr>
            </w:pPr>
          </w:p>
        </w:tc>
        <w:tc>
          <w:tcPr>
            <w:tcW w:w="2748" w:type="dxa"/>
            <w:shd w:val="clear" w:color="auto" w:fill="auto"/>
            <w:vAlign w:val="center"/>
          </w:tcPr>
          <w:p>
            <w:pPr>
              <w:jc w:val="left"/>
              <w:rPr>
                <w:rFonts w:hint="eastAsia" w:ascii="宋体" w:hAnsi="宋体" w:eastAsia="宋体" w:cs="宋体"/>
                <w:i w:val="0"/>
                <w:color w:val="000000"/>
                <w:sz w:val="18"/>
                <w:szCs w:val="18"/>
              </w:rPr>
            </w:pPr>
          </w:p>
        </w:tc>
        <w:tc>
          <w:tcPr>
            <w:tcW w:w="2892" w:type="dxa"/>
            <w:shd w:val="clear" w:color="auto" w:fill="auto"/>
            <w:vAlign w:val="center"/>
          </w:tcPr>
          <w:p>
            <w:pPr>
              <w:jc w:val="left"/>
              <w:rPr>
                <w:rFonts w:hint="eastAsia" w:ascii="宋体" w:hAnsi="宋体" w:eastAsia="宋体" w:cs="宋体"/>
                <w:i w:val="0"/>
                <w:color w:val="000000"/>
                <w:sz w:val="18"/>
                <w:szCs w:val="18"/>
              </w:rPr>
            </w:pPr>
          </w:p>
        </w:tc>
        <w:tc>
          <w:tcPr>
            <w:tcW w:w="2772"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561" w:type="dxa"/>
            <w:gridSpan w:val="4"/>
            <w:tcBorders>
              <w:bottom w:val="single" w:color="808080" w:sz="4" w:space="0"/>
            </w:tcBorders>
            <w:shd w:val="clear" w:color="auto" w:fill="auto"/>
            <w:vAlign w:val="center"/>
          </w:tcPr>
          <w:p>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2748"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2021年度</w:t>
            </w:r>
          </w:p>
        </w:tc>
        <w:tc>
          <w:tcPr>
            <w:tcW w:w="289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2772" w:type="dxa"/>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561"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8412" w:type="dxa"/>
            <w:gridSpan w:val="3"/>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89" w:type="dxa"/>
            <w:gridSpan w:val="3"/>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功能分类科目编码</w:t>
            </w:r>
          </w:p>
        </w:tc>
        <w:tc>
          <w:tcPr>
            <w:tcW w:w="307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274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小计</w:t>
            </w:r>
          </w:p>
        </w:tc>
        <w:tc>
          <w:tcPr>
            <w:tcW w:w="289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基本支出</w:t>
            </w:r>
          </w:p>
        </w:tc>
        <w:tc>
          <w:tcPr>
            <w:tcW w:w="277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4" w:hRule="atLeast"/>
        </w:trPr>
        <w:tc>
          <w:tcPr>
            <w:tcW w:w="248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30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7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8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7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48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30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7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89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7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561" w:type="dxa"/>
            <w:gridSpan w:val="4"/>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27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28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27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561"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27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28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27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w:t>
            </w:r>
          </w:p>
        </w:tc>
        <w:tc>
          <w:tcPr>
            <w:tcW w:w="307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社会保障和就业支出</w:t>
            </w:r>
          </w:p>
        </w:tc>
        <w:tc>
          <w:tcPr>
            <w:tcW w:w="27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28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27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20801</w:t>
            </w:r>
          </w:p>
        </w:tc>
        <w:tc>
          <w:tcPr>
            <w:tcW w:w="307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人力资源和社会保障管理事务</w:t>
            </w:r>
          </w:p>
        </w:tc>
        <w:tc>
          <w:tcPr>
            <w:tcW w:w="27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i w:val="0"/>
                <w:color w:val="000000"/>
                <w:sz w:val="20"/>
                <w:szCs w:val="20"/>
                <w:lang w:val="en-US"/>
              </w:rPr>
            </w:pPr>
            <w:r>
              <w:rPr>
                <w:rFonts w:hint="eastAsia" w:cs="宋体"/>
                <w:b/>
                <w:i w:val="0"/>
                <w:color w:val="000000"/>
                <w:kern w:val="0"/>
                <w:sz w:val="20"/>
                <w:szCs w:val="20"/>
                <w:lang w:val="en-US" w:eastAsia="zh-CN" w:bidi="ar-SA"/>
              </w:rPr>
              <w:t>1,894.68</w:t>
            </w:r>
          </w:p>
        </w:tc>
        <w:tc>
          <w:tcPr>
            <w:tcW w:w="28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cs="宋体"/>
                <w:b/>
                <w:i w:val="0"/>
                <w:color w:val="000000"/>
                <w:kern w:val="0"/>
                <w:sz w:val="20"/>
                <w:szCs w:val="20"/>
                <w:lang w:val="en-US" w:eastAsia="zh-CN" w:bidi="ar-SA"/>
              </w:rPr>
              <w:t>1,894.68</w:t>
            </w:r>
          </w:p>
        </w:tc>
        <w:tc>
          <w:tcPr>
            <w:tcW w:w="27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i w:val="0"/>
                <w:color w:val="000000"/>
                <w:sz w:val="20"/>
                <w:szCs w:val="20"/>
              </w:rPr>
            </w:pPr>
            <w:r>
              <w:rPr>
                <w:rFonts w:hint="eastAsia" w:ascii="宋体" w:hAnsi="宋体" w:eastAsia="宋体" w:cs="宋体"/>
                <w:b/>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489" w:type="dxa"/>
            <w:gridSpan w:val="3"/>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2080101</w:t>
            </w:r>
          </w:p>
        </w:tc>
        <w:tc>
          <w:tcPr>
            <w:tcW w:w="307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行政运行</w:t>
            </w:r>
          </w:p>
        </w:tc>
        <w:tc>
          <w:tcPr>
            <w:tcW w:w="274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1,894.68</w:t>
            </w:r>
          </w:p>
        </w:tc>
        <w:tc>
          <w:tcPr>
            <w:tcW w:w="28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cs="宋体"/>
                <w:i w:val="0"/>
                <w:color w:val="000000"/>
                <w:kern w:val="0"/>
                <w:sz w:val="20"/>
                <w:szCs w:val="20"/>
                <w:lang w:val="en-US" w:eastAsia="zh-CN" w:bidi="ar-SA"/>
              </w:rPr>
              <w:t>1,894.68</w:t>
            </w:r>
          </w:p>
        </w:tc>
        <w:tc>
          <w:tcPr>
            <w:tcW w:w="27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73" w:type="dxa"/>
            <w:gridSpan w:val="7"/>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注：本表反映部门本年度一般公共预算财政拨款支出情况。</w:t>
            </w:r>
          </w:p>
        </w:tc>
      </w:tr>
    </w:tbl>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六、一般公共预算财政拨款基本支出决算表</w:t>
      </w:r>
    </w:p>
    <w:tbl>
      <w:tblPr>
        <w:tblStyle w:val="5"/>
        <w:tblW w:w="13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1"/>
        <w:gridCol w:w="1652"/>
        <w:gridCol w:w="1644"/>
        <w:gridCol w:w="1236"/>
        <w:gridCol w:w="1728"/>
        <w:gridCol w:w="1572"/>
        <w:gridCol w:w="1608"/>
        <w:gridCol w:w="211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13973" w:type="dxa"/>
            <w:gridSpan w:val="9"/>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shd w:val="clear" w:color="auto" w:fill="auto"/>
            <w:vAlign w:val="center"/>
          </w:tcPr>
          <w:p>
            <w:pPr>
              <w:jc w:val="left"/>
              <w:rPr>
                <w:rFonts w:hint="eastAsia" w:ascii="宋体" w:hAnsi="宋体" w:eastAsia="宋体" w:cs="宋体"/>
                <w:i w:val="0"/>
                <w:color w:val="000000"/>
                <w:sz w:val="22"/>
                <w:szCs w:val="22"/>
              </w:rPr>
            </w:pPr>
          </w:p>
        </w:tc>
        <w:tc>
          <w:tcPr>
            <w:tcW w:w="1652" w:type="dxa"/>
            <w:shd w:val="clear" w:color="auto" w:fill="auto"/>
            <w:vAlign w:val="center"/>
          </w:tcPr>
          <w:p>
            <w:pPr>
              <w:jc w:val="left"/>
              <w:rPr>
                <w:rFonts w:hint="eastAsia" w:ascii="宋体" w:hAnsi="宋体" w:eastAsia="宋体" w:cs="宋体"/>
                <w:i w:val="0"/>
                <w:color w:val="000000"/>
                <w:sz w:val="18"/>
                <w:szCs w:val="18"/>
              </w:rPr>
            </w:pPr>
          </w:p>
        </w:tc>
        <w:tc>
          <w:tcPr>
            <w:tcW w:w="1644" w:type="dxa"/>
            <w:shd w:val="clear" w:color="auto" w:fill="auto"/>
            <w:vAlign w:val="center"/>
          </w:tcPr>
          <w:p>
            <w:pPr>
              <w:jc w:val="left"/>
              <w:rPr>
                <w:rFonts w:hint="eastAsia" w:ascii="宋体" w:hAnsi="宋体" w:eastAsia="宋体" w:cs="宋体"/>
                <w:i w:val="0"/>
                <w:color w:val="000000"/>
                <w:sz w:val="18"/>
                <w:szCs w:val="18"/>
              </w:rPr>
            </w:pPr>
          </w:p>
        </w:tc>
        <w:tc>
          <w:tcPr>
            <w:tcW w:w="1236" w:type="dxa"/>
            <w:shd w:val="clear" w:color="auto" w:fill="auto"/>
            <w:vAlign w:val="center"/>
          </w:tcPr>
          <w:p>
            <w:pPr>
              <w:jc w:val="left"/>
              <w:rPr>
                <w:rFonts w:hint="eastAsia" w:ascii="宋体" w:hAnsi="宋体" w:eastAsia="宋体" w:cs="宋体"/>
                <w:i w:val="0"/>
                <w:color w:val="000000"/>
                <w:sz w:val="18"/>
                <w:szCs w:val="18"/>
              </w:rPr>
            </w:pPr>
          </w:p>
        </w:tc>
        <w:tc>
          <w:tcPr>
            <w:tcW w:w="1728" w:type="dxa"/>
            <w:shd w:val="clear" w:color="auto" w:fill="auto"/>
            <w:vAlign w:val="center"/>
          </w:tcPr>
          <w:p>
            <w:pPr>
              <w:jc w:val="left"/>
              <w:rPr>
                <w:rFonts w:hint="eastAsia" w:ascii="宋体" w:hAnsi="宋体" w:eastAsia="宋体" w:cs="宋体"/>
                <w:i w:val="0"/>
                <w:color w:val="000000"/>
                <w:sz w:val="18"/>
                <w:szCs w:val="18"/>
              </w:rPr>
            </w:pPr>
          </w:p>
        </w:tc>
        <w:tc>
          <w:tcPr>
            <w:tcW w:w="1572" w:type="dxa"/>
            <w:shd w:val="clear" w:color="auto" w:fill="auto"/>
            <w:vAlign w:val="center"/>
          </w:tcPr>
          <w:p>
            <w:pPr>
              <w:jc w:val="left"/>
              <w:rPr>
                <w:rFonts w:hint="eastAsia" w:ascii="宋体" w:hAnsi="宋体" w:eastAsia="宋体" w:cs="宋体"/>
                <w:i w:val="0"/>
                <w:color w:val="000000"/>
                <w:sz w:val="18"/>
                <w:szCs w:val="18"/>
              </w:rPr>
            </w:pPr>
          </w:p>
        </w:tc>
        <w:tc>
          <w:tcPr>
            <w:tcW w:w="1608" w:type="dxa"/>
            <w:shd w:val="clear" w:color="auto" w:fill="auto"/>
            <w:vAlign w:val="center"/>
          </w:tcPr>
          <w:p>
            <w:pPr>
              <w:jc w:val="left"/>
              <w:rPr>
                <w:rFonts w:hint="eastAsia" w:ascii="宋体" w:hAnsi="宋体" w:eastAsia="宋体" w:cs="宋体"/>
                <w:i w:val="0"/>
                <w:color w:val="000000"/>
                <w:sz w:val="18"/>
                <w:szCs w:val="18"/>
              </w:rPr>
            </w:pPr>
          </w:p>
        </w:tc>
        <w:tc>
          <w:tcPr>
            <w:tcW w:w="2112" w:type="dxa"/>
            <w:shd w:val="clear" w:color="auto" w:fill="auto"/>
            <w:vAlign w:val="center"/>
          </w:tcPr>
          <w:p>
            <w:pPr>
              <w:jc w:val="left"/>
              <w:rPr>
                <w:rFonts w:hint="eastAsia" w:ascii="宋体" w:hAnsi="宋体" w:eastAsia="宋体" w:cs="宋体"/>
                <w:i w:val="0"/>
                <w:color w:val="000000"/>
                <w:sz w:val="18"/>
                <w:szCs w:val="18"/>
              </w:rPr>
            </w:pPr>
          </w:p>
        </w:tc>
        <w:tc>
          <w:tcPr>
            <w:tcW w:w="1560" w:type="dxa"/>
            <w:tcBorders>
              <w:right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shd w:val="clear" w:color="auto" w:fill="auto"/>
            <w:vAlign w:val="center"/>
          </w:tcPr>
          <w:p>
            <w:pPr>
              <w:jc w:val="left"/>
              <w:rPr>
                <w:rFonts w:hint="eastAsia" w:ascii="宋体" w:hAnsi="宋体" w:eastAsia="宋体" w:cs="宋体"/>
                <w:i w:val="0"/>
                <w:color w:val="000000"/>
                <w:sz w:val="22"/>
                <w:szCs w:val="22"/>
              </w:rPr>
            </w:pPr>
          </w:p>
        </w:tc>
        <w:tc>
          <w:tcPr>
            <w:tcW w:w="1652" w:type="dxa"/>
            <w:shd w:val="clear" w:color="auto" w:fill="auto"/>
            <w:vAlign w:val="center"/>
          </w:tcPr>
          <w:p>
            <w:pPr>
              <w:jc w:val="left"/>
              <w:rPr>
                <w:rFonts w:hint="eastAsia" w:ascii="宋体" w:hAnsi="宋体" w:eastAsia="宋体" w:cs="宋体"/>
                <w:i w:val="0"/>
                <w:color w:val="000000"/>
                <w:sz w:val="18"/>
                <w:szCs w:val="18"/>
              </w:rPr>
            </w:pPr>
          </w:p>
        </w:tc>
        <w:tc>
          <w:tcPr>
            <w:tcW w:w="1644" w:type="dxa"/>
            <w:shd w:val="clear" w:color="auto" w:fill="auto"/>
            <w:vAlign w:val="center"/>
          </w:tcPr>
          <w:p>
            <w:pPr>
              <w:jc w:val="left"/>
              <w:rPr>
                <w:rFonts w:hint="eastAsia" w:ascii="宋体" w:hAnsi="宋体" w:eastAsia="宋体" w:cs="宋体"/>
                <w:i w:val="0"/>
                <w:color w:val="000000"/>
                <w:sz w:val="18"/>
                <w:szCs w:val="18"/>
              </w:rPr>
            </w:pPr>
          </w:p>
        </w:tc>
        <w:tc>
          <w:tcPr>
            <w:tcW w:w="1236" w:type="dxa"/>
            <w:shd w:val="clear" w:color="auto" w:fill="auto"/>
            <w:vAlign w:val="center"/>
          </w:tcPr>
          <w:p>
            <w:pPr>
              <w:jc w:val="left"/>
              <w:rPr>
                <w:rFonts w:hint="eastAsia" w:ascii="宋体" w:hAnsi="宋体" w:eastAsia="宋体" w:cs="宋体"/>
                <w:i w:val="0"/>
                <w:color w:val="000000"/>
                <w:sz w:val="18"/>
                <w:szCs w:val="18"/>
              </w:rPr>
            </w:pPr>
          </w:p>
        </w:tc>
        <w:tc>
          <w:tcPr>
            <w:tcW w:w="1728" w:type="dxa"/>
            <w:shd w:val="clear" w:color="auto" w:fill="auto"/>
            <w:vAlign w:val="center"/>
          </w:tcPr>
          <w:p>
            <w:pPr>
              <w:jc w:val="left"/>
              <w:rPr>
                <w:rFonts w:hint="eastAsia" w:ascii="宋体" w:hAnsi="宋体" w:eastAsia="宋体" w:cs="宋体"/>
                <w:i w:val="0"/>
                <w:color w:val="000000"/>
                <w:sz w:val="18"/>
                <w:szCs w:val="18"/>
              </w:rPr>
            </w:pPr>
          </w:p>
        </w:tc>
        <w:tc>
          <w:tcPr>
            <w:tcW w:w="1572" w:type="dxa"/>
            <w:shd w:val="clear" w:color="auto" w:fill="auto"/>
            <w:vAlign w:val="center"/>
          </w:tcPr>
          <w:p>
            <w:pPr>
              <w:jc w:val="left"/>
              <w:rPr>
                <w:rFonts w:hint="eastAsia" w:ascii="宋体" w:hAnsi="宋体" w:eastAsia="宋体" w:cs="宋体"/>
                <w:i w:val="0"/>
                <w:color w:val="000000"/>
                <w:sz w:val="18"/>
                <w:szCs w:val="18"/>
              </w:rPr>
            </w:pPr>
          </w:p>
        </w:tc>
        <w:tc>
          <w:tcPr>
            <w:tcW w:w="1608" w:type="dxa"/>
            <w:shd w:val="clear" w:color="auto" w:fill="auto"/>
            <w:vAlign w:val="center"/>
          </w:tcPr>
          <w:p>
            <w:pPr>
              <w:jc w:val="left"/>
              <w:rPr>
                <w:rFonts w:hint="eastAsia" w:ascii="宋体" w:hAnsi="宋体" w:eastAsia="宋体" w:cs="宋体"/>
                <w:i w:val="0"/>
                <w:color w:val="000000"/>
                <w:sz w:val="18"/>
                <w:szCs w:val="18"/>
              </w:rPr>
            </w:pPr>
          </w:p>
        </w:tc>
        <w:tc>
          <w:tcPr>
            <w:tcW w:w="2112" w:type="dxa"/>
            <w:shd w:val="clear" w:color="auto" w:fill="auto"/>
            <w:vAlign w:val="center"/>
          </w:tcPr>
          <w:p>
            <w:pPr>
              <w:jc w:val="left"/>
              <w:rPr>
                <w:rFonts w:hint="eastAsia" w:ascii="宋体" w:hAnsi="宋体" w:eastAsia="宋体" w:cs="宋体"/>
                <w:i w:val="0"/>
                <w:color w:val="000000"/>
                <w:sz w:val="18"/>
                <w:szCs w:val="18"/>
              </w:rPr>
            </w:pPr>
          </w:p>
        </w:tc>
        <w:tc>
          <w:tcPr>
            <w:tcW w:w="1560" w:type="dxa"/>
            <w:tcBorders>
              <w:right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shd w:val="clear" w:color="auto" w:fill="auto"/>
            <w:vAlign w:val="center"/>
          </w:tcPr>
          <w:p>
            <w:pPr>
              <w:jc w:val="left"/>
              <w:rPr>
                <w:rFonts w:hint="eastAsia" w:ascii="宋体" w:hAnsi="宋体" w:eastAsia="宋体" w:cs="宋体"/>
                <w:i w:val="0"/>
                <w:color w:val="000000"/>
                <w:sz w:val="18"/>
                <w:szCs w:val="18"/>
              </w:rPr>
            </w:pPr>
          </w:p>
        </w:tc>
        <w:tc>
          <w:tcPr>
            <w:tcW w:w="1652" w:type="dxa"/>
            <w:shd w:val="clear" w:color="auto" w:fill="auto"/>
            <w:vAlign w:val="center"/>
          </w:tcPr>
          <w:p>
            <w:pPr>
              <w:jc w:val="left"/>
              <w:rPr>
                <w:rFonts w:hint="eastAsia" w:ascii="宋体" w:hAnsi="宋体" w:eastAsia="宋体" w:cs="宋体"/>
                <w:i w:val="0"/>
                <w:color w:val="000000"/>
                <w:sz w:val="18"/>
                <w:szCs w:val="18"/>
              </w:rPr>
            </w:pPr>
          </w:p>
        </w:tc>
        <w:tc>
          <w:tcPr>
            <w:tcW w:w="1644" w:type="dxa"/>
            <w:shd w:val="clear" w:color="auto" w:fill="auto"/>
            <w:vAlign w:val="center"/>
          </w:tcPr>
          <w:p>
            <w:pPr>
              <w:jc w:val="left"/>
              <w:rPr>
                <w:rFonts w:hint="eastAsia" w:ascii="宋体" w:hAnsi="宋体" w:eastAsia="宋体" w:cs="宋体"/>
                <w:i w:val="0"/>
                <w:color w:val="000000"/>
                <w:sz w:val="18"/>
                <w:szCs w:val="18"/>
              </w:rPr>
            </w:pPr>
          </w:p>
        </w:tc>
        <w:tc>
          <w:tcPr>
            <w:tcW w:w="1236" w:type="dxa"/>
            <w:shd w:val="clear" w:color="auto" w:fill="auto"/>
            <w:vAlign w:val="center"/>
          </w:tcPr>
          <w:p>
            <w:pPr>
              <w:jc w:val="left"/>
              <w:rPr>
                <w:rFonts w:hint="eastAsia" w:ascii="宋体" w:hAnsi="宋体" w:eastAsia="宋体" w:cs="宋体"/>
                <w:i w:val="0"/>
                <w:color w:val="000000"/>
                <w:sz w:val="18"/>
                <w:szCs w:val="18"/>
              </w:rPr>
            </w:pPr>
          </w:p>
        </w:tc>
        <w:tc>
          <w:tcPr>
            <w:tcW w:w="1728" w:type="dxa"/>
            <w:shd w:val="clear" w:color="auto" w:fill="auto"/>
            <w:vAlign w:val="center"/>
          </w:tcPr>
          <w:p>
            <w:pPr>
              <w:jc w:val="left"/>
              <w:rPr>
                <w:rFonts w:hint="eastAsia" w:ascii="宋体" w:hAnsi="宋体" w:eastAsia="宋体" w:cs="宋体"/>
                <w:i w:val="0"/>
                <w:color w:val="000000"/>
                <w:sz w:val="18"/>
                <w:szCs w:val="18"/>
              </w:rPr>
            </w:pPr>
          </w:p>
        </w:tc>
        <w:tc>
          <w:tcPr>
            <w:tcW w:w="1572" w:type="dxa"/>
            <w:shd w:val="clear" w:color="auto" w:fill="auto"/>
            <w:vAlign w:val="center"/>
          </w:tcPr>
          <w:p>
            <w:pPr>
              <w:jc w:val="left"/>
              <w:rPr>
                <w:rFonts w:hint="eastAsia" w:ascii="宋体" w:hAnsi="宋体" w:eastAsia="宋体" w:cs="宋体"/>
                <w:i w:val="0"/>
                <w:color w:val="000000"/>
                <w:sz w:val="18"/>
                <w:szCs w:val="18"/>
              </w:rPr>
            </w:pPr>
          </w:p>
        </w:tc>
        <w:tc>
          <w:tcPr>
            <w:tcW w:w="1608" w:type="dxa"/>
            <w:shd w:val="clear" w:color="auto" w:fill="auto"/>
            <w:vAlign w:val="center"/>
          </w:tcPr>
          <w:p>
            <w:pPr>
              <w:jc w:val="left"/>
              <w:rPr>
                <w:rFonts w:hint="eastAsia" w:ascii="宋体" w:hAnsi="宋体" w:eastAsia="宋体" w:cs="宋体"/>
                <w:i w:val="0"/>
                <w:color w:val="000000"/>
                <w:sz w:val="18"/>
                <w:szCs w:val="18"/>
              </w:rPr>
            </w:pPr>
          </w:p>
        </w:tc>
        <w:tc>
          <w:tcPr>
            <w:tcW w:w="2112" w:type="dxa"/>
            <w:shd w:val="clear" w:color="auto" w:fill="auto"/>
            <w:vAlign w:val="center"/>
          </w:tcPr>
          <w:p>
            <w:pPr>
              <w:jc w:val="left"/>
              <w:rPr>
                <w:rFonts w:hint="eastAsia" w:ascii="宋体" w:hAnsi="宋体" w:eastAsia="宋体" w:cs="宋体"/>
                <w:i w:val="0"/>
                <w:color w:val="000000"/>
                <w:sz w:val="18"/>
                <w:szCs w:val="18"/>
              </w:rPr>
            </w:pPr>
          </w:p>
        </w:tc>
        <w:tc>
          <w:tcPr>
            <w:tcW w:w="1560"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5393" w:type="dxa"/>
            <w:gridSpan w:val="4"/>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0"/>
                <w:szCs w:val="20"/>
                <w:lang w:val="en-US" w:eastAsia="zh-CN" w:bidi="ar-SA"/>
              </w:rPr>
              <w:t>部门：信阳市平桥区人力资源和社会保障局（本级）</w:t>
            </w:r>
          </w:p>
        </w:tc>
        <w:tc>
          <w:tcPr>
            <w:tcW w:w="1728" w:type="dxa"/>
            <w:tcBorders>
              <w:bottom w:val="single" w:color="808080" w:sz="4" w:space="0"/>
            </w:tcBorders>
            <w:shd w:val="clear" w:color="auto" w:fill="auto"/>
            <w:vAlign w:val="center"/>
          </w:tcPr>
          <w:p>
            <w:pPr>
              <w:jc w:val="center"/>
              <w:rPr>
                <w:rFonts w:hint="eastAsia" w:ascii="宋体" w:hAnsi="宋体" w:eastAsia="宋体" w:cs="宋体"/>
                <w:i w:val="0"/>
                <w:color w:val="000000"/>
                <w:sz w:val="22"/>
                <w:szCs w:val="22"/>
              </w:rPr>
            </w:pPr>
          </w:p>
        </w:tc>
        <w:tc>
          <w:tcPr>
            <w:tcW w:w="157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608" w:type="dxa"/>
            <w:tcBorders>
              <w:bottom w:val="single" w:color="808080" w:sz="4" w:space="0"/>
            </w:tcBorders>
            <w:shd w:val="clear" w:color="auto" w:fill="auto"/>
            <w:vAlign w:val="center"/>
          </w:tcPr>
          <w:p>
            <w:pPr>
              <w:jc w:val="left"/>
              <w:rPr>
                <w:rFonts w:hint="default" w:ascii="宋体" w:hAnsi="宋体" w:eastAsia="宋体" w:cs="宋体"/>
                <w:i w:val="0"/>
                <w:color w:val="000000"/>
                <w:sz w:val="18"/>
                <w:szCs w:val="18"/>
                <w:lang w:val="en-US" w:eastAsia="zh-CN"/>
              </w:rPr>
            </w:pPr>
            <w:r>
              <w:rPr>
                <w:rFonts w:hint="eastAsia" w:cs="宋体"/>
                <w:i w:val="0"/>
                <w:color w:val="000000"/>
                <w:sz w:val="18"/>
                <w:szCs w:val="18"/>
                <w:lang w:val="en-US" w:eastAsia="zh-CN"/>
              </w:rPr>
              <w:t>2021年度</w:t>
            </w:r>
          </w:p>
        </w:tc>
        <w:tc>
          <w:tcPr>
            <w:tcW w:w="211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560" w:type="dxa"/>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18"/>
                <w:szCs w:val="18"/>
                <w:lang w:val="en-US" w:eastAsia="zh-CN" w:bidi="ar-SA"/>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157" w:type="dxa"/>
            <w:gridSpan w:val="3"/>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人员经费</w:t>
            </w:r>
          </w:p>
        </w:tc>
        <w:tc>
          <w:tcPr>
            <w:tcW w:w="9816" w:type="dxa"/>
            <w:gridSpan w:val="6"/>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61"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科目编码</w:t>
            </w:r>
          </w:p>
        </w:tc>
        <w:tc>
          <w:tcPr>
            <w:tcW w:w="165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164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决算数</w:t>
            </w:r>
          </w:p>
        </w:tc>
        <w:tc>
          <w:tcPr>
            <w:tcW w:w="123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科目编码</w:t>
            </w:r>
          </w:p>
        </w:tc>
        <w:tc>
          <w:tcPr>
            <w:tcW w:w="172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157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决算数</w:t>
            </w:r>
          </w:p>
        </w:tc>
        <w:tc>
          <w:tcPr>
            <w:tcW w:w="160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科目编码</w:t>
            </w:r>
          </w:p>
        </w:tc>
        <w:tc>
          <w:tcPr>
            <w:tcW w:w="211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156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86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5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3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2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11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6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工资福利支出</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1,425.14</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商品和服务支出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467.08</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307</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债务利息及费用支出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30101</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基本工资</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508.93</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30201</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办公费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80.94</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30701</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国内债务付息</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30102</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津贴补贴</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52.79</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30202</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印刷费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92.95</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30702</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国外债务付息</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30103</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奖金</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23.44</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30203</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咨询费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资本性支出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30106</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伙食补助费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57.28</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30204</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手续费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31001</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房屋建筑物购建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30107</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绩效工资</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223.29</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30205</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水费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1.56</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31002</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办公设备购置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30108</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机关事业单位基本养老保险缴费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127.28</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30206</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电费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18.48</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31003</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专用设备购置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30109</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职业年金缴费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30207</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邮电费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14.36</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31005</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基础设施建设</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30110</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职工基本医疗保险缴费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65.08</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30208</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取暖费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31006</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大型修缮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30111</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公务员医疗补助缴费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30209</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物业管理费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31007</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信息网络及软件购置更新</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30112</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其他社会保障缴费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8.65</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30211</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差旅费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2.83</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31008</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物资储备</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30113</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住房公积金</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128.97</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30212</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因公出国（境）费用</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31009</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土地补偿</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30114</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医疗费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30213</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维修（护）费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37.70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31010</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安置补助</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30199</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其他工资福利支出</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229.42</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30214</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租赁费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31011</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地上附着物和青苗补偿</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对个人和家庭的补助</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2.47</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30215</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会议费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31012</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拆迁补偿</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30301</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离休费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30216</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培训费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31013</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公务用车购置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30302</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退休费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30217</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公务接待费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2.49</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31019</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其他交通工具购置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30303</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退职（役）费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30218</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专用材料费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31021</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文物和陈列品购置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30304</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抚恤金</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30224</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被装购置费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31022</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无形资产购置</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30305</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生活补助</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2.47</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30225</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专用燃料费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31099</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其他资本性支出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30306</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救济费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30226</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劳务费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119.10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399</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其他支出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30307</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医疗费补助</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30227</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委托业务费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39906</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赠与</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30308</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助学金</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30228</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工会经费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14.80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39907</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国家赔偿费用支出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30309</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奖励金</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30229</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福利费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16.28</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39908</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对民间非营利组织和群众性自治组织补贴</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30310</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个人农业生产补贴</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30231</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公务用车运行维护费</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39999</w:t>
            </w:r>
          </w:p>
        </w:tc>
        <w:tc>
          <w:tcPr>
            <w:tcW w:w="211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其他支出</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30311</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代缴社会保险费</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30239</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其他交通费用</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32.94</w:t>
            </w:r>
          </w:p>
        </w:tc>
        <w:tc>
          <w:tcPr>
            <w:tcW w:w="160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211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30399</w:t>
            </w:r>
          </w:p>
        </w:tc>
        <w:tc>
          <w:tcPr>
            <w:tcW w:w="1652"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其他对个人和家庭的补助</w:t>
            </w: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30240</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税金及附加费用</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60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211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61"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65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0.00</w:t>
            </w:r>
          </w:p>
        </w:tc>
        <w:tc>
          <w:tcPr>
            <w:tcW w:w="1236"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30299</w:t>
            </w:r>
          </w:p>
        </w:tc>
        <w:tc>
          <w:tcPr>
            <w:tcW w:w="1728" w:type="dxa"/>
            <w:tcBorders>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 xml:space="preserve">  其他商品和服务支出</w:t>
            </w:r>
          </w:p>
        </w:tc>
        <w:tc>
          <w:tcPr>
            <w:tcW w:w="157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rPr>
            </w:pPr>
            <w:r>
              <w:rPr>
                <w:rFonts w:hint="eastAsia" w:ascii="宋体" w:hAnsi="宋体" w:eastAsia="宋体" w:cs="宋体"/>
                <w:i w:val="0"/>
                <w:iCs w:val="0"/>
                <w:color w:val="000000"/>
                <w:kern w:val="0"/>
                <w:sz w:val="20"/>
                <w:szCs w:val="20"/>
                <w:u w:val="none"/>
                <w:lang w:val="en-US" w:eastAsia="zh-CN" w:bidi="ar"/>
              </w:rPr>
              <w:t>32.66</w:t>
            </w:r>
          </w:p>
        </w:tc>
        <w:tc>
          <w:tcPr>
            <w:tcW w:w="1608"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211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560" w:type="dxa"/>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513"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人员经费合计</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1,427.60</w:t>
            </w:r>
          </w:p>
        </w:tc>
        <w:tc>
          <w:tcPr>
            <w:tcW w:w="8256" w:type="dxa"/>
            <w:gridSpan w:val="5"/>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公用经费合计</w:t>
            </w:r>
          </w:p>
        </w:tc>
        <w:tc>
          <w:tcPr>
            <w:tcW w:w="1560"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467.08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73" w:type="dxa"/>
            <w:gridSpan w:val="9"/>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注：本表反映部门本年度一般公共预算财政拨款基本支出明细情况。</w:t>
            </w:r>
          </w:p>
        </w:tc>
      </w:tr>
    </w:tbl>
    <w:p>
      <w:pPr>
        <w:ind w:firstLine="640" w:firstLineChars="200"/>
        <w:rPr>
          <w:rFonts w:hint="eastAsia"/>
          <w:sz w:val="32"/>
          <w:szCs w:val="32"/>
        </w:rPr>
      </w:pPr>
    </w:p>
    <w:p>
      <w:pPr>
        <w:ind w:firstLine="560" w:firstLineChars="200"/>
        <w:rPr>
          <w:rFonts w:hint="eastAsia"/>
          <w:sz w:val="28"/>
          <w:szCs w:val="28"/>
        </w:rPr>
      </w:pPr>
      <w:r>
        <w:rPr>
          <w:rFonts w:hint="eastAsia"/>
          <w:sz w:val="28"/>
          <w:szCs w:val="28"/>
        </w:rPr>
        <w:t>七、一般公共预算财政拨款“三公”经费支出决算表</w:t>
      </w:r>
    </w:p>
    <w:tbl>
      <w:tblPr>
        <w:tblStyle w:val="5"/>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7"/>
        <w:gridCol w:w="948"/>
        <w:gridCol w:w="1080"/>
        <w:gridCol w:w="1200"/>
        <w:gridCol w:w="1392"/>
        <w:gridCol w:w="1272"/>
        <w:gridCol w:w="1188"/>
        <w:gridCol w:w="1200"/>
        <w:gridCol w:w="1272"/>
        <w:gridCol w:w="1116"/>
        <w:gridCol w:w="1032"/>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3985" w:type="dxa"/>
            <w:gridSpan w:val="12"/>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6"/>
                <w:szCs w:val="36"/>
                <w:lang w:val="en-US" w:eastAsia="zh-CN" w:bidi="ar-SA"/>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57" w:type="dxa"/>
            <w:shd w:val="clear" w:color="auto" w:fill="auto"/>
            <w:vAlign w:val="center"/>
          </w:tcPr>
          <w:p>
            <w:pPr>
              <w:widowControl/>
              <w:jc w:val="left"/>
              <w:textAlignment w:val="center"/>
              <w:rPr>
                <w:rFonts w:hint="eastAsia" w:ascii="宋体" w:hAnsi="宋体" w:eastAsia="宋体" w:cs="宋体"/>
                <w:i w:val="0"/>
                <w:color w:val="000000"/>
                <w:sz w:val="22"/>
                <w:szCs w:val="22"/>
              </w:rPr>
            </w:pPr>
          </w:p>
        </w:tc>
        <w:tc>
          <w:tcPr>
            <w:tcW w:w="948" w:type="dxa"/>
            <w:shd w:val="clear" w:color="auto" w:fill="auto"/>
            <w:vAlign w:val="center"/>
          </w:tcPr>
          <w:p>
            <w:pPr>
              <w:jc w:val="left"/>
              <w:rPr>
                <w:rFonts w:hint="eastAsia" w:ascii="宋体" w:hAnsi="宋体" w:eastAsia="宋体" w:cs="宋体"/>
                <w:i w:val="0"/>
                <w:color w:val="000000"/>
                <w:sz w:val="18"/>
                <w:szCs w:val="18"/>
              </w:rPr>
            </w:pPr>
          </w:p>
        </w:tc>
        <w:tc>
          <w:tcPr>
            <w:tcW w:w="1080" w:type="dxa"/>
            <w:shd w:val="clear" w:color="auto" w:fill="auto"/>
            <w:vAlign w:val="center"/>
          </w:tcPr>
          <w:p>
            <w:pPr>
              <w:jc w:val="left"/>
              <w:rPr>
                <w:rFonts w:hint="eastAsia" w:ascii="宋体" w:hAnsi="宋体" w:eastAsia="宋体" w:cs="宋体"/>
                <w:i w:val="0"/>
                <w:color w:val="000000"/>
                <w:sz w:val="18"/>
                <w:szCs w:val="18"/>
              </w:rPr>
            </w:pPr>
          </w:p>
        </w:tc>
        <w:tc>
          <w:tcPr>
            <w:tcW w:w="1200" w:type="dxa"/>
            <w:shd w:val="clear" w:color="auto" w:fill="auto"/>
            <w:vAlign w:val="center"/>
          </w:tcPr>
          <w:p>
            <w:pPr>
              <w:jc w:val="left"/>
              <w:rPr>
                <w:rFonts w:hint="eastAsia" w:ascii="宋体" w:hAnsi="宋体" w:eastAsia="宋体" w:cs="宋体"/>
                <w:i w:val="0"/>
                <w:color w:val="000000"/>
                <w:sz w:val="18"/>
                <w:szCs w:val="18"/>
              </w:rPr>
            </w:pPr>
          </w:p>
        </w:tc>
        <w:tc>
          <w:tcPr>
            <w:tcW w:w="1392" w:type="dxa"/>
            <w:shd w:val="clear" w:color="auto" w:fill="auto"/>
            <w:vAlign w:val="center"/>
          </w:tcPr>
          <w:p>
            <w:pPr>
              <w:jc w:val="left"/>
              <w:rPr>
                <w:rFonts w:hint="eastAsia" w:ascii="宋体" w:hAnsi="宋体" w:eastAsia="宋体" w:cs="宋体"/>
                <w:i w:val="0"/>
                <w:color w:val="000000"/>
                <w:sz w:val="18"/>
                <w:szCs w:val="18"/>
              </w:rPr>
            </w:pPr>
          </w:p>
        </w:tc>
        <w:tc>
          <w:tcPr>
            <w:tcW w:w="1272" w:type="dxa"/>
            <w:shd w:val="clear" w:color="auto" w:fill="auto"/>
            <w:vAlign w:val="center"/>
          </w:tcPr>
          <w:p>
            <w:pPr>
              <w:jc w:val="left"/>
              <w:rPr>
                <w:rFonts w:hint="eastAsia" w:ascii="宋体" w:hAnsi="宋体" w:eastAsia="宋体" w:cs="宋体"/>
                <w:i w:val="0"/>
                <w:color w:val="000000"/>
                <w:sz w:val="18"/>
                <w:szCs w:val="18"/>
              </w:rPr>
            </w:pPr>
          </w:p>
        </w:tc>
        <w:tc>
          <w:tcPr>
            <w:tcW w:w="1188" w:type="dxa"/>
            <w:shd w:val="clear" w:color="auto" w:fill="auto"/>
            <w:vAlign w:val="center"/>
          </w:tcPr>
          <w:p>
            <w:pPr>
              <w:jc w:val="left"/>
              <w:rPr>
                <w:rFonts w:hint="eastAsia" w:ascii="宋体" w:hAnsi="宋体" w:eastAsia="宋体" w:cs="宋体"/>
                <w:i w:val="0"/>
                <w:color w:val="000000"/>
                <w:sz w:val="18"/>
                <w:szCs w:val="18"/>
              </w:rPr>
            </w:pPr>
          </w:p>
        </w:tc>
        <w:tc>
          <w:tcPr>
            <w:tcW w:w="1200" w:type="dxa"/>
            <w:shd w:val="clear" w:color="auto" w:fill="auto"/>
            <w:vAlign w:val="center"/>
          </w:tcPr>
          <w:p>
            <w:pPr>
              <w:jc w:val="left"/>
              <w:rPr>
                <w:rFonts w:hint="eastAsia" w:ascii="宋体" w:hAnsi="宋体" w:eastAsia="宋体" w:cs="宋体"/>
                <w:i w:val="0"/>
                <w:color w:val="000000"/>
                <w:sz w:val="18"/>
                <w:szCs w:val="18"/>
              </w:rPr>
            </w:pPr>
          </w:p>
        </w:tc>
        <w:tc>
          <w:tcPr>
            <w:tcW w:w="1272" w:type="dxa"/>
            <w:shd w:val="clear" w:color="auto" w:fill="auto"/>
            <w:vAlign w:val="center"/>
          </w:tcPr>
          <w:p>
            <w:pPr>
              <w:jc w:val="left"/>
              <w:rPr>
                <w:rFonts w:hint="eastAsia" w:ascii="宋体" w:hAnsi="宋体" w:eastAsia="宋体" w:cs="宋体"/>
                <w:i w:val="0"/>
                <w:color w:val="000000"/>
                <w:sz w:val="18"/>
                <w:szCs w:val="18"/>
              </w:rPr>
            </w:pPr>
          </w:p>
        </w:tc>
        <w:tc>
          <w:tcPr>
            <w:tcW w:w="1116" w:type="dxa"/>
            <w:shd w:val="clear" w:color="auto" w:fill="auto"/>
            <w:vAlign w:val="center"/>
          </w:tcPr>
          <w:p>
            <w:pPr>
              <w:jc w:val="left"/>
              <w:rPr>
                <w:rFonts w:hint="eastAsia" w:ascii="宋体" w:hAnsi="宋体" w:eastAsia="宋体" w:cs="宋体"/>
                <w:i w:val="0"/>
                <w:color w:val="000000"/>
                <w:sz w:val="18"/>
                <w:szCs w:val="18"/>
              </w:rPr>
            </w:pPr>
          </w:p>
        </w:tc>
        <w:tc>
          <w:tcPr>
            <w:tcW w:w="1032" w:type="dxa"/>
            <w:shd w:val="clear" w:color="auto" w:fill="auto"/>
            <w:vAlign w:val="center"/>
          </w:tcPr>
          <w:p>
            <w:pPr>
              <w:jc w:val="left"/>
              <w:rPr>
                <w:rFonts w:hint="eastAsia" w:ascii="宋体" w:hAnsi="宋体" w:eastAsia="宋体" w:cs="宋体"/>
                <w:i w:val="0"/>
                <w:color w:val="000000"/>
                <w:sz w:val="18"/>
                <w:szCs w:val="18"/>
              </w:rPr>
            </w:pPr>
          </w:p>
        </w:tc>
        <w:tc>
          <w:tcPr>
            <w:tcW w:w="1128"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4385" w:type="dxa"/>
            <w:gridSpan w:val="4"/>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139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272" w:type="dxa"/>
            <w:tcBorders>
              <w:bottom w:val="single" w:color="808080" w:sz="4" w:space="0"/>
            </w:tcBorders>
            <w:shd w:val="clear" w:color="auto" w:fill="auto"/>
            <w:vAlign w:val="center"/>
          </w:tcPr>
          <w:p>
            <w:pPr>
              <w:widowControl/>
              <w:jc w:val="center"/>
              <w:textAlignment w:val="center"/>
              <w:rPr>
                <w:rFonts w:hint="eastAsia" w:ascii="宋体" w:hAnsi="宋体" w:eastAsia="宋体" w:cs="宋体"/>
                <w:i w:val="0"/>
                <w:color w:val="000000"/>
                <w:sz w:val="24"/>
                <w:szCs w:val="24"/>
              </w:rPr>
            </w:pPr>
          </w:p>
        </w:tc>
        <w:tc>
          <w:tcPr>
            <w:tcW w:w="1188" w:type="dxa"/>
            <w:tcBorders>
              <w:bottom w:val="single" w:color="808080" w:sz="4" w:space="0"/>
            </w:tcBorders>
            <w:shd w:val="clear" w:color="auto" w:fill="auto"/>
            <w:vAlign w:val="center"/>
          </w:tcPr>
          <w:p>
            <w:pPr>
              <w:jc w:val="left"/>
              <w:rPr>
                <w:rFonts w:hint="default" w:ascii="宋体" w:hAnsi="宋体" w:eastAsia="宋体" w:cs="宋体"/>
                <w:i w:val="0"/>
                <w:color w:val="000000"/>
                <w:sz w:val="20"/>
                <w:szCs w:val="20"/>
                <w:lang w:val="en-US" w:eastAsia="zh-CN"/>
              </w:rPr>
            </w:pPr>
            <w:r>
              <w:rPr>
                <w:rFonts w:hint="eastAsia" w:cs="宋体"/>
                <w:i w:val="0"/>
                <w:color w:val="000000"/>
                <w:sz w:val="21"/>
                <w:szCs w:val="21"/>
                <w:lang w:val="en-US" w:eastAsia="zh-CN"/>
              </w:rPr>
              <w:t>2021年度</w:t>
            </w:r>
          </w:p>
        </w:tc>
        <w:tc>
          <w:tcPr>
            <w:tcW w:w="1200"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27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1116"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2160" w:type="dxa"/>
            <w:gridSpan w:val="2"/>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7049" w:type="dxa"/>
            <w:gridSpan w:val="6"/>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预算数</w:t>
            </w:r>
          </w:p>
        </w:tc>
        <w:tc>
          <w:tcPr>
            <w:tcW w:w="6936" w:type="dxa"/>
            <w:gridSpan w:val="6"/>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57" w:type="dxa"/>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94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因公出国（境）费</w:t>
            </w:r>
          </w:p>
        </w:tc>
        <w:tc>
          <w:tcPr>
            <w:tcW w:w="3672" w:type="dxa"/>
            <w:gridSpan w:val="3"/>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公务用车购置及运行费</w:t>
            </w:r>
          </w:p>
        </w:tc>
        <w:tc>
          <w:tcPr>
            <w:tcW w:w="127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公务接待费</w:t>
            </w:r>
          </w:p>
        </w:tc>
        <w:tc>
          <w:tcPr>
            <w:tcW w:w="118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120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因公出国（境）费</w:t>
            </w:r>
          </w:p>
        </w:tc>
        <w:tc>
          <w:tcPr>
            <w:tcW w:w="3420" w:type="dxa"/>
            <w:gridSpan w:val="3"/>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公务用车购置及运行费</w:t>
            </w:r>
          </w:p>
        </w:tc>
        <w:tc>
          <w:tcPr>
            <w:tcW w:w="112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15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94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小计</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公务用车购置费</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公务用车运行费</w:t>
            </w:r>
          </w:p>
        </w:tc>
        <w:tc>
          <w:tcPr>
            <w:tcW w:w="12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18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0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2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小计</w:t>
            </w:r>
          </w:p>
        </w:tc>
        <w:tc>
          <w:tcPr>
            <w:tcW w:w="11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公务用车购置费</w:t>
            </w:r>
          </w:p>
        </w:tc>
        <w:tc>
          <w:tcPr>
            <w:tcW w:w="103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公务用车运行费</w:t>
            </w:r>
          </w:p>
        </w:tc>
        <w:tc>
          <w:tcPr>
            <w:tcW w:w="112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9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2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c>
          <w:tcPr>
            <w:tcW w:w="118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7</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8</w:t>
            </w:r>
          </w:p>
        </w:tc>
        <w:tc>
          <w:tcPr>
            <w:tcW w:w="12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9</w:t>
            </w:r>
          </w:p>
        </w:tc>
        <w:tc>
          <w:tcPr>
            <w:tcW w:w="11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10</w:t>
            </w:r>
          </w:p>
        </w:tc>
        <w:tc>
          <w:tcPr>
            <w:tcW w:w="103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11</w:t>
            </w:r>
          </w:p>
        </w:tc>
        <w:tc>
          <w:tcPr>
            <w:tcW w:w="112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57"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2.48</w:t>
            </w:r>
          </w:p>
        </w:tc>
        <w:tc>
          <w:tcPr>
            <w:tcW w:w="94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39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72"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2.48</w:t>
            </w:r>
          </w:p>
        </w:tc>
        <w:tc>
          <w:tcPr>
            <w:tcW w:w="118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2.48</w:t>
            </w:r>
          </w:p>
        </w:tc>
        <w:tc>
          <w:tcPr>
            <w:tcW w:w="120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2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1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03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0.00</w:t>
            </w:r>
          </w:p>
        </w:tc>
        <w:tc>
          <w:tcPr>
            <w:tcW w:w="1128" w:type="dxa"/>
            <w:tcBorders>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color w:val="000000"/>
                <w:sz w:val="20"/>
                <w:szCs w:val="20"/>
                <w:lang w:val="en-US"/>
              </w:rPr>
            </w:pPr>
            <w:r>
              <w:rPr>
                <w:rFonts w:hint="eastAsia" w:cs="宋体"/>
                <w:i w:val="0"/>
                <w:color w:val="000000"/>
                <w:kern w:val="0"/>
                <w:sz w:val="20"/>
                <w:szCs w:val="20"/>
                <w:lang w:val="en-US" w:eastAsia="zh-CN" w:bidi="ar-SA"/>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13985" w:type="dxa"/>
            <w:gridSpan w:val="12"/>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注：本表反映部门本年度“三公”经费支出预决算情况。其中，预算数为“三公”经费年初预算数；决算数是包括当年一般公共预算财政拨款和以前年度结转资金安排的实际支出。</w:t>
            </w:r>
          </w:p>
        </w:tc>
      </w:tr>
    </w:tbl>
    <w:p>
      <w:pPr>
        <w:ind w:firstLine="640" w:firstLineChars="200"/>
        <w:rPr>
          <w:rFonts w:hint="eastAsia"/>
          <w:sz w:val="32"/>
          <w:szCs w:val="32"/>
        </w:rPr>
      </w:pPr>
    </w:p>
    <w:p>
      <w:pPr>
        <w:numPr>
          <w:ilvl w:val="0"/>
          <w:numId w:val="6"/>
        </w:numPr>
        <w:ind w:firstLine="560" w:firstLineChars="200"/>
        <w:rPr>
          <w:rFonts w:hint="eastAsia"/>
          <w:sz w:val="28"/>
          <w:szCs w:val="28"/>
        </w:rPr>
      </w:pPr>
      <w:r>
        <w:rPr>
          <w:rFonts w:hint="eastAsia"/>
          <w:sz w:val="28"/>
          <w:szCs w:val="28"/>
        </w:rPr>
        <w:t>政府性基金预算财政拨款收入支出决算表</w:t>
      </w:r>
    </w:p>
    <w:tbl>
      <w:tblPr>
        <w:tblStyle w:val="5"/>
        <w:tblW w:w="13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2"/>
        <w:gridCol w:w="1196"/>
        <w:gridCol w:w="401"/>
        <w:gridCol w:w="1752"/>
        <w:gridCol w:w="2040"/>
        <w:gridCol w:w="1644"/>
        <w:gridCol w:w="1716"/>
        <w:gridCol w:w="1572"/>
        <w:gridCol w:w="160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3985" w:type="dxa"/>
            <w:gridSpan w:val="10"/>
            <w:tcBorders>
              <w:right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黑体" w:hAnsi="宋体" w:eastAsia="黑体" w:cs="黑体"/>
                <w:i w:val="0"/>
                <w:color w:val="000000"/>
                <w:kern w:val="0"/>
                <w:sz w:val="30"/>
                <w:szCs w:val="30"/>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72" w:type="dxa"/>
            <w:shd w:val="clear" w:color="auto" w:fill="auto"/>
            <w:vAlign w:val="center"/>
          </w:tcPr>
          <w:p>
            <w:pPr>
              <w:jc w:val="left"/>
              <w:rPr>
                <w:rFonts w:hint="eastAsia" w:ascii="宋体" w:hAnsi="宋体" w:eastAsia="宋体" w:cs="宋体"/>
                <w:i w:val="0"/>
                <w:color w:val="000000"/>
                <w:sz w:val="18"/>
                <w:szCs w:val="18"/>
              </w:rPr>
            </w:pPr>
          </w:p>
        </w:tc>
        <w:tc>
          <w:tcPr>
            <w:tcW w:w="1196" w:type="dxa"/>
            <w:shd w:val="clear" w:color="auto" w:fill="auto"/>
            <w:vAlign w:val="center"/>
          </w:tcPr>
          <w:p>
            <w:pPr>
              <w:jc w:val="left"/>
              <w:rPr>
                <w:rFonts w:hint="eastAsia" w:ascii="宋体" w:hAnsi="宋体" w:eastAsia="宋体" w:cs="宋体"/>
                <w:i w:val="0"/>
                <w:color w:val="000000"/>
                <w:sz w:val="18"/>
                <w:szCs w:val="18"/>
              </w:rPr>
            </w:pPr>
          </w:p>
        </w:tc>
        <w:tc>
          <w:tcPr>
            <w:tcW w:w="401" w:type="dxa"/>
            <w:shd w:val="clear" w:color="auto" w:fill="auto"/>
            <w:vAlign w:val="center"/>
          </w:tcPr>
          <w:p>
            <w:pPr>
              <w:jc w:val="left"/>
              <w:rPr>
                <w:rFonts w:hint="eastAsia" w:ascii="宋体" w:hAnsi="宋体" w:eastAsia="宋体" w:cs="宋体"/>
                <w:i w:val="0"/>
                <w:color w:val="000000"/>
                <w:sz w:val="18"/>
                <w:szCs w:val="18"/>
              </w:rPr>
            </w:pPr>
          </w:p>
        </w:tc>
        <w:tc>
          <w:tcPr>
            <w:tcW w:w="1752" w:type="dxa"/>
            <w:shd w:val="clear" w:color="auto" w:fill="auto"/>
            <w:vAlign w:val="center"/>
          </w:tcPr>
          <w:p>
            <w:pPr>
              <w:jc w:val="left"/>
              <w:rPr>
                <w:rFonts w:hint="eastAsia" w:ascii="宋体" w:hAnsi="宋体" w:eastAsia="宋体" w:cs="宋体"/>
                <w:i w:val="0"/>
                <w:color w:val="000000"/>
                <w:sz w:val="18"/>
                <w:szCs w:val="18"/>
              </w:rPr>
            </w:pPr>
          </w:p>
        </w:tc>
        <w:tc>
          <w:tcPr>
            <w:tcW w:w="2040" w:type="dxa"/>
            <w:shd w:val="clear" w:color="auto" w:fill="auto"/>
            <w:vAlign w:val="center"/>
          </w:tcPr>
          <w:p>
            <w:pPr>
              <w:jc w:val="left"/>
              <w:rPr>
                <w:rFonts w:hint="eastAsia" w:ascii="宋体" w:hAnsi="宋体" w:eastAsia="宋体" w:cs="宋体"/>
                <w:i w:val="0"/>
                <w:color w:val="000000"/>
                <w:sz w:val="18"/>
                <w:szCs w:val="18"/>
              </w:rPr>
            </w:pPr>
          </w:p>
        </w:tc>
        <w:tc>
          <w:tcPr>
            <w:tcW w:w="1644" w:type="dxa"/>
            <w:shd w:val="clear" w:color="auto" w:fill="auto"/>
            <w:vAlign w:val="center"/>
          </w:tcPr>
          <w:p>
            <w:pPr>
              <w:jc w:val="left"/>
              <w:rPr>
                <w:rFonts w:hint="eastAsia" w:ascii="宋体" w:hAnsi="宋体" w:eastAsia="宋体" w:cs="宋体"/>
                <w:i w:val="0"/>
                <w:color w:val="000000"/>
                <w:sz w:val="18"/>
                <w:szCs w:val="18"/>
              </w:rPr>
            </w:pPr>
          </w:p>
        </w:tc>
        <w:tc>
          <w:tcPr>
            <w:tcW w:w="1716" w:type="dxa"/>
            <w:shd w:val="clear" w:color="auto" w:fill="auto"/>
            <w:vAlign w:val="center"/>
          </w:tcPr>
          <w:p>
            <w:pPr>
              <w:jc w:val="left"/>
              <w:rPr>
                <w:rFonts w:hint="eastAsia" w:ascii="宋体" w:hAnsi="宋体" w:eastAsia="宋体" w:cs="宋体"/>
                <w:i w:val="0"/>
                <w:color w:val="000000"/>
                <w:sz w:val="18"/>
                <w:szCs w:val="18"/>
              </w:rPr>
            </w:pPr>
          </w:p>
        </w:tc>
        <w:tc>
          <w:tcPr>
            <w:tcW w:w="1572" w:type="dxa"/>
            <w:shd w:val="clear" w:color="auto" w:fill="auto"/>
            <w:vAlign w:val="center"/>
          </w:tcPr>
          <w:p>
            <w:pPr>
              <w:jc w:val="left"/>
              <w:rPr>
                <w:rFonts w:hint="eastAsia" w:ascii="宋体" w:hAnsi="宋体" w:eastAsia="宋体" w:cs="宋体"/>
                <w:i w:val="0"/>
                <w:color w:val="000000"/>
                <w:sz w:val="18"/>
                <w:szCs w:val="18"/>
              </w:rPr>
            </w:pPr>
          </w:p>
        </w:tc>
        <w:tc>
          <w:tcPr>
            <w:tcW w:w="1608" w:type="dxa"/>
            <w:shd w:val="clear" w:color="auto" w:fill="auto"/>
            <w:vAlign w:val="center"/>
          </w:tcPr>
          <w:p>
            <w:pPr>
              <w:jc w:val="left"/>
              <w:rPr>
                <w:rFonts w:hint="eastAsia" w:ascii="宋体" w:hAnsi="宋体" w:eastAsia="宋体" w:cs="宋体"/>
                <w:i w:val="0"/>
                <w:color w:val="000000"/>
                <w:sz w:val="18"/>
                <w:szCs w:val="18"/>
              </w:rPr>
            </w:pPr>
          </w:p>
        </w:tc>
        <w:tc>
          <w:tcPr>
            <w:tcW w:w="1584" w:type="dxa"/>
            <w:tcBorders>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861" w:type="dxa"/>
            <w:gridSpan w:val="5"/>
            <w:tcBorders>
              <w:bottom w:val="single" w:color="808080" w:sz="4" w:space="0"/>
            </w:tcBorders>
            <w:shd w:val="clear" w:color="auto" w:fill="auto"/>
            <w:vAlign w:val="center"/>
          </w:tcPr>
          <w:p>
            <w:pPr>
              <w:widowControl/>
              <w:jc w:val="lef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部门：信阳市平桥区人力资源和社会保障局（本级）</w:t>
            </w:r>
          </w:p>
        </w:tc>
        <w:tc>
          <w:tcPr>
            <w:tcW w:w="3360" w:type="dxa"/>
            <w:gridSpan w:val="2"/>
            <w:tcBorders>
              <w:bottom w:val="single" w:color="808080" w:sz="4" w:space="0"/>
            </w:tcBorders>
            <w:shd w:val="clear" w:color="auto" w:fill="auto"/>
            <w:vAlign w:val="center"/>
          </w:tcPr>
          <w:p>
            <w:pPr>
              <w:jc w:val="center"/>
              <w:rPr>
                <w:rFonts w:hint="eastAsia" w:ascii="宋体" w:hAnsi="宋体" w:eastAsia="宋体" w:cs="宋体"/>
                <w:i w:val="0"/>
                <w:color w:val="000000"/>
                <w:sz w:val="18"/>
                <w:szCs w:val="18"/>
              </w:rPr>
            </w:pPr>
            <w:r>
              <w:rPr>
                <w:rFonts w:hint="eastAsia" w:ascii="宋体" w:hAnsi="宋体" w:eastAsia="宋体" w:cs="宋体"/>
                <w:i w:val="0"/>
                <w:color w:val="000000"/>
                <w:kern w:val="0"/>
                <w:sz w:val="22"/>
                <w:szCs w:val="22"/>
                <w:lang w:val="en-US" w:eastAsia="zh-CN" w:bidi="ar-SA"/>
              </w:rPr>
              <w:t>2021年度</w:t>
            </w:r>
          </w:p>
        </w:tc>
        <w:tc>
          <w:tcPr>
            <w:tcW w:w="1572" w:type="dxa"/>
            <w:tcBorders>
              <w:bottom w:val="single" w:color="808080" w:sz="4" w:space="0"/>
            </w:tcBorders>
            <w:shd w:val="clear" w:color="auto" w:fill="auto"/>
            <w:vAlign w:val="center"/>
          </w:tcPr>
          <w:p>
            <w:pPr>
              <w:jc w:val="left"/>
              <w:rPr>
                <w:rFonts w:hint="eastAsia" w:ascii="宋体" w:hAnsi="宋体" w:eastAsia="宋体" w:cs="宋体"/>
                <w:i w:val="0"/>
                <w:color w:val="000000"/>
                <w:sz w:val="18"/>
                <w:szCs w:val="18"/>
              </w:rPr>
            </w:pPr>
          </w:p>
        </w:tc>
        <w:tc>
          <w:tcPr>
            <w:tcW w:w="3192" w:type="dxa"/>
            <w:gridSpan w:val="2"/>
            <w:tcBorders>
              <w:bottom w:val="single" w:color="808080" w:sz="4" w:space="0"/>
              <w:right w:val="single" w:color="808080" w:sz="4" w:space="0"/>
            </w:tcBorders>
            <w:shd w:val="clear" w:color="auto" w:fill="auto"/>
            <w:vAlign w:val="center"/>
          </w:tcPr>
          <w:p>
            <w:pPr>
              <w:widowControl/>
              <w:jc w:val="right"/>
              <w:textAlignment w:val="center"/>
              <w:rPr>
                <w:rFonts w:hint="eastAsia" w:ascii="宋体" w:hAnsi="宋体" w:eastAsia="宋体" w:cs="宋体"/>
                <w:i w:val="0"/>
                <w:color w:val="000000"/>
                <w:sz w:val="22"/>
                <w:szCs w:val="22"/>
              </w:rPr>
            </w:pPr>
            <w:r>
              <w:rPr>
                <w:rFonts w:hint="eastAsia" w:ascii="宋体" w:hAnsi="宋体" w:eastAsia="宋体" w:cs="宋体"/>
                <w:i w:val="0"/>
                <w:color w:val="000000"/>
                <w:kern w:val="0"/>
                <w:sz w:val="22"/>
                <w:szCs w:val="22"/>
                <w:lang w:val="en-US" w:eastAsia="zh-CN" w:bidi="ar-SA"/>
              </w:rPr>
              <w:t>金额单位：</w:t>
            </w:r>
            <w:r>
              <w:rPr>
                <w:rFonts w:hint="eastAsia" w:cs="宋体"/>
                <w:i w:val="0"/>
                <w:color w:val="000000"/>
                <w:kern w:val="0"/>
                <w:sz w:val="22"/>
                <w:szCs w:val="22"/>
                <w:lang w:val="en-US" w:eastAsia="zh-CN" w:bidi="ar-SA"/>
              </w:rPr>
              <w:t>万</w:t>
            </w:r>
            <w:r>
              <w:rPr>
                <w:rFonts w:hint="eastAsia" w:ascii="宋体" w:hAnsi="宋体" w:eastAsia="宋体" w:cs="宋体"/>
                <w:i w:val="0"/>
                <w:color w:val="000000"/>
                <w:kern w:val="0"/>
                <w:sz w:val="22"/>
                <w:szCs w:val="22"/>
                <w:lang w:val="en-US" w:eastAsia="zh-CN" w:bidi="ar-SA"/>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21"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w:t>
            </w:r>
          </w:p>
        </w:tc>
        <w:tc>
          <w:tcPr>
            <w:tcW w:w="2040"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年初结转和结余</w:t>
            </w:r>
          </w:p>
        </w:tc>
        <w:tc>
          <w:tcPr>
            <w:tcW w:w="164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本年收入</w:t>
            </w:r>
          </w:p>
        </w:tc>
        <w:tc>
          <w:tcPr>
            <w:tcW w:w="4896" w:type="dxa"/>
            <w:gridSpan w:val="3"/>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本年支出</w:t>
            </w:r>
          </w:p>
        </w:tc>
        <w:tc>
          <w:tcPr>
            <w:tcW w:w="1584"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69" w:type="dxa"/>
            <w:gridSpan w:val="3"/>
            <w:vMerge w:val="restart"/>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功能分类科目编码</w:t>
            </w:r>
          </w:p>
        </w:tc>
        <w:tc>
          <w:tcPr>
            <w:tcW w:w="175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科目名称</w:t>
            </w:r>
          </w:p>
        </w:tc>
        <w:tc>
          <w:tcPr>
            <w:tcW w:w="204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16"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小计</w:t>
            </w:r>
          </w:p>
        </w:tc>
        <w:tc>
          <w:tcPr>
            <w:tcW w:w="1572"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基本支出</w:t>
            </w:r>
          </w:p>
        </w:tc>
        <w:tc>
          <w:tcPr>
            <w:tcW w:w="1608" w:type="dxa"/>
            <w:vMerge w:val="restart"/>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项目支出</w:t>
            </w:r>
          </w:p>
        </w:tc>
        <w:tc>
          <w:tcPr>
            <w:tcW w:w="15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6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5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4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1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069"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5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204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4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716"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7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608"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c>
          <w:tcPr>
            <w:tcW w:w="1584"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21" w:type="dxa"/>
            <w:gridSpan w:val="4"/>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栏次</w:t>
            </w:r>
          </w:p>
        </w:tc>
        <w:tc>
          <w:tcPr>
            <w:tcW w:w="2040"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1</w:t>
            </w:r>
          </w:p>
        </w:tc>
        <w:tc>
          <w:tcPr>
            <w:tcW w:w="164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2</w:t>
            </w:r>
          </w:p>
        </w:tc>
        <w:tc>
          <w:tcPr>
            <w:tcW w:w="1716"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3</w:t>
            </w:r>
          </w:p>
        </w:tc>
        <w:tc>
          <w:tcPr>
            <w:tcW w:w="1572"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4</w:t>
            </w:r>
          </w:p>
        </w:tc>
        <w:tc>
          <w:tcPr>
            <w:tcW w:w="1608"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5</w:t>
            </w:r>
          </w:p>
        </w:tc>
        <w:tc>
          <w:tcPr>
            <w:tcW w:w="1584" w:type="dxa"/>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821" w:type="dxa"/>
            <w:gridSpan w:val="4"/>
            <w:tcBorders>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合计</w:t>
            </w:r>
          </w:p>
        </w:tc>
        <w:tc>
          <w:tcPr>
            <w:tcW w:w="20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c>
          <w:tcPr>
            <w:tcW w:w="17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c>
          <w:tcPr>
            <w:tcW w:w="160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c>
          <w:tcPr>
            <w:tcW w:w="158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69" w:type="dxa"/>
            <w:gridSpan w:val="3"/>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1752" w:type="dxa"/>
            <w:tcBorders>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rPr>
            </w:pPr>
          </w:p>
        </w:tc>
        <w:tc>
          <w:tcPr>
            <w:tcW w:w="20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c>
          <w:tcPr>
            <w:tcW w:w="164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c>
          <w:tcPr>
            <w:tcW w:w="1716"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c>
          <w:tcPr>
            <w:tcW w:w="157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c>
          <w:tcPr>
            <w:tcW w:w="1608"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c>
          <w:tcPr>
            <w:tcW w:w="1584"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3985" w:type="dxa"/>
            <w:gridSpan w:val="10"/>
            <w:shd w:val="clear" w:color="auto" w:fill="auto"/>
            <w:vAlign w:val="center"/>
          </w:tcPr>
          <w:p>
            <w:pPr>
              <w:widowControl/>
              <w:jc w:val="left"/>
              <w:textAlignment w:val="center"/>
              <w:rPr>
                <w:rFonts w:hint="eastAsia" w:ascii="宋体" w:hAnsi="宋体" w:eastAsia="宋体" w:cs="宋体"/>
                <w:i w:val="0"/>
                <w:color w:val="000000"/>
                <w:sz w:val="20"/>
                <w:szCs w:val="20"/>
              </w:rPr>
            </w:pPr>
            <w:r>
              <w:rPr>
                <w:rFonts w:hint="eastAsia" w:ascii="宋体" w:hAnsi="宋体" w:eastAsia="宋体" w:cs="宋体"/>
                <w:i w:val="0"/>
                <w:color w:val="000000"/>
                <w:kern w:val="0"/>
                <w:sz w:val="20"/>
                <w:szCs w:val="20"/>
                <w:lang w:val="en-US" w:eastAsia="zh-CN" w:bidi="ar-SA"/>
              </w:rPr>
              <w:t>注：本表反映部门本年度政府性基金预算财政拨款收入、支出及结转和结余情况。</w:t>
            </w:r>
          </w:p>
        </w:tc>
      </w:tr>
    </w:tbl>
    <w:p>
      <w:pPr>
        <w:tabs>
          <w:tab w:val="left" w:pos="1442"/>
        </w:tabs>
        <w:bidi w:val="0"/>
        <w:jc w:val="left"/>
        <w:rPr>
          <w:lang w:val="en-US" w:eastAsia="zh-CN"/>
        </w:rPr>
      </w:pPr>
    </w:p>
    <w:sectPr>
      <w:pgSz w:w="16840" w:h="11907"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CFEA0"/>
    <w:multiLevelType w:val="singleLevel"/>
    <w:tmpl w:val="CB9CFEA0"/>
    <w:lvl w:ilvl="0" w:tentative="0">
      <w:start w:val="3"/>
      <w:numFmt w:val="chineseCounting"/>
      <w:suff w:val="nothing"/>
      <w:lvlText w:val="（%1）"/>
      <w:lvlJc w:val="left"/>
      <w:rPr>
        <w:rFonts w:hint="eastAsia"/>
      </w:rPr>
    </w:lvl>
  </w:abstractNum>
  <w:abstractNum w:abstractNumId="1">
    <w:nsid w:val="DCDF11CE"/>
    <w:multiLevelType w:val="singleLevel"/>
    <w:tmpl w:val="DCDF11CE"/>
    <w:lvl w:ilvl="0" w:tentative="0">
      <w:start w:val="3"/>
      <w:numFmt w:val="decimal"/>
      <w:suff w:val="space"/>
      <w:lvlText w:val="%1."/>
      <w:lvlJc w:val="left"/>
    </w:lvl>
  </w:abstractNum>
  <w:abstractNum w:abstractNumId="2">
    <w:nsid w:val="E6607D3D"/>
    <w:multiLevelType w:val="singleLevel"/>
    <w:tmpl w:val="E6607D3D"/>
    <w:lvl w:ilvl="0" w:tentative="0">
      <w:start w:val="1"/>
      <w:numFmt w:val="decimal"/>
      <w:suff w:val="nothing"/>
      <w:lvlText w:val="%1、"/>
      <w:lvlJc w:val="left"/>
    </w:lvl>
  </w:abstractNum>
  <w:abstractNum w:abstractNumId="3">
    <w:nsid w:val="041852E2"/>
    <w:multiLevelType w:val="singleLevel"/>
    <w:tmpl w:val="041852E2"/>
    <w:lvl w:ilvl="0" w:tentative="0">
      <w:start w:val="16"/>
      <w:numFmt w:val="chineseCounting"/>
      <w:suff w:val="nothing"/>
      <w:lvlText w:val="%1、"/>
      <w:lvlJc w:val="left"/>
      <w:rPr>
        <w:rFonts w:hint="eastAsia"/>
      </w:rPr>
    </w:lvl>
  </w:abstractNum>
  <w:abstractNum w:abstractNumId="4">
    <w:nsid w:val="5971BE17"/>
    <w:multiLevelType w:val="singleLevel"/>
    <w:tmpl w:val="5971BE17"/>
    <w:lvl w:ilvl="0" w:tentative="0">
      <w:start w:val="1"/>
      <w:numFmt w:val="chineseCounting"/>
      <w:suff w:val="nothing"/>
      <w:lvlText w:val="%1、"/>
      <w:lvlJc w:val="left"/>
    </w:lvl>
  </w:abstractNum>
  <w:abstractNum w:abstractNumId="5">
    <w:nsid w:val="63F5689D"/>
    <w:multiLevelType w:val="singleLevel"/>
    <w:tmpl w:val="63F5689D"/>
    <w:lvl w:ilvl="0" w:tentative="0">
      <w:start w:val="8"/>
      <w:numFmt w:val="chineseCounting"/>
      <w:suff w:val="nothing"/>
      <w:lvlText w:val="%1、"/>
      <w:lvlJc w:val="left"/>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VkMjhiOTRjNWJkZWQyZmFmMGZkMmJmMGUwZmE1YjEifQ=="/>
  </w:docVars>
  <w:rsids>
    <w:rsidRoot w:val="00000000"/>
    <w:rsid w:val="15DE09EB"/>
    <w:rsid w:val="36063F7B"/>
    <w:rsid w:val="41885DE9"/>
    <w:rsid w:val="4D1920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customStyle="1" w:styleId="7">
    <w:name w:val="页眉 Char"/>
    <w:basedOn w:val="6"/>
    <w:link w:val="3"/>
    <w:semiHidden/>
    <w:qFormat/>
    <w:uiPriority w:val="99"/>
    <w:rPr>
      <w:rFonts w:ascii="宋体" w:hAnsi="宋体" w:eastAsia="宋体" w:cs="宋体"/>
      <w:kern w:val="0"/>
      <w:sz w:val="18"/>
      <w:szCs w:val="18"/>
    </w:rPr>
  </w:style>
  <w:style w:type="character" w:customStyle="1" w:styleId="8">
    <w:name w:val="页脚 Char"/>
    <w:basedOn w:val="6"/>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8154</Words>
  <Characters>10223</Characters>
  <Lines>31</Lines>
  <Paragraphs>8</Paragraphs>
  <TotalTime>2</TotalTime>
  <ScaleCrop>false</ScaleCrop>
  <LinksUpToDate>false</LinksUpToDate>
  <CharactersWithSpaces>10434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2021-08-31T09:19:00Z</dcterms:created>
  <dc:creator>Administrator</dc:creator>
  <cp:lastModifiedBy>缘:)</cp:lastModifiedBy>
  <dcterms:modified xsi:type="dcterms:W3CDTF">2023-04-28T08:02:25Z</dcterms:modified>
  <dc:title>信阳市平桥区人力资源和社会保障局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E45D8FAFC49A4D17BCA6ED0021E8F07A</vt:lpwstr>
  </property>
</Properties>
</file>