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  <w:t>信阳市平桥区医疗保障局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  <w:t>2022年度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  <w:highlight w:val="none"/>
        </w:rPr>
        <w:t>部门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预算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说明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　目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 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录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　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信阳市平桥区医疗保障局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部门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一、主要职能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二、机构设置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、部门预算单位构成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</w:rPr>
        <w:t>　　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信阳市平桥区医疗保障局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部门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部门预算情况说明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附件：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信阳市平桥区医疗保障局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部门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部门预算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一、部门收支总体情况表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二、部门收入总体情况表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三、部门支出总体情况表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六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宋体"/>
          <w:kern w:val="0"/>
          <w:sz w:val="32"/>
          <w:szCs w:val="32"/>
        </w:rPr>
        <w:t>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九、项目支出表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十</w:t>
      </w:r>
      <w:r>
        <w:rPr>
          <w:rFonts w:ascii="仿宋" w:hAnsi="仿宋" w:eastAsia="仿宋" w:cs="宋体"/>
          <w:kern w:val="0"/>
          <w:sz w:val="32"/>
          <w:szCs w:val="32"/>
        </w:rPr>
        <w:t>、政府性基金预算支出情况表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32"/>
          <w:szCs w:val="32"/>
        </w:rPr>
        <w:t>、部门（单位）整体绩效目标表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kern w:val="0"/>
          <w:sz w:val="32"/>
          <w:szCs w:val="32"/>
        </w:rPr>
        <w:t>、财政支出绩效目标表</w:t>
      </w:r>
    </w:p>
    <w:p>
      <w:pPr>
        <w:pStyle w:val="4"/>
        <w:spacing w:line="360" w:lineRule="auto"/>
        <w:jc w:val="center"/>
        <w:rPr>
          <w:rFonts w:cs="Arial" w:asciiTheme="majorEastAsia" w:hAnsiTheme="majorEastAsia" w:eastAsiaTheme="majorEastAsia"/>
          <w:color w:val="000000"/>
          <w:sz w:val="30"/>
          <w:szCs w:val="30"/>
        </w:rPr>
      </w:pPr>
      <w:r>
        <w:rPr>
          <w:rStyle w:val="7"/>
          <w:rFonts w:ascii="仿宋" w:hAnsi="仿宋" w:eastAsia="仿宋" w:cs="Arial"/>
          <w:color w:val="000000"/>
          <w:sz w:val="30"/>
          <w:szCs w:val="30"/>
        </w:rPr>
        <w:t>　</w:t>
      </w:r>
      <w:r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  <w:t>　第一部分</w:t>
      </w:r>
    </w:p>
    <w:p>
      <w:pPr>
        <w:pStyle w:val="4"/>
        <w:spacing w:line="360" w:lineRule="auto"/>
        <w:jc w:val="center"/>
        <w:rPr>
          <w:rFonts w:cs="Arial" w:asciiTheme="majorEastAsia" w:hAnsiTheme="majorEastAsia" w:eastAsiaTheme="majorEastAsia"/>
          <w:color w:val="000000"/>
          <w:sz w:val="30"/>
          <w:szCs w:val="30"/>
        </w:rPr>
      </w:pPr>
      <w:r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  <w:t>　　信阳市平桥区</w:t>
      </w:r>
      <w:r>
        <w:rPr>
          <w:rStyle w:val="7"/>
          <w:rFonts w:hint="eastAsia" w:cs="Arial" w:asciiTheme="majorEastAsia" w:hAnsiTheme="majorEastAsia" w:eastAsiaTheme="majorEastAsia"/>
          <w:color w:val="000000"/>
          <w:sz w:val="30"/>
          <w:szCs w:val="30"/>
        </w:rPr>
        <w:t>医疗保障局</w:t>
      </w:r>
      <w:r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  <w:t>概况</w:t>
      </w:r>
    </w:p>
    <w:p>
      <w:pPr>
        <w:pStyle w:val="4"/>
        <w:spacing w:line="360" w:lineRule="auto"/>
        <w:rPr>
          <w:rFonts w:cs="Arial" w:asciiTheme="majorEastAsia" w:hAnsiTheme="majorEastAsia" w:eastAsiaTheme="majorEastAsia"/>
          <w:color w:val="000000"/>
          <w:sz w:val="30"/>
          <w:szCs w:val="30"/>
        </w:rPr>
      </w:pPr>
      <w:r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  <w:t>一、</w:t>
      </w:r>
      <w:r>
        <w:rPr>
          <w:rStyle w:val="7"/>
          <w:rFonts w:hint="eastAsia" w:cs="Arial" w:asciiTheme="majorEastAsia" w:hAnsiTheme="majorEastAsia" w:eastAsiaTheme="majorEastAsia"/>
          <w:color w:val="000000"/>
          <w:sz w:val="30"/>
          <w:szCs w:val="30"/>
        </w:rPr>
        <w:t>主要职能</w:t>
      </w:r>
    </w:p>
    <w:p>
      <w:pPr>
        <w:pStyle w:val="4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医疗保障局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主要职责是</w:t>
      </w:r>
      <w:r>
        <w:rPr>
          <w:rFonts w:hint="eastAsia" w:ascii="仿宋" w:hAnsi="仿宋" w:eastAsia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（一）贯彻执行国家、省关于医疗保险、生育保险、离休人员医疗保障、移交政府安置的军队离退休干部医疗保障、医疗救助等医疗保障制度的法律法规、规划和标准，拟订全市相关政策、规划和标准并组织实施，拟订全市公务员医疗补助、企事业单位补充医疗保险政策和管理办法。（二）组织拟订并实施全市医疗保障基金监督管理办法，建立健全医疗保障基金安全防控机制，推进医疗保障基金支付方式改革。  （三）组织拟订全市医疗保障筹资和待遇政策，完善动态调整和区域调剂平衡机制，统筹城乡医疗保障待遇标准，建立健全与筹资水平相适应的待遇调整机制，推进长期护理保险制度改革。（四）贯彻执行国家、省关于城乡统一的药品、医用耗材、医疗服务项目、医疗服务设施等医保目录和支付标准。（五）贯彻执行国家、省有关药品收费、医用耗材价格等政策,组织拟订全市医疗服务项目、医疗服务设施收费等政策，推动建立市场主导的社会医药服务价格形成机制，建立价格信息监测和信息发布制度。（六）组织落实全市药品、医用耗材的招标采购政策并监督实施，指导药品、医用耗材集中采购平台建设。（七）拟订全市定点医药机构协议和支付管理办法并组织实施，建立健全医疗保障信用评价体系和信息披露制度，监督管理纳入医保范围内的医疗服务行为和医疗费用，依法查处医疗保障和生育保险领域违法违规行为。（八）负责全市医疗保障经办管理公共服务体系和信息化建设，组织拟订和完善异地就医管理和费用结算政策，建立健全医疗保障关系转移接续制度。（九）指导全市医疗保险、生育保险经办机构开展业务工作，按规定要求，承担对口医保经办等服务机构业务工作的指导、协调和监督职责。（十）完成市委、市政府交办的其他任务。</w:t>
      </w:r>
    </w:p>
    <w:p/>
    <w:p>
      <w:pPr>
        <w:pStyle w:val="4"/>
        <w:spacing w:line="360" w:lineRule="auto"/>
        <w:rPr>
          <w:rFonts w:hint="eastAsia" w:cs="Arial" w:asciiTheme="majorEastAsia" w:hAnsiTheme="majorEastAsia" w:eastAsiaTheme="majorEastAsia"/>
          <w:color w:val="000000"/>
          <w:sz w:val="30"/>
          <w:szCs w:val="30"/>
          <w:lang w:eastAsia="zh-CN"/>
        </w:rPr>
      </w:pPr>
      <w:r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  <w:t>二、</w:t>
      </w:r>
      <w:r>
        <w:rPr>
          <w:rStyle w:val="7"/>
          <w:rFonts w:hint="eastAsia" w:cs="Arial" w:asciiTheme="majorEastAsia" w:hAnsiTheme="majorEastAsia" w:eastAsiaTheme="majorEastAsia"/>
          <w:color w:val="000000"/>
          <w:sz w:val="30"/>
          <w:szCs w:val="30"/>
          <w:lang w:val="en-US" w:eastAsia="zh-CN"/>
        </w:rPr>
        <w:t>机构设置</w:t>
      </w:r>
    </w:p>
    <w:p>
      <w:pPr>
        <w:ind w:firstLine="750" w:firstLineChars="25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医疗保障局内部设置为：(一)办公室（政策法规股）、 (二)待遇保障股（医药服务管理股）、 (三)基金监督管理股（医药价格招标采购股）</w:t>
      </w:r>
    </w:p>
    <w:p>
      <w:pPr>
        <w:ind w:firstLine="750" w:firstLineChars="250"/>
        <w:rPr>
          <w:rFonts w:hint="default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未单独核算的下属机构2个：信阳市平桥区社会医疗保险中心；信阳市平桥区城乡居民医疗保险中心</w:t>
      </w:r>
    </w:p>
    <w:p>
      <w:pPr>
        <w:pStyle w:val="4"/>
        <w:spacing w:line="360" w:lineRule="auto"/>
        <w:rPr>
          <w:rFonts w:hint="eastAsia" w:ascii="仿宋" w:hAnsi="仿宋" w:eastAsia="仿宋" w:cs="Arial"/>
          <w:b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Arial"/>
          <w:b/>
          <w:color w:val="000000"/>
          <w:sz w:val="30"/>
          <w:szCs w:val="30"/>
        </w:rPr>
        <w:t>三、</w:t>
      </w:r>
      <w:r>
        <w:rPr>
          <w:rFonts w:hint="eastAsia" w:ascii="仿宋" w:hAnsi="仿宋" w:eastAsia="仿宋" w:cs="仿宋_GB2312"/>
          <w:b/>
          <w:sz w:val="32"/>
          <w:szCs w:val="32"/>
        </w:rPr>
        <w:t>部门预算单位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构成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Style w:val="7"/>
          <w:rFonts w:hint="eastAsia" w:eastAsia="仿宋" w:cs="Arial" w:asciiTheme="majorEastAsia" w:hAnsiTheme="majorEastAsia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根据部门预算管理有关规定，本预算为部门预算，包括平桥区医疗保障局本级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pStyle w:val="4"/>
        <w:spacing w:line="360" w:lineRule="auto"/>
        <w:jc w:val="center"/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</w:pPr>
    </w:p>
    <w:p>
      <w:pPr>
        <w:pStyle w:val="4"/>
        <w:spacing w:line="360" w:lineRule="auto"/>
        <w:jc w:val="center"/>
        <w:rPr>
          <w:rFonts w:cs="Arial" w:asciiTheme="majorEastAsia" w:hAnsiTheme="majorEastAsia" w:eastAsiaTheme="majorEastAsia"/>
          <w:color w:val="000000"/>
          <w:sz w:val="30"/>
          <w:szCs w:val="30"/>
        </w:rPr>
      </w:pPr>
      <w:r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  <w:t>第二部分</w:t>
      </w:r>
    </w:p>
    <w:p>
      <w:pPr>
        <w:pStyle w:val="4"/>
        <w:spacing w:line="360" w:lineRule="auto"/>
        <w:jc w:val="center"/>
        <w:rPr>
          <w:rFonts w:cs="Arial" w:asciiTheme="majorEastAsia" w:hAnsiTheme="majorEastAsia" w:eastAsiaTheme="majorEastAsia"/>
          <w:color w:val="000000"/>
          <w:sz w:val="30"/>
          <w:szCs w:val="30"/>
        </w:rPr>
      </w:pPr>
      <w:r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  <w:t>　　信阳市平桥区</w:t>
      </w:r>
      <w:r>
        <w:rPr>
          <w:rStyle w:val="7"/>
          <w:rFonts w:hint="eastAsia" w:cs="Arial" w:asciiTheme="majorEastAsia" w:hAnsiTheme="majorEastAsia" w:eastAsiaTheme="majorEastAsia"/>
          <w:color w:val="000000"/>
          <w:sz w:val="30"/>
          <w:szCs w:val="30"/>
        </w:rPr>
        <w:t>医疗保障局</w:t>
      </w:r>
      <w:r>
        <w:rPr>
          <w:rStyle w:val="7"/>
          <w:rFonts w:hint="eastAsia" w:cs="Arial" w:asciiTheme="majorEastAsia" w:hAnsiTheme="majorEastAsia" w:eastAsiaTheme="majorEastAsia"/>
          <w:color w:val="000000"/>
          <w:sz w:val="30"/>
          <w:szCs w:val="30"/>
          <w:lang w:eastAsia="zh-CN"/>
        </w:rPr>
        <w:t>2022</w:t>
      </w:r>
      <w:r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  <w:t>年度部门预算情况说明</w:t>
      </w:r>
    </w:p>
    <w:p>
      <w:pPr>
        <w:pStyle w:val="4"/>
        <w:spacing w:line="360" w:lineRule="auto"/>
        <w:rPr>
          <w:rFonts w:cs="Arial" w:asciiTheme="majorEastAsia" w:hAnsiTheme="majorEastAsia" w:eastAsiaTheme="majorEastAsia"/>
          <w:color w:val="000000"/>
          <w:sz w:val="30"/>
          <w:szCs w:val="30"/>
        </w:rPr>
      </w:pPr>
      <w:r>
        <w:rPr>
          <w:rFonts w:cs="Arial" w:asciiTheme="majorEastAsia" w:hAnsiTheme="majorEastAsia" w:eastAsiaTheme="majorEastAsia"/>
          <w:color w:val="000000"/>
          <w:sz w:val="30"/>
          <w:szCs w:val="30"/>
        </w:rPr>
        <w:t>　</w:t>
      </w:r>
      <w:r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  <w:t>　一、收入支出预算总体情况说明</w:t>
      </w:r>
    </w:p>
    <w:p>
      <w:pPr>
        <w:pStyle w:val="4"/>
        <w:spacing w:line="360" w:lineRule="auto"/>
        <w:ind w:firstLine="480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信阳市平桥区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医疗保障局</w:t>
      </w:r>
      <w:r>
        <w:rPr>
          <w:rFonts w:hint="eastAsia" w:ascii="仿宋" w:hAnsi="仿宋" w:eastAsia="仿宋" w:cs="Arial"/>
          <w:color w:val="000000"/>
          <w:sz w:val="30"/>
          <w:szCs w:val="30"/>
          <w:lang w:eastAsia="zh-CN"/>
        </w:rPr>
        <w:t>2022</w:t>
      </w:r>
      <w:r>
        <w:rPr>
          <w:rFonts w:ascii="仿宋" w:hAnsi="仿宋" w:eastAsia="仿宋" w:cs="Arial"/>
          <w:color w:val="000000"/>
          <w:sz w:val="30"/>
          <w:szCs w:val="30"/>
        </w:rPr>
        <w:t>年收入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预算</w:t>
      </w:r>
      <w:r>
        <w:rPr>
          <w:rFonts w:ascii="仿宋" w:hAnsi="仿宋" w:eastAsia="仿宋" w:cs="Arial"/>
          <w:color w:val="000000"/>
          <w:sz w:val="30"/>
          <w:szCs w:val="30"/>
        </w:rPr>
        <w:t>总计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1091.62</w:t>
      </w:r>
      <w:r>
        <w:rPr>
          <w:rFonts w:ascii="仿宋" w:hAnsi="仿宋" w:eastAsia="仿宋" w:cs="Arial"/>
          <w:color w:val="000000"/>
          <w:sz w:val="30"/>
          <w:szCs w:val="30"/>
        </w:rPr>
        <w:t>万元，支出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预算</w:t>
      </w:r>
      <w:r>
        <w:rPr>
          <w:rFonts w:ascii="仿宋" w:hAnsi="仿宋" w:eastAsia="仿宋" w:cs="Arial"/>
          <w:color w:val="000000"/>
          <w:sz w:val="30"/>
          <w:szCs w:val="30"/>
        </w:rPr>
        <w:t>总计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1091.62</w:t>
      </w:r>
      <w:r>
        <w:rPr>
          <w:rFonts w:ascii="仿宋" w:hAnsi="仿宋" w:eastAsia="仿宋" w:cs="Arial"/>
          <w:color w:val="000000"/>
          <w:sz w:val="30"/>
          <w:szCs w:val="30"/>
        </w:rPr>
        <w:t>万元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。收、</w:t>
      </w:r>
      <w:r>
        <w:rPr>
          <w:rFonts w:ascii="仿宋" w:hAnsi="仿宋" w:eastAsia="仿宋" w:cs="Arial"/>
          <w:color w:val="000000"/>
          <w:sz w:val="30"/>
          <w:szCs w:val="30"/>
        </w:rPr>
        <w:t>支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预算总体较上年相比增加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903.52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万元，增长</w:t>
      </w:r>
      <w:r>
        <w:rPr>
          <w:rFonts w:hint="eastAsia" w:ascii="仿宋" w:hAnsi="仿宋" w:eastAsia="仿宋" w:cs="Arial"/>
          <w:color w:val="auto"/>
          <w:sz w:val="30"/>
          <w:szCs w:val="30"/>
          <w:lang w:val="en-US" w:eastAsia="zh-CN"/>
        </w:rPr>
        <w:t>82.77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%，原因是</w:t>
      </w:r>
      <w:r>
        <w:rPr>
          <w:rFonts w:hint="eastAsia" w:ascii="仿宋" w:hAnsi="仿宋" w:eastAsia="仿宋" w:cs="Arial"/>
          <w:color w:val="000000"/>
          <w:sz w:val="30"/>
          <w:szCs w:val="30"/>
          <w:lang w:eastAsia="zh-CN"/>
        </w:rPr>
        <w:t>两个二级机构的财务并入局机关，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2022年局机关和两个二级机构统一由局机关做财政预算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。</w:t>
      </w:r>
    </w:p>
    <w:p>
      <w:pPr>
        <w:pStyle w:val="4"/>
        <w:spacing w:line="360" w:lineRule="auto"/>
        <w:ind w:firstLine="480"/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</w:pPr>
    </w:p>
    <w:p>
      <w:pPr>
        <w:pStyle w:val="4"/>
        <w:spacing w:line="360" w:lineRule="auto"/>
        <w:ind w:firstLine="480"/>
        <w:rPr>
          <w:rFonts w:cs="Arial" w:asciiTheme="majorEastAsia" w:hAnsiTheme="majorEastAsia" w:eastAsiaTheme="majorEastAsia"/>
          <w:color w:val="000000"/>
          <w:sz w:val="30"/>
          <w:szCs w:val="30"/>
        </w:rPr>
      </w:pPr>
      <w:r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  <w:t>二、收入预算总体情况说明</w:t>
      </w:r>
    </w:p>
    <w:p>
      <w:pPr>
        <w:pStyle w:val="4"/>
        <w:spacing w:line="360" w:lineRule="auto"/>
        <w:ind w:firstLine="480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信阳市平桥区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医疗保障局</w:t>
      </w:r>
      <w:r>
        <w:rPr>
          <w:rFonts w:ascii="仿宋" w:hAnsi="仿宋" w:eastAsia="仿宋" w:cs="Arial"/>
          <w:color w:val="000000"/>
          <w:sz w:val="30"/>
          <w:szCs w:val="30"/>
        </w:rPr>
        <w:t>年收入合计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1091.62</w:t>
      </w:r>
      <w:r>
        <w:rPr>
          <w:rFonts w:ascii="仿宋" w:hAnsi="仿宋" w:eastAsia="仿宋" w:cs="Arial"/>
          <w:color w:val="000000"/>
          <w:sz w:val="30"/>
          <w:szCs w:val="30"/>
        </w:rPr>
        <w:t>万元，其中一般公共预算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1091.62</w:t>
      </w:r>
      <w:r>
        <w:rPr>
          <w:rFonts w:ascii="仿宋" w:hAnsi="仿宋" w:eastAsia="仿宋" w:cs="Arial"/>
          <w:color w:val="000000"/>
          <w:sz w:val="30"/>
          <w:szCs w:val="30"/>
        </w:rPr>
        <w:t>万元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，占比100%，包含专项经费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185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万元</w:t>
      </w:r>
      <w:r>
        <w:rPr>
          <w:rFonts w:ascii="仿宋" w:hAnsi="仿宋" w:eastAsia="仿宋" w:cs="Arial"/>
          <w:color w:val="000000"/>
          <w:sz w:val="30"/>
          <w:szCs w:val="30"/>
        </w:rPr>
        <w:t>。</w:t>
      </w:r>
    </w:p>
    <w:p>
      <w:pPr>
        <w:pStyle w:val="4"/>
        <w:spacing w:line="360" w:lineRule="auto"/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　</w:t>
      </w:r>
      <w:r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  <w:t>　</w:t>
      </w:r>
    </w:p>
    <w:p>
      <w:pPr>
        <w:pStyle w:val="4"/>
        <w:spacing w:line="360" w:lineRule="auto"/>
        <w:ind w:firstLine="602" w:firstLineChars="200"/>
        <w:rPr>
          <w:rFonts w:cs="Arial" w:asciiTheme="majorEastAsia" w:hAnsiTheme="majorEastAsia" w:eastAsiaTheme="majorEastAsia"/>
          <w:color w:val="000000"/>
          <w:sz w:val="30"/>
          <w:szCs w:val="30"/>
        </w:rPr>
      </w:pPr>
      <w:r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  <w:t>三、支出预算总体情况说明</w:t>
      </w:r>
    </w:p>
    <w:p>
      <w:pPr>
        <w:pStyle w:val="4"/>
        <w:spacing w:line="360" w:lineRule="auto"/>
        <w:ind w:firstLine="600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信阳市平桥区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医疗保障局</w:t>
      </w:r>
      <w:r>
        <w:rPr>
          <w:rFonts w:ascii="仿宋" w:hAnsi="仿宋" w:eastAsia="仿宋" w:cs="Arial"/>
          <w:color w:val="000000"/>
          <w:sz w:val="30"/>
          <w:szCs w:val="30"/>
        </w:rPr>
        <w:t>年支出合计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1091.62</w:t>
      </w:r>
      <w:r>
        <w:rPr>
          <w:rFonts w:ascii="仿宋" w:hAnsi="仿宋" w:eastAsia="仿宋" w:cs="Arial"/>
          <w:color w:val="000000"/>
          <w:sz w:val="30"/>
          <w:szCs w:val="30"/>
        </w:rPr>
        <w:t>万元，其中：基本支出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906.62</w:t>
      </w:r>
      <w:r>
        <w:rPr>
          <w:rFonts w:ascii="仿宋" w:hAnsi="仿宋" w:eastAsia="仿宋" w:cs="Arial"/>
          <w:color w:val="000000"/>
          <w:sz w:val="30"/>
          <w:szCs w:val="30"/>
        </w:rPr>
        <w:t>万元，占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83</w:t>
      </w:r>
      <w:r>
        <w:rPr>
          <w:rFonts w:ascii="仿宋" w:hAnsi="仿宋" w:eastAsia="仿宋" w:cs="Arial"/>
          <w:color w:val="000000"/>
          <w:sz w:val="30"/>
          <w:szCs w:val="30"/>
        </w:rPr>
        <w:t>%；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项目</w:t>
      </w:r>
      <w:r>
        <w:rPr>
          <w:rFonts w:ascii="仿宋" w:hAnsi="仿宋" w:eastAsia="仿宋" w:cs="Arial"/>
          <w:color w:val="000000"/>
          <w:sz w:val="30"/>
          <w:szCs w:val="30"/>
        </w:rPr>
        <w:t>支出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185</w:t>
      </w:r>
      <w:r>
        <w:rPr>
          <w:rFonts w:ascii="仿宋" w:hAnsi="仿宋" w:eastAsia="仿宋" w:cs="Arial"/>
          <w:color w:val="000000"/>
          <w:sz w:val="30"/>
          <w:szCs w:val="30"/>
        </w:rPr>
        <w:t>万元，占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17</w:t>
      </w:r>
      <w:r>
        <w:rPr>
          <w:rFonts w:ascii="仿宋" w:hAnsi="仿宋" w:eastAsia="仿宋" w:cs="Arial"/>
          <w:color w:val="000000"/>
          <w:sz w:val="30"/>
          <w:szCs w:val="30"/>
        </w:rPr>
        <w:t>%。</w:t>
      </w:r>
    </w:p>
    <w:p>
      <w:pPr>
        <w:pStyle w:val="4"/>
        <w:spacing w:line="360" w:lineRule="auto"/>
        <w:ind w:firstLine="600"/>
        <w:rPr>
          <w:rFonts w:ascii="仿宋" w:hAnsi="仿宋" w:eastAsia="仿宋" w:cs="Arial"/>
          <w:color w:val="000000"/>
          <w:sz w:val="30"/>
          <w:szCs w:val="30"/>
        </w:rPr>
      </w:pPr>
    </w:p>
    <w:p>
      <w:pPr>
        <w:pStyle w:val="4"/>
        <w:spacing w:line="360" w:lineRule="auto"/>
        <w:ind w:firstLine="600"/>
        <w:rPr>
          <w:rFonts w:ascii="仿宋" w:hAnsi="仿宋" w:eastAsia="仿宋" w:cs="Arial"/>
          <w:color w:val="000000"/>
          <w:sz w:val="30"/>
          <w:szCs w:val="30"/>
        </w:rPr>
      </w:pPr>
    </w:p>
    <w:p>
      <w:pPr>
        <w:pStyle w:val="4"/>
        <w:spacing w:line="360" w:lineRule="auto"/>
        <w:rPr>
          <w:rFonts w:cs="Arial" w:asciiTheme="majorEastAsia" w:hAnsiTheme="majorEastAsia" w:eastAsiaTheme="majorEastAsia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　</w:t>
      </w:r>
      <w:r>
        <w:rPr>
          <w:rStyle w:val="7"/>
          <w:rFonts w:ascii="仿宋" w:hAnsi="仿宋" w:eastAsia="仿宋" w:cs="Arial"/>
          <w:color w:val="000000"/>
          <w:sz w:val="30"/>
          <w:szCs w:val="30"/>
        </w:rPr>
        <w:t>　</w:t>
      </w:r>
      <w:r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  <w:t>四、财政拨款收入支出预算总体情况说明</w:t>
      </w:r>
    </w:p>
    <w:p>
      <w:pPr>
        <w:pStyle w:val="4"/>
        <w:spacing w:line="360" w:lineRule="auto"/>
        <w:ind w:firstLine="480"/>
        <w:rPr>
          <w:rFonts w:hint="eastAsia"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信阳市平桥区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医疗保障局</w:t>
      </w:r>
      <w:r>
        <w:rPr>
          <w:rFonts w:hint="eastAsia" w:ascii="仿宋" w:hAnsi="仿宋" w:eastAsia="仿宋" w:cs="Arial"/>
          <w:color w:val="000000"/>
          <w:sz w:val="30"/>
          <w:szCs w:val="30"/>
          <w:lang w:eastAsia="zh-CN"/>
        </w:rPr>
        <w:t>2022</w:t>
      </w:r>
      <w:r>
        <w:rPr>
          <w:rFonts w:ascii="仿宋" w:hAnsi="仿宋" w:eastAsia="仿宋" w:cs="Arial"/>
          <w:color w:val="000000"/>
          <w:sz w:val="30"/>
          <w:szCs w:val="30"/>
        </w:rPr>
        <w:t>年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财政拨款</w:t>
      </w:r>
      <w:r>
        <w:rPr>
          <w:rFonts w:ascii="仿宋" w:hAnsi="仿宋" w:eastAsia="仿宋" w:cs="Arial"/>
          <w:color w:val="000000"/>
          <w:sz w:val="30"/>
          <w:szCs w:val="30"/>
        </w:rPr>
        <w:t>收入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、支出</w:t>
      </w:r>
      <w:r>
        <w:rPr>
          <w:rFonts w:ascii="仿宋" w:hAnsi="仿宋" w:eastAsia="仿宋" w:cs="Arial"/>
          <w:color w:val="000000"/>
          <w:sz w:val="30"/>
          <w:szCs w:val="30"/>
        </w:rPr>
        <w:t>预算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1091.62</w:t>
      </w:r>
      <w:r>
        <w:rPr>
          <w:rFonts w:ascii="仿宋" w:hAnsi="仿宋" w:eastAsia="仿宋" w:cs="Arial"/>
          <w:color w:val="000000"/>
          <w:sz w:val="30"/>
          <w:szCs w:val="30"/>
        </w:rPr>
        <w:t>万元，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与202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年度相比，财政拨款收入、</w:t>
      </w:r>
      <w:r>
        <w:rPr>
          <w:rFonts w:ascii="仿宋" w:hAnsi="仿宋" w:eastAsia="仿宋" w:cs="Arial"/>
          <w:color w:val="000000"/>
          <w:sz w:val="30"/>
          <w:szCs w:val="30"/>
        </w:rPr>
        <w:t>支出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预算均增加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903.52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万元，增长</w:t>
      </w:r>
      <w:r>
        <w:rPr>
          <w:rFonts w:hint="eastAsia" w:ascii="仿宋" w:hAnsi="仿宋" w:eastAsia="仿宋" w:cs="Arial"/>
          <w:color w:val="auto"/>
          <w:sz w:val="30"/>
          <w:szCs w:val="30"/>
          <w:lang w:val="en-US" w:eastAsia="zh-CN"/>
        </w:rPr>
        <w:t>82.77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%，原因是</w:t>
      </w:r>
      <w:r>
        <w:rPr>
          <w:rFonts w:hint="eastAsia" w:ascii="仿宋" w:hAnsi="仿宋" w:eastAsia="仿宋" w:cs="Arial"/>
          <w:color w:val="000000"/>
          <w:sz w:val="30"/>
          <w:szCs w:val="30"/>
          <w:lang w:eastAsia="zh-CN"/>
        </w:rPr>
        <w:t>两个二级机构的财务并入局机关，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2022年局机关和两个二级机构统一由局机关做财政预算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。</w:t>
      </w:r>
    </w:p>
    <w:p>
      <w:pPr>
        <w:pStyle w:val="4"/>
        <w:spacing w:line="360" w:lineRule="auto"/>
        <w:ind w:firstLine="480"/>
        <w:rPr>
          <w:rFonts w:hint="eastAsia" w:ascii="仿宋" w:hAnsi="仿宋" w:eastAsia="仿宋" w:cs="Arial"/>
          <w:color w:val="000000"/>
          <w:sz w:val="30"/>
          <w:szCs w:val="30"/>
        </w:rPr>
      </w:pPr>
    </w:p>
    <w:p>
      <w:pPr>
        <w:pStyle w:val="4"/>
        <w:spacing w:line="360" w:lineRule="auto"/>
        <w:rPr>
          <w:rFonts w:cs="Arial" w:asciiTheme="majorEastAsia" w:hAnsiTheme="majorEastAsia" w:eastAsiaTheme="majorEastAsia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　　</w:t>
      </w:r>
      <w:r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  <w:t>五、一般公共预算支出预算情况说明</w:t>
      </w:r>
    </w:p>
    <w:p>
      <w:pPr>
        <w:pStyle w:val="4"/>
        <w:spacing w:line="360" w:lineRule="auto"/>
        <w:ind w:firstLine="600" w:firstLineChars="200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sz w:val="30"/>
          <w:szCs w:val="30"/>
        </w:rPr>
        <w:t>信阳市平桥区医疗保障局</w:t>
      </w:r>
      <w:r>
        <w:rPr>
          <w:rFonts w:hint="eastAsia" w:ascii="仿宋" w:hAnsi="仿宋" w:eastAsia="仿宋" w:cs="Arial"/>
          <w:color w:val="000000"/>
          <w:sz w:val="30"/>
          <w:szCs w:val="30"/>
          <w:lang w:eastAsia="zh-CN"/>
        </w:rPr>
        <w:t>2022</w:t>
      </w:r>
      <w:r>
        <w:rPr>
          <w:rFonts w:ascii="仿宋" w:hAnsi="仿宋" w:eastAsia="仿宋" w:cs="Arial"/>
          <w:color w:val="000000"/>
          <w:sz w:val="30"/>
          <w:szCs w:val="30"/>
        </w:rPr>
        <w:t>年一般公共预算支出年初预算为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1091.62</w:t>
      </w:r>
      <w:r>
        <w:rPr>
          <w:rFonts w:ascii="仿宋" w:hAnsi="仿宋" w:eastAsia="仿宋" w:cs="Arial"/>
          <w:color w:val="000000"/>
          <w:sz w:val="30"/>
          <w:szCs w:val="30"/>
        </w:rPr>
        <w:t>万元。主要用于以下方面：基本支出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906.62</w:t>
      </w:r>
      <w:r>
        <w:rPr>
          <w:rFonts w:ascii="仿宋" w:hAnsi="仿宋" w:eastAsia="仿宋" w:cs="Arial"/>
          <w:color w:val="000000"/>
          <w:sz w:val="30"/>
          <w:szCs w:val="30"/>
        </w:rPr>
        <w:t>万元，占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83</w:t>
      </w:r>
      <w:r>
        <w:rPr>
          <w:rFonts w:ascii="仿宋" w:hAnsi="仿宋" w:eastAsia="仿宋" w:cs="Arial"/>
          <w:color w:val="000000"/>
          <w:sz w:val="30"/>
          <w:szCs w:val="30"/>
        </w:rPr>
        <w:t>%；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项目</w:t>
      </w:r>
      <w:r>
        <w:rPr>
          <w:rFonts w:ascii="仿宋" w:hAnsi="仿宋" w:eastAsia="仿宋" w:cs="Arial"/>
          <w:color w:val="000000"/>
          <w:sz w:val="30"/>
          <w:szCs w:val="30"/>
        </w:rPr>
        <w:t>支出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185</w:t>
      </w:r>
      <w:r>
        <w:rPr>
          <w:rFonts w:ascii="仿宋" w:hAnsi="仿宋" w:eastAsia="仿宋" w:cs="Arial"/>
          <w:color w:val="000000"/>
          <w:sz w:val="30"/>
          <w:szCs w:val="30"/>
        </w:rPr>
        <w:t>万元，占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17</w:t>
      </w:r>
      <w:r>
        <w:rPr>
          <w:rFonts w:ascii="仿宋" w:hAnsi="仿宋" w:eastAsia="仿宋" w:cs="Arial"/>
          <w:color w:val="000000"/>
          <w:sz w:val="30"/>
          <w:szCs w:val="30"/>
        </w:rPr>
        <w:t>%。</w:t>
      </w:r>
    </w:p>
    <w:p>
      <w:pPr>
        <w:pStyle w:val="4"/>
        <w:spacing w:line="360" w:lineRule="auto"/>
        <w:ind w:firstLine="600" w:firstLineChars="200"/>
        <w:rPr>
          <w:rFonts w:ascii="仿宋" w:hAnsi="仿宋" w:eastAsia="仿宋" w:cs="Arial"/>
          <w:color w:val="000000"/>
          <w:sz w:val="30"/>
          <w:szCs w:val="30"/>
        </w:rPr>
      </w:pPr>
    </w:p>
    <w:p>
      <w:pPr>
        <w:pStyle w:val="4"/>
        <w:numPr>
          <w:ilvl w:val="0"/>
          <w:numId w:val="1"/>
        </w:numPr>
        <w:spacing w:line="360" w:lineRule="auto"/>
        <w:ind w:firstLine="602" w:firstLineChars="200"/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</w:pPr>
      <w:r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  <w:t>一般公共预算</w:t>
      </w:r>
      <w:r>
        <w:rPr>
          <w:rStyle w:val="7"/>
          <w:rFonts w:hint="eastAsia" w:cs="Arial" w:asciiTheme="majorEastAsia" w:hAnsiTheme="majorEastAsia" w:eastAsiaTheme="majorEastAsia"/>
          <w:color w:val="000000"/>
          <w:sz w:val="30"/>
          <w:szCs w:val="30"/>
        </w:rPr>
        <w:t>基本</w:t>
      </w:r>
      <w:r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  <w:t>支出预算情况说明</w:t>
      </w:r>
    </w:p>
    <w:p>
      <w:pPr>
        <w:pStyle w:val="4"/>
        <w:spacing w:line="360" w:lineRule="auto"/>
        <w:rPr>
          <w:rStyle w:val="7"/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Style w:val="7"/>
          <w:rFonts w:hint="eastAsia" w:cs="Arial" w:asciiTheme="majorEastAsia" w:hAnsiTheme="majorEastAsia" w:eastAsiaTheme="majorEastAsia"/>
          <w:color w:val="000000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信阳市平桥区医疗保障局</w:t>
      </w:r>
      <w:r>
        <w:rPr>
          <w:rFonts w:hint="eastAsia" w:ascii="仿宋" w:hAnsi="仿宋" w:eastAsia="仿宋" w:cs="Arial"/>
          <w:color w:val="000000"/>
          <w:sz w:val="30"/>
          <w:szCs w:val="30"/>
          <w:lang w:eastAsia="zh-CN"/>
        </w:rPr>
        <w:t>2022</w:t>
      </w:r>
      <w:r>
        <w:rPr>
          <w:rFonts w:ascii="仿宋" w:hAnsi="仿宋" w:eastAsia="仿宋" w:cs="Arial"/>
          <w:color w:val="000000"/>
          <w:sz w:val="30"/>
          <w:szCs w:val="30"/>
        </w:rPr>
        <w:t>年一般公共预算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基本</w:t>
      </w:r>
      <w:r>
        <w:rPr>
          <w:rFonts w:ascii="仿宋" w:hAnsi="仿宋" w:eastAsia="仿宋" w:cs="Arial"/>
          <w:color w:val="000000"/>
          <w:sz w:val="30"/>
          <w:szCs w:val="30"/>
        </w:rPr>
        <w:t>支出为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906.62</w:t>
      </w:r>
      <w:r>
        <w:rPr>
          <w:rFonts w:ascii="仿宋" w:hAnsi="仿宋" w:eastAsia="仿宋" w:cs="Arial"/>
          <w:color w:val="000000"/>
          <w:sz w:val="30"/>
          <w:szCs w:val="30"/>
        </w:rPr>
        <w:t>万元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，</w:t>
      </w:r>
      <w:r>
        <w:rPr>
          <w:rStyle w:val="7"/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其中：人员经费837.9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68.72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pStyle w:val="4"/>
        <w:spacing w:line="360" w:lineRule="auto"/>
        <w:rPr>
          <w:rStyle w:val="7"/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</w:p>
    <w:p>
      <w:pPr>
        <w:pStyle w:val="4"/>
        <w:spacing w:line="360" w:lineRule="auto"/>
        <w:ind w:firstLine="602" w:firstLineChars="200"/>
        <w:rPr>
          <w:rFonts w:cs="Arial" w:asciiTheme="majorEastAsia" w:hAnsiTheme="majorEastAsia" w:eastAsiaTheme="majorEastAsia"/>
          <w:color w:val="000000"/>
          <w:sz w:val="30"/>
          <w:szCs w:val="30"/>
        </w:rPr>
      </w:pPr>
      <w:r>
        <w:rPr>
          <w:rStyle w:val="7"/>
          <w:rFonts w:hint="eastAsia" w:cs="Arial" w:asciiTheme="majorEastAsia" w:hAnsiTheme="majorEastAsia" w:eastAsiaTheme="majorEastAsia"/>
          <w:color w:val="000000"/>
          <w:sz w:val="30"/>
          <w:szCs w:val="30"/>
        </w:rPr>
        <w:t>七</w:t>
      </w:r>
      <w:r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  <w:t>、支出预算经济分类情况说明</w:t>
      </w:r>
    </w:p>
    <w:p>
      <w:pPr>
        <w:pStyle w:val="4"/>
        <w:spacing w:line="360" w:lineRule="auto"/>
        <w:ind w:firstLine="600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按照《财政部关于印发&lt;支出经济分类科目改革方案&gt;的通知》(财预〔2017〕98号)要求，从2018年起全面实施支出经济分类科目改革，根据政府预算管理和部门预算管理的不同特点，分设部门预算支出经济分类科目和政府预算支出经济分类科目，两套科目之间保持对应关系。为适应改革要求，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我局</w:t>
      </w:r>
      <w:r>
        <w:rPr>
          <w:rFonts w:ascii="仿宋" w:hAnsi="仿宋" w:eastAsia="仿宋" w:cs="Arial"/>
          <w:color w:val="000000"/>
          <w:sz w:val="30"/>
          <w:szCs w:val="30"/>
        </w:rPr>
        <w:t>《支出经济分类汇总表》由仅反映一般公共预算基本支出经济分类科目预算，调整为按两套经济分类科目分别反映不同资金来源的全部预算支出。</w:t>
      </w:r>
    </w:p>
    <w:p>
      <w:pPr>
        <w:pStyle w:val="4"/>
        <w:spacing w:line="360" w:lineRule="auto"/>
        <w:ind w:firstLine="600"/>
        <w:rPr>
          <w:rFonts w:ascii="仿宋" w:hAnsi="仿宋" w:eastAsia="仿宋" w:cs="Arial"/>
          <w:color w:val="000000"/>
          <w:sz w:val="30"/>
          <w:szCs w:val="30"/>
        </w:rPr>
      </w:pPr>
    </w:p>
    <w:p>
      <w:pPr>
        <w:pStyle w:val="4"/>
        <w:spacing w:line="360" w:lineRule="auto"/>
        <w:ind w:firstLine="600"/>
        <w:rPr>
          <w:rFonts w:ascii="仿宋" w:hAnsi="仿宋" w:eastAsia="仿宋" w:cs="Arial"/>
          <w:color w:val="000000"/>
          <w:sz w:val="30"/>
          <w:szCs w:val="30"/>
        </w:rPr>
      </w:pPr>
    </w:p>
    <w:p>
      <w:pPr>
        <w:pStyle w:val="4"/>
        <w:spacing w:line="360" w:lineRule="auto"/>
        <w:rPr>
          <w:rFonts w:cs="Arial" w:asciiTheme="majorEastAsia" w:hAnsiTheme="majorEastAsia" w:eastAsiaTheme="majorEastAsia"/>
          <w:color w:val="000000"/>
          <w:sz w:val="30"/>
          <w:szCs w:val="30"/>
        </w:rPr>
      </w:pPr>
      <w:r>
        <w:rPr>
          <w:rStyle w:val="7"/>
          <w:rFonts w:ascii="仿宋" w:hAnsi="仿宋" w:eastAsia="仿宋" w:cs="Arial"/>
          <w:color w:val="000000"/>
          <w:sz w:val="30"/>
          <w:szCs w:val="30"/>
        </w:rPr>
        <w:t>　　</w:t>
      </w:r>
      <w:r>
        <w:rPr>
          <w:rStyle w:val="7"/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八、</w:t>
      </w:r>
      <w:r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  <w:t xml:space="preserve"> “三公”经费支出预算情况说明</w:t>
      </w:r>
    </w:p>
    <w:p>
      <w:pPr>
        <w:pStyle w:val="4"/>
        <w:spacing w:line="360" w:lineRule="auto"/>
        <w:ind w:firstLine="600"/>
        <w:rPr>
          <w:rFonts w:hint="eastAsia"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信阳市平桥区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医疗保障局没有安排</w:t>
      </w:r>
      <w:r>
        <w:rPr>
          <w:rFonts w:ascii="仿宋" w:hAnsi="仿宋" w:eastAsia="仿宋" w:cs="Arial"/>
          <w:color w:val="000000"/>
          <w:sz w:val="30"/>
          <w:szCs w:val="30"/>
        </w:rPr>
        <w:t>“三公”经费预算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，没有安排公务接待费、因公出国出境费和公务用车运行及购置费，未安排的原因是落实中央八项规定，例行勤俭节约。</w:t>
      </w:r>
    </w:p>
    <w:p>
      <w:pPr>
        <w:pStyle w:val="4"/>
        <w:spacing w:line="360" w:lineRule="auto"/>
        <w:ind w:firstLine="600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sz w:val="30"/>
          <w:szCs w:val="30"/>
        </w:rPr>
        <w:t>（一）因公出国（境）费0万元，与上年相比无增减变动。</w:t>
      </w:r>
    </w:p>
    <w:p>
      <w:pPr>
        <w:pStyle w:val="4"/>
        <w:spacing w:line="360" w:lineRule="auto"/>
        <w:ind w:firstLine="600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sz w:val="30"/>
          <w:szCs w:val="30"/>
        </w:rPr>
        <w:t>（二）公务用车购置及运行费0万元，其中，公务用车购置费0元；公务用车运行维护费0万元，主要用于开展工作所需公务用车的燃料费、维修费、过路过桥费、保险费等支出。与上年相比无增减变动。</w:t>
      </w:r>
    </w:p>
    <w:p>
      <w:pPr>
        <w:pStyle w:val="4"/>
        <w:spacing w:line="360" w:lineRule="auto"/>
        <w:ind w:firstLine="600"/>
        <w:rPr>
          <w:rFonts w:hint="eastAsia" w:ascii="仿宋" w:hAnsi="仿宋" w:eastAsia="仿宋" w:cs="Arial"/>
          <w:color w:val="00000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sz w:val="30"/>
          <w:szCs w:val="30"/>
        </w:rPr>
        <w:t>（三）公务接待费0万元，与上年相比无增减变动。</w:t>
      </w:r>
    </w:p>
    <w:p>
      <w:pPr>
        <w:pStyle w:val="4"/>
        <w:spacing w:line="360" w:lineRule="auto"/>
        <w:ind w:firstLine="600"/>
        <w:rPr>
          <w:rFonts w:hint="eastAsia" w:ascii="仿宋" w:hAnsi="仿宋" w:eastAsia="仿宋" w:cs="Arial"/>
          <w:color w:val="000000"/>
          <w:sz w:val="30"/>
          <w:szCs w:val="30"/>
        </w:rPr>
      </w:pPr>
    </w:p>
    <w:p>
      <w:pPr>
        <w:pStyle w:val="4"/>
        <w:spacing w:line="360" w:lineRule="auto"/>
        <w:rPr>
          <w:rFonts w:cs="Arial" w:asciiTheme="majorEastAsia" w:hAnsiTheme="majorEastAsia" w:eastAsiaTheme="majorEastAsia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　　</w:t>
      </w:r>
      <w:r>
        <w:rPr>
          <w:rStyle w:val="7"/>
          <w:rFonts w:hint="eastAsia" w:cs="Arial" w:asciiTheme="majorEastAsia" w:hAnsiTheme="majorEastAsia" w:eastAsiaTheme="majorEastAsia"/>
          <w:color w:val="000000"/>
          <w:sz w:val="30"/>
          <w:szCs w:val="30"/>
          <w:lang w:val="en-US" w:eastAsia="zh-CN"/>
        </w:rPr>
        <w:t>九、</w:t>
      </w:r>
      <w:r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  <w:t>政府性基金预算支出情况说明</w:t>
      </w:r>
    </w:p>
    <w:p>
      <w:pPr>
        <w:pStyle w:val="4"/>
        <w:spacing w:line="360" w:lineRule="auto"/>
        <w:ind w:firstLine="600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信阳市平桥区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医疗保障局</w:t>
      </w:r>
      <w:r>
        <w:rPr>
          <w:rFonts w:hint="eastAsia" w:ascii="仿宋" w:hAnsi="仿宋" w:eastAsia="仿宋" w:cs="Arial"/>
          <w:color w:val="000000"/>
          <w:sz w:val="30"/>
          <w:szCs w:val="30"/>
          <w:lang w:eastAsia="zh-CN"/>
        </w:rPr>
        <w:t>2022</w:t>
      </w:r>
      <w:r>
        <w:rPr>
          <w:rFonts w:ascii="仿宋" w:hAnsi="仿宋" w:eastAsia="仿宋" w:cs="Arial"/>
          <w:color w:val="000000"/>
          <w:sz w:val="30"/>
          <w:szCs w:val="30"/>
        </w:rPr>
        <w:t>年没有使用政府性基金预算拨款安排的支出。</w:t>
      </w:r>
    </w:p>
    <w:p>
      <w:pPr>
        <w:pStyle w:val="4"/>
        <w:spacing w:line="360" w:lineRule="auto"/>
        <w:ind w:firstLine="600"/>
        <w:rPr>
          <w:rFonts w:ascii="仿宋" w:hAnsi="仿宋" w:eastAsia="仿宋" w:cs="Arial"/>
          <w:color w:val="000000"/>
          <w:sz w:val="30"/>
          <w:szCs w:val="30"/>
        </w:rPr>
      </w:pPr>
    </w:p>
    <w:p>
      <w:pPr>
        <w:pStyle w:val="4"/>
        <w:spacing w:line="360" w:lineRule="auto"/>
        <w:rPr>
          <w:rFonts w:cs="Arial" w:asciiTheme="majorEastAsia" w:hAnsiTheme="majorEastAsia" w:eastAsiaTheme="majorEastAsia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十</w:t>
      </w:r>
      <w:r>
        <w:rPr>
          <w:rStyle w:val="7"/>
          <w:rFonts w:hint="eastAsia" w:ascii="黑体" w:hAnsi="黑体" w:eastAsia="黑体" w:cs="黑体"/>
          <w:color w:val="000000"/>
          <w:sz w:val="30"/>
          <w:szCs w:val="30"/>
        </w:rPr>
        <w:t>、</w:t>
      </w:r>
      <w:r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  <w:t>其他重要事项的情况说明</w:t>
      </w:r>
    </w:p>
    <w:p>
      <w:pPr>
        <w:pStyle w:val="4"/>
        <w:spacing w:line="360" w:lineRule="auto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　　(一)机关运行经费支出情况</w:t>
      </w:r>
    </w:p>
    <w:p>
      <w:pPr>
        <w:pStyle w:val="4"/>
        <w:spacing w:line="360" w:lineRule="auto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　　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信阳市平桥区医疗保障局</w:t>
      </w:r>
      <w:r>
        <w:rPr>
          <w:rFonts w:hint="eastAsia" w:ascii="仿宋" w:hAnsi="仿宋" w:eastAsia="仿宋" w:cs="Arial"/>
          <w:color w:val="000000"/>
          <w:sz w:val="30"/>
          <w:szCs w:val="30"/>
          <w:lang w:eastAsia="zh-CN"/>
        </w:rPr>
        <w:t>2022</w:t>
      </w:r>
      <w:r>
        <w:rPr>
          <w:rFonts w:ascii="仿宋" w:hAnsi="仿宋" w:eastAsia="仿宋" w:cs="Arial"/>
          <w:color w:val="000000"/>
          <w:sz w:val="30"/>
          <w:szCs w:val="30"/>
        </w:rPr>
        <w:t>年机关运行经费支出预算</w:t>
      </w:r>
      <w:r>
        <w:rPr>
          <w:rFonts w:hint="eastAsia" w:ascii="仿宋" w:hAnsi="仿宋" w:eastAsia="仿宋" w:cs="Arial"/>
          <w:color w:val="000000"/>
          <w:sz w:val="30"/>
          <w:szCs w:val="30"/>
          <w:lang w:val="en-US" w:eastAsia="zh-CN"/>
        </w:rPr>
        <w:t>68.72</w:t>
      </w:r>
      <w:r>
        <w:rPr>
          <w:rFonts w:ascii="仿宋" w:hAnsi="仿宋" w:eastAsia="仿宋" w:cs="Arial"/>
          <w:color w:val="000000"/>
          <w:sz w:val="30"/>
          <w:szCs w:val="30"/>
        </w:rPr>
        <w:t>万元，主要保障机构正常运转及正常履职需要。</w:t>
      </w:r>
    </w:p>
    <w:p>
      <w:pPr>
        <w:pStyle w:val="4"/>
        <w:spacing w:line="360" w:lineRule="auto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　　(二)政府采购支出情况</w:t>
      </w:r>
    </w:p>
    <w:p>
      <w:pPr>
        <w:pStyle w:val="4"/>
        <w:spacing w:line="360" w:lineRule="auto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　　</w:t>
      </w:r>
      <w:r>
        <w:rPr>
          <w:rFonts w:hint="eastAsia" w:ascii="仿宋" w:hAnsi="仿宋" w:eastAsia="仿宋" w:cs="Arial"/>
          <w:color w:val="000000"/>
          <w:sz w:val="30"/>
          <w:szCs w:val="30"/>
          <w:lang w:eastAsia="zh-CN"/>
        </w:rPr>
        <w:t>2022</w:t>
      </w:r>
      <w:r>
        <w:rPr>
          <w:rFonts w:ascii="仿宋" w:hAnsi="仿宋" w:eastAsia="仿宋" w:cs="Arial"/>
          <w:color w:val="000000"/>
          <w:sz w:val="30"/>
          <w:szCs w:val="30"/>
        </w:rPr>
        <w:t>年政府采购预算我单位没有政府采购项目。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没有安排工程类、货物类及服务类采购预算。政府采购预算安排 0万元，其中：政府采购货物预算0万元、政府采购工程预算0万元、政府采购服务预算0万元。</w:t>
      </w:r>
    </w:p>
    <w:p>
      <w:pPr>
        <w:pStyle w:val="4"/>
        <w:spacing w:line="360" w:lineRule="auto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　　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(三)绩效目标设置情况</w:t>
      </w:r>
    </w:p>
    <w:p>
      <w:pPr>
        <w:pStyle w:val="4"/>
        <w:spacing w:line="360" w:lineRule="auto"/>
        <w:rPr>
          <w:rFonts w:hint="eastAsia" w:ascii="仿宋" w:hAnsi="仿宋" w:eastAsia="仿宋" w:cs="Arial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Arial"/>
          <w:color w:val="000000"/>
          <w:sz w:val="30"/>
          <w:szCs w:val="30"/>
          <w:lang w:eastAsia="zh-CN"/>
        </w:rPr>
        <w:t>我单位2022年预算项目均按要求编制了绩效目标，从项目产出、项目效益、满意度等方面设置了绩效目标，综合反映项目预期完成的数量、实效、质量，预期达到的社会经济效益、可持续影响以及对象满意度等情况。</w:t>
      </w:r>
    </w:p>
    <w:p>
      <w:pPr>
        <w:pStyle w:val="4"/>
        <w:spacing w:line="360" w:lineRule="auto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　　(四)国有资产占用情况。</w:t>
      </w:r>
    </w:p>
    <w:p>
      <w:pPr>
        <w:pStyle w:val="4"/>
        <w:spacing w:line="360" w:lineRule="auto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　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 xml:space="preserve">  </w:t>
      </w:r>
      <w:r>
        <w:rPr>
          <w:rFonts w:ascii="仿宋" w:hAnsi="仿宋" w:eastAsia="仿宋" w:cs="Arial"/>
          <w:color w:val="000000"/>
          <w:sz w:val="30"/>
          <w:szCs w:val="30"/>
        </w:rPr>
        <w:t>公车改革后，我单位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无</w:t>
      </w:r>
      <w:r>
        <w:rPr>
          <w:rFonts w:ascii="仿宋" w:hAnsi="仿宋" w:eastAsia="仿宋" w:cs="Arial"/>
          <w:color w:val="000000"/>
          <w:sz w:val="30"/>
          <w:szCs w:val="30"/>
        </w:rPr>
        <w:t>公务用车。</w:t>
      </w:r>
      <w:r>
        <w:rPr>
          <w:rFonts w:hint="eastAsia" w:ascii="仿宋" w:hAnsi="仿宋" w:eastAsia="仿宋" w:cs="Arial"/>
          <w:color w:val="000000"/>
          <w:sz w:val="30"/>
          <w:szCs w:val="30"/>
        </w:rPr>
        <w:t>2020年底，我单位共有公车0辆，单价50万元以上的通用设备0台（套），单位价值100万以上的专业设备0台（套）。</w:t>
      </w:r>
    </w:p>
    <w:p>
      <w:pPr>
        <w:pStyle w:val="4"/>
        <w:spacing w:line="360" w:lineRule="auto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　　(五)专项转移支付项目情况</w:t>
      </w:r>
    </w:p>
    <w:p>
      <w:pPr>
        <w:pStyle w:val="4"/>
        <w:spacing w:line="360" w:lineRule="auto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　　我单位没有负责管理的专项转移支付项目。</w:t>
      </w:r>
      <w:bookmarkStart w:id="0" w:name="_GoBack"/>
      <w:bookmarkEnd w:id="0"/>
    </w:p>
    <w:p>
      <w:pPr>
        <w:pStyle w:val="4"/>
        <w:spacing w:line="360" w:lineRule="auto"/>
        <w:jc w:val="center"/>
        <w:rPr>
          <w:rFonts w:cs="Arial" w:asciiTheme="majorEastAsia" w:hAnsiTheme="majorEastAsia" w:eastAsiaTheme="majorEastAsia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　</w:t>
      </w:r>
      <w:r>
        <w:rPr>
          <w:rStyle w:val="7"/>
          <w:rFonts w:ascii="仿宋" w:hAnsi="仿宋" w:eastAsia="仿宋" w:cs="Arial"/>
          <w:color w:val="000000"/>
          <w:sz w:val="30"/>
          <w:szCs w:val="30"/>
        </w:rPr>
        <w:t>　</w:t>
      </w:r>
      <w:r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  <w:t>第三部分</w:t>
      </w:r>
    </w:p>
    <w:p>
      <w:pPr>
        <w:pStyle w:val="4"/>
        <w:spacing w:line="360" w:lineRule="auto"/>
        <w:jc w:val="center"/>
        <w:rPr>
          <w:rFonts w:cs="Arial" w:asciiTheme="majorEastAsia" w:hAnsiTheme="majorEastAsia" w:eastAsiaTheme="majorEastAsia"/>
          <w:color w:val="000000"/>
          <w:sz w:val="30"/>
          <w:szCs w:val="30"/>
        </w:rPr>
      </w:pPr>
      <w:r>
        <w:rPr>
          <w:rStyle w:val="7"/>
          <w:rFonts w:cs="Arial" w:asciiTheme="majorEastAsia" w:hAnsiTheme="majorEastAsia" w:eastAsiaTheme="majorEastAsia"/>
          <w:color w:val="000000"/>
          <w:sz w:val="30"/>
          <w:szCs w:val="30"/>
        </w:rPr>
        <w:t>　　名词解释</w:t>
      </w:r>
    </w:p>
    <w:p>
      <w:pPr>
        <w:pStyle w:val="4"/>
        <w:spacing w:line="360" w:lineRule="auto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　　一、财政拨款收入：是指省级财政当年拨付的资金。</w:t>
      </w:r>
    </w:p>
    <w:p>
      <w:pPr>
        <w:pStyle w:val="4"/>
        <w:spacing w:line="360" w:lineRule="auto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　　二、事业收入：是指事业单位开展专业活动及辅助活动所取得的收入。</w:t>
      </w:r>
    </w:p>
    <w:p>
      <w:pPr>
        <w:pStyle w:val="4"/>
        <w:spacing w:line="360" w:lineRule="auto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　　三、其他收入：是指部门取得的除“财政拨款”、“事业收入”、“事业单位经营收入”等以外的收入。</w:t>
      </w:r>
    </w:p>
    <w:p>
      <w:pPr>
        <w:pStyle w:val="4"/>
        <w:spacing w:line="360" w:lineRule="auto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>
      <w:pPr>
        <w:pStyle w:val="4"/>
        <w:spacing w:line="360" w:lineRule="auto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　　五、基本支出：是指为保障机构正常运转、完成日常工作任务所必需的开支，其内容包括人员经费和日常公用经费两部分。</w:t>
      </w:r>
    </w:p>
    <w:p>
      <w:pPr>
        <w:pStyle w:val="4"/>
        <w:spacing w:line="360" w:lineRule="auto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　　六、项目支出：是指在基本支出之外，为完成特定的行政工作任务或事业发展目标所发生的支出。</w:t>
      </w:r>
    </w:p>
    <w:p>
      <w:pPr>
        <w:pStyle w:val="4"/>
        <w:spacing w:line="360" w:lineRule="auto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　　七、“三公”经费：是指纳入省级财政预算管理，部门使用财政拨款安排的因公出国(境)费、公务用车购置及运行费和公务接待费。其中，因公出国(境)费反映单位公务出国(境)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>
      <w:pPr>
        <w:pStyle w:val="4"/>
        <w:spacing w:line="360" w:lineRule="auto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" w:hAnsi="仿宋" w:eastAsia="仿宋" w:cs="Arial"/>
          <w:color w:val="000000"/>
          <w:sz w:val="30"/>
          <w:szCs w:val="30"/>
        </w:rPr>
        <w:t>　　八、机关运行经费：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r>
        <w:rPr>
          <w:rFonts w:hint="eastAsia"/>
        </w:rPr>
        <w:t xml:space="preserve">   </w:t>
      </w:r>
    </w:p>
    <w:p/>
    <w:p/>
    <w:p/>
    <w:p/>
    <w:p/>
    <w:p/>
    <w:p/>
    <w:p/>
    <w:p/>
    <w:p>
      <w:r>
        <w:rPr>
          <w:rFonts w:hint="eastAsia"/>
        </w:rPr>
        <w:t xml:space="preserve">                                      </w:t>
      </w:r>
      <w:r>
        <w:rPr>
          <w:rFonts w:hint="eastAsia" w:ascii="仿宋" w:hAnsi="仿宋" w:eastAsia="仿宋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BBEF3F"/>
    <w:multiLevelType w:val="singleLevel"/>
    <w:tmpl w:val="90BBEF3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1Y2E1OWE5ZDExNWM1ZGI4NWI5NjA3NzhkOGM4YzAifQ=="/>
  </w:docVars>
  <w:rsids>
    <w:rsidRoot w:val="007702DD"/>
    <w:rsid w:val="00015D29"/>
    <w:rsid w:val="00020B55"/>
    <w:rsid w:val="00074078"/>
    <w:rsid w:val="00074A0B"/>
    <w:rsid w:val="00094E8B"/>
    <w:rsid w:val="000C395E"/>
    <w:rsid w:val="000C3DFA"/>
    <w:rsid w:val="000C73DA"/>
    <w:rsid w:val="000D7B4B"/>
    <w:rsid w:val="000F6BB5"/>
    <w:rsid w:val="00100A99"/>
    <w:rsid w:val="00124D00"/>
    <w:rsid w:val="001342CE"/>
    <w:rsid w:val="0014461C"/>
    <w:rsid w:val="001F47E0"/>
    <w:rsid w:val="002478B0"/>
    <w:rsid w:val="0026538B"/>
    <w:rsid w:val="00276FE5"/>
    <w:rsid w:val="00281B49"/>
    <w:rsid w:val="002A3D59"/>
    <w:rsid w:val="002B1B48"/>
    <w:rsid w:val="002B4F5A"/>
    <w:rsid w:val="002B6202"/>
    <w:rsid w:val="002B7705"/>
    <w:rsid w:val="003246F2"/>
    <w:rsid w:val="00383E6D"/>
    <w:rsid w:val="00393A18"/>
    <w:rsid w:val="003F2C9E"/>
    <w:rsid w:val="004018D2"/>
    <w:rsid w:val="0042149F"/>
    <w:rsid w:val="00433A9F"/>
    <w:rsid w:val="00473A37"/>
    <w:rsid w:val="00501D07"/>
    <w:rsid w:val="00523BAD"/>
    <w:rsid w:val="005735CF"/>
    <w:rsid w:val="005B32E6"/>
    <w:rsid w:val="005B4B76"/>
    <w:rsid w:val="00616007"/>
    <w:rsid w:val="00616519"/>
    <w:rsid w:val="00642942"/>
    <w:rsid w:val="00670699"/>
    <w:rsid w:val="00684ADC"/>
    <w:rsid w:val="006950DB"/>
    <w:rsid w:val="00695D2F"/>
    <w:rsid w:val="006A0F99"/>
    <w:rsid w:val="006A235F"/>
    <w:rsid w:val="006B0B4F"/>
    <w:rsid w:val="006C782E"/>
    <w:rsid w:val="006E2F8B"/>
    <w:rsid w:val="00730033"/>
    <w:rsid w:val="007702DD"/>
    <w:rsid w:val="007D1E9C"/>
    <w:rsid w:val="007F746F"/>
    <w:rsid w:val="00801FF8"/>
    <w:rsid w:val="008A6E49"/>
    <w:rsid w:val="008E5C93"/>
    <w:rsid w:val="008F202E"/>
    <w:rsid w:val="009D33D9"/>
    <w:rsid w:val="009F15D2"/>
    <w:rsid w:val="00A00BB1"/>
    <w:rsid w:val="00A02765"/>
    <w:rsid w:val="00A42FAD"/>
    <w:rsid w:val="00A800F6"/>
    <w:rsid w:val="00AA59CB"/>
    <w:rsid w:val="00AC02DC"/>
    <w:rsid w:val="00B029D5"/>
    <w:rsid w:val="00B04758"/>
    <w:rsid w:val="00B1043B"/>
    <w:rsid w:val="00B452DB"/>
    <w:rsid w:val="00B56612"/>
    <w:rsid w:val="00BC61F6"/>
    <w:rsid w:val="00BD2D34"/>
    <w:rsid w:val="00BF1F2B"/>
    <w:rsid w:val="00C56D99"/>
    <w:rsid w:val="00C67B6D"/>
    <w:rsid w:val="00C710BB"/>
    <w:rsid w:val="00C72A13"/>
    <w:rsid w:val="00C72DB8"/>
    <w:rsid w:val="00CA351F"/>
    <w:rsid w:val="00CA4159"/>
    <w:rsid w:val="00CD6B00"/>
    <w:rsid w:val="00CF6938"/>
    <w:rsid w:val="00D33E36"/>
    <w:rsid w:val="00D63E74"/>
    <w:rsid w:val="00E07C12"/>
    <w:rsid w:val="00E36B0A"/>
    <w:rsid w:val="00E65C5C"/>
    <w:rsid w:val="00EB1C10"/>
    <w:rsid w:val="00EC349A"/>
    <w:rsid w:val="00F3756F"/>
    <w:rsid w:val="00F55B59"/>
    <w:rsid w:val="00F80611"/>
    <w:rsid w:val="00FA4DDC"/>
    <w:rsid w:val="00FE7641"/>
    <w:rsid w:val="057842F0"/>
    <w:rsid w:val="06A64F55"/>
    <w:rsid w:val="089D0468"/>
    <w:rsid w:val="096F0E3B"/>
    <w:rsid w:val="12865C3B"/>
    <w:rsid w:val="14693171"/>
    <w:rsid w:val="163C786C"/>
    <w:rsid w:val="1A3B37AF"/>
    <w:rsid w:val="1CD83055"/>
    <w:rsid w:val="1E3E386E"/>
    <w:rsid w:val="1EEC5078"/>
    <w:rsid w:val="213A47C0"/>
    <w:rsid w:val="21EE5BE9"/>
    <w:rsid w:val="235366F1"/>
    <w:rsid w:val="268564DD"/>
    <w:rsid w:val="28034597"/>
    <w:rsid w:val="2EBE7A36"/>
    <w:rsid w:val="324043DE"/>
    <w:rsid w:val="32562ADC"/>
    <w:rsid w:val="35514E8E"/>
    <w:rsid w:val="364517E5"/>
    <w:rsid w:val="3B131EB2"/>
    <w:rsid w:val="3FFA719D"/>
    <w:rsid w:val="44BE7A9E"/>
    <w:rsid w:val="473E76D0"/>
    <w:rsid w:val="478A34FC"/>
    <w:rsid w:val="48667975"/>
    <w:rsid w:val="49F41101"/>
    <w:rsid w:val="526A24FC"/>
    <w:rsid w:val="52C828DF"/>
    <w:rsid w:val="54D77655"/>
    <w:rsid w:val="54FA3343"/>
    <w:rsid w:val="55F81F79"/>
    <w:rsid w:val="5B5F2152"/>
    <w:rsid w:val="5E227B93"/>
    <w:rsid w:val="617C1CB0"/>
    <w:rsid w:val="6200468F"/>
    <w:rsid w:val="626814F2"/>
    <w:rsid w:val="62F76C03"/>
    <w:rsid w:val="65225781"/>
    <w:rsid w:val="669C0B84"/>
    <w:rsid w:val="6869180E"/>
    <w:rsid w:val="700F0193"/>
    <w:rsid w:val="71551BD5"/>
    <w:rsid w:val="7B1F572E"/>
    <w:rsid w:val="7DF2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3498</Words>
  <Characters>3662</Characters>
  <Lines>27</Lines>
  <Paragraphs>7</Paragraphs>
  <TotalTime>2</TotalTime>
  <ScaleCrop>false</ScaleCrop>
  <LinksUpToDate>false</LinksUpToDate>
  <CharactersWithSpaces>3796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2020-10-28T01:52:00Z</dcterms:created>
  <dc:creator>larry</dc:creator>
  <cp:lastModifiedBy>付小倩</cp:lastModifiedBy>
  <cp:lastPrinted>2018-05-23T09:02:00Z</cp:lastPrinted>
  <dcterms:modified xsi:type="dcterms:W3CDTF">2023-04-28T11:15:57Z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37A6B5444B6F4A728F1059C27AFBD2C6</vt:lpwstr>
  </property>
</Properties>
</file>