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p>
    <w:p>
      <w:pPr>
        <w:pStyle w:val="4"/>
        <w:spacing w:line="360" w:lineRule="auto"/>
        <w:jc w:val="center"/>
        <w:rPr>
          <w:rFonts w:hint="eastAsia"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信阳市平桥区卫生健康委员会</w:t>
      </w:r>
    </w:p>
    <w:p>
      <w:pPr>
        <w:pStyle w:val="4"/>
        <w:spacing w:line="360" w:lineRule="auto"/>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2022年部门预算</w:t>
      </w: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pStyle w:val="4"/>
        <w:spacing w:line="360" w:lineRule="auto"/>
        <w:jc w:val="center"/>
        <w:rPr>
          <w:rFonts w:hint="eastAsia" w:ascii="ˎ̥" w:hAnsi="ˎ̥"/>
          <w:color w:val="000000"/>
        </w:rPr>
      </w:pPr>
    </w:p>
    <w:p>
      <w:pPr>
        <w:kinsoku w:val="0"/>
        <w:overflowPunct w:val="0"/>
        <w:adjustRightInd w:val="0"/>
        <w:snapToGrid w:val="0"/>
        <w:spacing w:line="560" w:lineRule="exact"/>
        <w:ind w:right="51"/>
        <w:jc w:val="center"/>
        <w:rPr>
          <w:rFonts w:hint="eastAsia" w:ascii="黑体" w:hAnsi="黑体" w:eastAsia="黑体" w:cs="黑体"/>
          <w:b/>
          <w:sz w:val="32"/>
          <w:szCs w:val="32"/>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pPr>
        <w:pStyle w:val="4"/>
        <w:spacing w:line="360" w:lineRule="auto"/>
        <w:rPr>
          <w:rFonts w:hint="eastAsia" w:ascii="黑体" w:hAnsi="Times New Roman" w:eastAsia="黑体" w:cs="黑体"/>
          <w:kern w:val="2"/>
          <w:sz w:val="32"/>
          <w:szCs w:val="32"/>
          <w:lang w:val="en-US" w:eastAsia="zh-CN" w:bidi="ar-SA"/>
        </w:rPr>
      </w:pPr>
      <w:r>
        <w:rPr>
          <w:rFonts w:hint="eastAsia" w:ascii="黑体" w:hAnsi="Times New Roman" w:eastAsia="黑体" w:cs="黑体"/>
          <w:kern w:val="2"/>
          <w:sz w:val="32"/>
          <w:szCs w:val="32"/>
          <w:lang w:val="en-US" w:eastAsia="zh-CN" w:bidi="ar-SA"/>
        </w:rPr>
        <w:t>第一部分　信阳市平桥区卫生健康委员会概况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、部门预算单位构成</w:t>
      </w:r>
    </w:p>
    <w:p>
      <w:pPr>
        <w:pStyle w:val="4"/>
        <w:spacing w:line="360" w:lineRule="auto"/>
        <w:rPr>
          <w:rFonts w:hint="eastAsia" w:ascii="黑体" w:hAnsi="Times New Roman" w:eastAsia="黑体" w:cs="黑体"/>
          <w:kern w:val="2"/>
          <w:sz w:val="32"/>
          <w:szCs w:val="32"/>
          <w:lang w:val="en-US" w:eastAsia="zh-CN" w:bidi="ar-SA"/>
        </w:rPr>
      </w:pPr>
      <w:r>
        <w:rPr>
          <w:rFonts w:hint="eastAsia" w:ascii="黑体" w:hAnsi="Times New Roman" w:eastAsia="黑体" w:cs="黑体"/>
          <w:kern w:val="2"/>
          <w:sz w:val="32"/>
          <w:szCs w:val="32"/>
          <w:lang w:val="en-US" w:eastAsia="zh-CN" w:bidi="ar-SA"/>
        </w:rPr>
        <w:t>第二部分  信阳市平桥区卫生健康委员会2022年度部门预算情况说明</w:t>
      </w:r>
    </w:p>
    <w:p>
      <w:pPr>
        <w:pStyle w:val="4"/>
        <w:spacing w:line="360" w:lineRule="auto"/>
        <w:rPr>
          <w:rFonts w:hint="eastAsia" w:ascii="黑体" w:hAnsi="Times New Roman" w:eastAsia="黑体" w:cs="黑体"/>
          <w:kern w:val="2"/>
          <w:sz w:val="32"/>
          <w:szCs w:val="32"/>
          <w:lang w:val="en-US" w:eastAsia="zh-CN" w:bidi="ar-SA"/>
        </w:rPr>
      </w:pPr>
      <w:r>
        <w:rPr>
          <w:rFonts w:hint="eastAsia" w:ascii="黑体" w:hAnsi="Times New Roman" w:eastAsia="黑体" w:cs="黑体"/>
          <w:kern w:val="2"/>
          <w:sz w:val="32"/>
          <w:szCs w:val="32"/>
          <w:lang w:val="en-US" w:eastAsia="zh-CN" w:bidi="ar-SA"/>
        </w:rPr>
        <w:t>第三部分   名词解释</w:t>
      </w:r>
    </w:p>
    <w:p>
      <w:pPr>
        <w:pStyle w:val="4"/>
        <w:spacing w:line="360" w:lineRule="auto"/>
        <w:rPr>
          <w:rFonts w:hint="eastAsia" w:ascii="黑体" w:hAnsi="Times New Roman" w:eastAsia="黑体" w:cs="黑体"/>
          <w:kern w:val="2"/>
          <w:sz w:val="32"/>
          <w:szCs w:val="32"/>
          <w:lang w:val="en-US" w:eastAsia="zh-CN" w:bidi="ar-SA"/>
        </w:rPr>
      </w:pPr>
      <w:r>
        <w:rPr>
          <w:rFonts w:hint="eastAsia" w:ascii="黑体" w:hAnsi="Times New Roman" w:eastAsia="黑体" w:cs="黑体"/>
          <w:kern w:val="2"/>
          <w:sz w:val="32"/>
          <w:szCs w:val="32"/>
          <w:lang w:val="en-US" w:eastAsia="zh-CN" w:bidi="ar-SA"/>
        </w:rPr>
        <w:t>附件   信阳市平桥区卫生健康委员会2022年度部门预算表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Style w:val="7"/>
          <w:rFonts w:ascii="ˎ̥" w:hAnsi="ˎ̥"/>
          <w:color w:val="000000"/>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adjustRightInd w:val="0"/>
        <w:snapToGrid w:val="0"/>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第一部分</w:t>
      </w:r>
    </w:p>
    <w:p>
      <w:pPr>
        <w:adjustRightInd w:val="0"/>
        <w:snapToGrid w:val="0"/>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信阳市平桥区卫生健康委员会概况</w:t>
      </w:r>
    </w:p>
    <w:p>
      <w:pPr>
        <w:pStyle w:val="4"/>
        <w:spacing w:line="360" w:lineRule="auto"/>
        <w:rPr>
          <w:rFonts w:hint="eastAsia" w:ascii="宋体" w:hAnsi="宋体" w:eastAsia="宋体" w:cs="宋体"/>
          <w:b/>
          <w:bCs/>
          <w:color w:val="000000" w:themeColor="text1"/>
          <w:sz w:val="30"/>
          <w:szCs w:val="30"/>
        </w:rPr>
      </w:pPr>
      <w:r>
        <w:rPr>
          <w:rFonts w:hint="eastAsia" w:ascii="宋体" w:hAnsi="宋体" w:eastAsia="宋体" w:cs="宋体"/>
          <w:b/>
          <w:bCs/>
          <w:color w:val="000000" w:themeColor="text1"/>
          <w:sz w:val="30"/>
          <w:szCs w:val="30"/>
        </w:rPr>
        <w:t>　</w:t>
      </w:r>
      <w:r>
        <w:rPr>
          <w:rFonts w:hint="eastAsia" w:ascii="宋体" w:hAnsi="宋体" w:eastAsia="宋体" w:cs="宋体"/>
          <w:b/>
          <w:bCs/>
          <w:color w:val="000000" w:themeColor="text1"/>
          <w:sz w:val="30"/>
          <w:szCs w:val="30"/>
          <w:lang w:val="en-US" w:eastAsia="zh-CN"/>
        </w:rPr>
        <w:t>一</w:t>
      </w:r>
      <w:r>
        <w:rPr>
          <w:rFonts w:hint="eastAsia" w:ascii="宋体" w:hAnsi="宋体" w:eastAsia="宋体" w:cs="宋体"/>
          <w:b/>
          <w:bCs/>
          <w:color w:val="000000" w:themeColor="text1"/>
          <w:sz w:val="30"/>
          <w:szCs w:val="30"/>
        </w:rPr>
        <w:t>、</w:t>
      </w:r>
      <w:r>
        <w:rPr>
          <w:rFonts w:hint="eastAsia" w:ascii="宋体" w:hAnsi="宋体" w:eastAsia="宋体" w:cs="宋体"/>
          <w:b/>
          <w:bCs/>
          <w:sz w:val="30"/>
          <w:szCs w:val="30"/>
        </w:rPr>
        <w:t>主要职责</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平桥区卫生健康委员会贯彻落实党中央关于卫生健康工作的方针政策和决策部署，在履行职责过程中坚持和加强党对卫生健康工作的集中统一领导。主要职责是：</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一）贯彻执行党和国家国民健康、卫生健康事业发展的法律法规、政策、规划，组织实施卫生健康、中医药事业发展的地方性法规规章、政策和地方标准。统筹规划全区卫生健康资源配置，指导全区区域卫生健康规划编制和实施。组织实施卫生健康基本公共服务均等化、普惠化、便捷化和公共资源向基层延伸等政策措施。</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二）协调推进深化医药卫生体制改革，研究提出全区深化医药卫生体制改革重大政策、措施的建议。组织深化公立医院综合改革，推进管办分离，健全现代医院管理制度，组织实施国家及省、市、区推动卫生健康公共服务提供主体多元化、提供方式多样化的政策措施，提出医疗服务和药品价格政策的建议。</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三）组织落实疾病预防控制规划、免疫规划以及严重危害人民健康公共卫生问题的干预措施。负责卫生应急工作，组织指导突发公共卫生事件的预防控制和各类突发公共事件的医疗卫生救援。发布法定报告传染病疫情信息、突发公共卫生事件应急处置信息。</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（四）贯彻落实国家药物政策和国家基本药物制度，开展药品使用监测、临床综合评价和短缺药品预警。</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（五）负责职责范围内的职业卫生、放射卫生、环境卫生、学校卫生、公共场所卫生、饮用水卫生等公共卫生的监督管理，负责传染病防治监督，健全卫生健康综合监督体系。组织开展食品安全风险监测评估。</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六）监督实施医疗机构、医疗服务行业、采供血机构管理办法，建立医疗服务评价和监督管理体系。会同有关部门贯彻执行国家卫生健康专业技术人员资格标准。组织实施医疗服务规范、标准和卫生健康专业技术人员执业规则、服务规范。</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（七）负责计划生育管理和服务工作，开展人口监测预警，研究提出人口与家庭发展相关政策建议，贯彻落实计划生育政策。</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（八）指导基层医疗卫生、妇幼健康服务体系建设，加强全科医生队伍建设。推进卫生健康科技创新发展。</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（九）拟订并协调落实应对人口老龄化政策措施，负责推进老年健康服务体系建设和医养结合工作。</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（十）负责区保健对象的医疗保健工作，负责重要会议与重大活动的医疗卫生保障工作。</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（十一）负责中医管理工作，拟订全区中医药事业中长期发展规划。</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（十二）承担区爱国卫生运动委员会、区艾滋病防治工作委员会、区中医药工作领导小组、区老龄工作委员会、区人口和计划生育工作领导小组、区保健委员会日常工作，指导区计划生育协会的业务工作。</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（十三）完成区委、区政府交办的其他任务。</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（十四）有关职责分工。</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1.与区发展和改革委员会的有关职责分工。区卫生健康委员会负责开展人口监测预警工作，研究提出与生育相关的人口数量、素质、结构、分布方面的政策建议，促进生育政策和相关经济社会政策配套衔接，参与制定全区人口发展规划和政策，落实国家及省、市人口发展规划中的有关任务。区发展和改革委员会负责组织监测和评估全区人口变动情况及趋势影响，建立人口预测预报制度，开展重大决策人口影响评估，完善重大人口政策咨询机制，研究提出本区人口发展战略，拟订本区人口发展规划和人口政策，研究提出人口与经济、社会、资源、环境协调可持续发展，以及统筹促进人口长期均衡发展的政策建议。</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与区民政局的有关职责分工。区卫生健康委员会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组织实施养老服务体系建设规划、法规、政策、标准，承担老年人福利和特殊困难老年人救助工作。</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3.与区市场监督管理局的有关职责分工。区卫生健康委员会负责食品安全风险评估工作，会同区市场监督管理局等部门制定、实施食品安全风险监测计划。区卫生健康委员会对通过食品安全风险监测或者接到举报发现食品可能存在安全隐患的，应立即组织进行检验和食品安全风险评估，并及时向区市场监督管理局等部门通报食品安全风险评估结果，对得出不安全结论的食品，区市场监督管理局等部门应当立即采取措施。区市场监督管理局等部门在监督管理工作中发现需要进行食品安全风险评估的，应当及时向区卫生健康委员会提出建议。区市场监督管理局会同区卫生健康委员会建立重大药品不良反应和医疗器械不良事件相互通报机制和联合处置机制。</w:t>
      </w:r>
    </w:p>
    <w:p>
      <w:p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4.与区医疗保障局的有关职责分工。区卫生健康委员会、区医疗保障局等部门在医疗、医保、医药等方面加强制度、政策衔接，建立沟通协商机制，协同推进改革，提高医疗资源使用效率和医疗保障水平。</w:t>
      </w:r>
    </w:p>
    <w:p>
      <w:pPr>
        <w:numPr>
          <w:ilvl w:val="0"/>
          <w:numId w:val="0"/>
        </w:numPr>
        <w:adjustRightInd w:val="0"/>
        <w:snapToGrid w:val="0"/>
        <w:spacing w:line="560" w:lineRule="exact"/>
        <w:rPr>
          <w:rFonts w:hint="eastAsia" w:ascii="宋体" w:hAnsi="宋体" w:eastAsia="宋体" w:cs="宋体"/>
          <w:b/>
          <w:bCs/>
          <w:sz w:val="30"/>
          <w:szCs w:val="30"/>
          <w:lang w:val="en-US" w:eastAsia="zh-CN"/>
        </w:rPr>
      </w:pPr>
    </w:p>
    <w:p>
      <w:pPr>
        <w:numPr>
          <w:ilvl w:val="0"/>
          <w:numId w:val="0"/>
        </w:numPr>
        <w:adjustRightInd w:val="0"/>
        <w:snapToGrid w:val="0"/>
        <w:spacing w:line="56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w:t>
      </w:r>
      <w:r>
        <w:rPr>
          <w:rFonts w:hint="eastAsia" w:ascii="宋体" w:hAnsi="宋体" w:eastAsia="宋体" w:cs="宋体"/>
          <w:b/>
          <w:bCs/>
          <w:kern w:val="0"/>
          <w:sz w:val="30"/>
          <w:szCs w:val="30"/>
        </w:rPr>
        <w:t>部门的</w:t>
      </w:r>
      <w:r>
        <w:rPr>
          <w:rFonts w:hint="eastAsia" w:ascii="宋体" w:hAnsi="宋体" w:eastAsia="宋体" w:cs="宋体"/>
          <w:b/>
          <w:bCs/>
          <w:kern w:val="0"/>
          <w:sz w:val="30"/>
          <w:szCs w:val="30"/>
          <w:lang w:val="en-US" w:eastAsia="zh-CN"/>
        </w:rPr>
        <w:t>机构设置</w:t>
      </w:r>
    </w:p>
    <w:p>
      <w:pPr>
        <w:spacing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color w:val="000000" w:themeColor="text1"/>
          <w:kern w:val="0"/>
          <w:sz w:val="30"/>
          <w:szCs w:val="30"/>
        </w:rPr>
        <w:t>信阳市平桥区卫生健康委员会有内设机构12个。具体机构名单如下：1、办公室（信访稳定股）2、人事股3、项目规划财务股4、卫生健康信息股（宣传教育股）5、药物政策与基本药物制度股（医改办）6、爱国卫生股7、疾病预防控制股（艾滋病防治工作办公室、卫生应急办公室）8、医政医管股（基层卫生健康股、科技教育股、行政审批股）9、中医管理股10、法制监督股（食品安全标准与监测评估办公室、职业健康股）11、妇幼健康股（老龄健康股）12、人口监测与家庭发展股。</w:t>
      </w:r>
    </w:p>
    <w:p>
      <w:pPr>
        <w:numPr>
          <w:ilvl w:val="0"/>
          <w:numId w:val="0"/>
        </w:numPr>
        <w:adjustRightInd w:val="0"/>
        <w:snapToGrid w:val="0"/>
        <w:spacing w:line="560" w:lineRule="exact"/>
        <w:rPr>
          <w:rFonts w:hint="eastAsia" w:ascii="宋体" w:hAnsi="宋体" w:eastAsia="宋体" w:cs="宋体"/>
          <w:b/>
          <w:bCs/>
          <w:sz w:val="30"/>
          <w:szCs w:val="30"/>
          <w:lang w:val="en-US" w:eastAsia="zh-CN"/>
        </w:rPr>
      </w:pPr>
    </w:p>
    <w:p>
      <w:pPr>
        <w:numPr>
          <w:ilvl w:val="0"/>
          <w:numId w:val="0"/>
        </w:numPr>
        <w:adjustRightInd w:val="0"/>
        <w:snapToGrid w:val="0"/>
        <w:spacing w:line="560" w:lineRule="exact"/>
        <w:rPr>
          <w:rFonts w:hint="eastAsia" w:ascii="宋体" w:hAnsi="宋体" w:eastAsia="宋体" w:cs="宋体"/>
          <w:b/>
          <w:bCs/>
          <w:sz w:val="30"/>
          <w:szCs w:val="30"/>
        </w:rPr>
      </w:pP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、部门预算单位构成</w:t>
      </w:r>
    </w:p>
    <w:p>
      <w:pPr>
        <w:spacing w:line="360" w:lineRule="auto"/>
        <w:ind w:firstLine="600"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根据部门预算管理有关规定，本预算为汇总预算，包括局机关本级预算和</w:t>
      </w:r>
      <w:r>
        <w:rPr>
          <w:rFonts w:hint="eastAsia" w:ascii="宋体" w:hAnsi="宋体" w:eastAsia="宋体" w:cs="宋体"/>
          <w:b w:val="0"/>
          <w:bCs/>
          <w:sz w:val="30"/>
          <w:szCs w:val="30"/>
          <w:lang w:val="en-US" w:eastAsia="zh-CN"/>
        </w:rPr>
        <w:t>10</w:t>
      </w:r>
      <w:r>
        <w:rPr>
          <w:rFonts w:hint="eastAsia" w:ascii="宋体" w:hAnsi="宋体" w:eastAsia="宋体" w:cs="宋体"/>
          <w:b w:val="0"/>
          <w:bCs/>
          <w:sz w:val="30"/>
          <w:szCs w:val="30"/>
        </w:rPr>
        <w:t>个</w:t>
      </w:r>
      <w:r>
        <w:rPr>
          <w:rFonts w:hint="eastAsia" w:ascii="宋体" w:hAnsi="宋体" w:eastAsia="宋体" w:cs="宋体"/>
          <w:b w:val="0"/>
          <w:bCs/>
          <w:sz w:val="30"/>
          <w:szCs w:val="30"/>
          <w:lang w:val="en-US" w:eastAsia="zh-CN"/>
        </w:rPr>
        <w:t>二级机构</w:t>
      </w:r>
      <w:r>
        <w:rPr>
          <w:rFonts w:hint="eastAsia" w:ascii="宋体" w:hAnsi="宋体" w:eastAsia="宋体" w:cs="宋体"/>
          <w:b w:val="0"/>
          <w:bCs/>
          <w:sz w:val="30"/>
          <w:szCs w:val="30"/>
        </w:rPr>
        <w:t>单位预算，具体是：</w:t>
      </w:r>
    </w:p>
    <w:p>
      <w:pPr>
        <w:numPr>
          <w:ilvl w:val="0"/>
          <w:numId w:val="0"/>
        </w:numPr>
        <w:spacing w:line="360" w:lineRule="auto"/>
        <w:ind w:firstLine="600"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1、</w:t>
      </w:r>
      <w:r>
        <w:rPr>
          <w:rFonts w:hint="eastAsia" w:ascii="宋体" w:hAnsi="宋体" w:eastAsia="宋体" w:cs="宋体"/>
          <w:b w:val="0"/>
          <w:bCs/>
          <w:sz w:val="30"/>
          <w:szCs w:val="30"/>
        </w:rPr>
        <w:t>平桥区卫生健康委员会部门机关本级；</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2、</w:t>
      </w:r>
      <w:r>
        <w:rPr>
          <w:rFonts w:hint="eastAsia" w:ascii="宋体" w:hAnsi="宋体" w:eastAsia="宋体" w:cs="宋体"/>
          <w:color w:val="000000" w:themeColor="text1"/>
          <w:kern w:val="0"/>
          <w:sz w:val="30"/>
          <w:szCs w:val="30"/>
        </w:rPr>
        <w:t>平桥区妇幼保健院</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3、</w:t>
      </w:r>
      <w:r>
        <w:rPr>
          <w:rFonts w:hint="eastAsia" w:ascii="宋体" w:hAnsi="宋体" w:eastAsia="宋体" w:cs="宋体"/>
          <w:color w:val="000000" w:themeColor="text1"/>
          <w:kern w:val="0"/>
          <w:sz w:val="30"/>
          <w:szCs w:val="30"/>
        </w:rPr>
        <w:t>平桥区疾病预防控制中心</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4、</w:t>
      </w:r>
      <w:r>
        <w:rPr>
          <w:rFonts w:hint="eastAsia" w:ascii="宋体" w:hAnsi="宋体" w:eastAsia="宋体" w:cs="宋体"/>
          <w:color w:val="000000" w:themeColor="text1"/>
          <w:kern w:val="0"/>
          <w:sz w:val="30"/>
          <w:szCs w:val="30"/>
        </w:rPr>
        <w:t>平桥区计划生育服务站</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5、</w:t>
      </w:r>
      <w:r>
        <w:rPr>
          <w:rFonts w:hint="eastAsia" w:ascii="宋体" w:hAnsi="宋体" w:eastAsia="宋体" w:cs="宋体"/>
          <w:color w:val="000000" w:themeColor="text1"/>
          <w:kern w:val="0"/>
          <w:sz w:val="30"/>
          <w:szCs w:val="30"/>
        </w:rPr>
        <w:t>平桥区流动人口计划生育管理办公室</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6、</w:t>
      </w:r>
      <w:r>
        <w:rPr>
          <w:rFonts w:hint="eastAsia" w:ascii="宋体" w:hAnsi="宋体" w:eastAsia="宋体" w:cs="宋体"/>
          <w:color w:val="000000" w:themeColor="text1"/>
          <w:kern w:val="0"/>
          <w:sz w:val="30"/>
          <w:szCs w:val="30"/>
        </w:rPr>
        <w:t>平桥区平桥街道办事处卫生服务中心</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7、</w:t>
      </w:r>
      <w:r>
        <w:rPr>
          <w:rFonts w:hint="eastAsia" w:ascii="宋体" w:hAnsi="宋体" w:eastAsia="宋体" w:cs="宋体"/>
          <w:color w:val="000000" w:themeColor="text1"/>
          <w:kern w:val="0"/>
          <w:sz w:val="30"/>
          <w:szCs w:val="30"/>
        </w:rPr>
        <w:t>平桥区人口计划生育监控大队</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8、</w:t>
      </w:r>
      <w:r>
        <w:rPr>
          <w:rFonts w:hint="eastAsia" w:ascii="宋体" w:hAnsi="宋体" w:eastAsia="宋体" w:cs="宋体"/>
          <w:color w:val="000000" w:themeColor="text1"/>
          <w:kern w:val="0"/>
          <w:sz w:val="30"/>
          <w:szCs w:val="30"/>
        </w:rPr>
        <w:t>平桥区卫生计生监督所</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9、</w:t>
      </w:r>
      <w:r>
        <w:rPr>
          <w:rFonts w:hint="eastAsia" w:ascii="宋体" w:hAnsi="宋体" w:eastAsia="宋体" w:cs="宋体"/>
          <w:color w:val="000000" w:themeColor="text1"/>
          <w:kern w:val="0"/>
          <w:sz w:val="30"/>
          <w:szCs w:val="30"/>
        </w:rPr>
        <w:t>平桥区卫生学校</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10、</w:t>
      </w:r>
      <w:r>
        <w:rPr>
          <w:rFonts w:hint="eastAsia" w:ascii="宋体" w:hAnsi="宋体" w:eastAsia="宋体" w:cs="宋体"/>
          <w:color w:val="000000" w:themeColor="text1"/>
          <w:kern w:val="0"/>
          <w:sz w:val="30"/>
          <w:szCs w:val="30"/>
        </w:rPr>
        <w:t>平桥区中医院</w:t>
      </w:r>
    </w:p>
    <w:p>
      <w:pPr>
        <w:numPr>
          <w:ilvl w:val="0"/>
          <w:numId w:val="0"/>
        </w:numPr>
        <w:spacing w:line="360" w:lineRule="auto"/>
        <w:ind w:firstLine="600" w:firstLineChars="200"/>
        <w:jc w:val="left"/>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11、</w:t>
      </w:r>
      <w:r>
        <w:rPr>
          <w:rFonts w:hint="eastAsia" w:ascii="宋体" w:hAnsi="宋体" w:eastAsia="宋体" w:cs="宋体"/>
          <w:color w:val="000000" w:themeColor="text1"/>
          <w:kern w:val="0"/>
          <w:sz w:val="30"/>
          <w:szCs w:val="30"/>
        </w:rPr>
        <w:t>信阳市第四人民医院</w:t>
      </w:r>
    </w:p>
    <w:p>
      <w:pPr>
        <w:pStyle w:val="4"/>
        <w:spacing w:line="360" w:lineRule="auto"/>
        <w:jc w:val="both"/>
        <w:rPr>
          <w:rFonts w:ascii="ˎ̥" w:hAnsi="ˎ̥"/>
          <w:color w:val="000000"/>
        </w:rPr>
      </w:pPr>
      <w:r>
        <w:rPr>
          <w:rFonts w:ascii="ˎ̥" w:hAnsi="ˎ̥"/>
          <w:color w:val="000000"/>
        </w:rPr>
        <w:t>　</w:t>
      </w:r>
    </w:p>
    <w:p>
      <w:pPr>
        <w:pStyle w:val="4"/>
        <w:spacing w:line="360" w:lineRule="auto"/>
        <w:jc w:val="both"/>
        <w:rPr>
          <w:rFonts w:ascii="ˎ̥" w:hAnsi="ˎ̥"/>
          <w:color w:val="000000"/>
        </w:rPr>
      </w:pPr>
    </w:p>
    <w:p>
      <w:pPr>
        <w:pStyle w:val="4"/>
        <w:spacing w:line="360" w:lineRule="auto"/>
        <w:jc w:val="both"/>
        <w:rPr>
          <w:rFonts w:ascii="ˎ̥" w:hAnsi="ˎ̥"/>
          <w:color w:val="000000"/>
        </w:rPr>
      </w:pPr>
    </w:p>
    <w:p>
      <w:pPr>
        <w:pStyle w:val="4"/>
        <w:spacing w:line="360" w:lineRule="auto"/>
        <w:jc w:val="center"/>
        <w:rPr>
          <w:rStyle w:val="7"/>
          <w:rFonts w:ascii="ˎ̥" w:hAnsi="ˎ̥"/>
          <w:color w:val="000000"/>
          <w:sz w:val="32"/>
          <w:szCs w:val="32"/>
        </w:rPr>
      </w:pPr>
      <w:r>
        <w:rPr>
          <w:rStyle w:val="7"/>
          <w:rFonts w:ascii="ˎ̥" w:hAnsi="ˎ̥"/>
          <w:color w:val="000000"/>
          <w:sz w:val="32"/>
          <w:szCs w:val="32"/>
        </w:rPr>
        <w:t>第二部分</w:t>
      </w:r>
    </w:p>
    <w:p>
      <w:pPr>
        <w:pStyle w:val="4"/>
        <w:spacing w:line="360" w:lineRule="auto"/>
        <w:jc w:val="center"/>
        <w:rPr>
          <w:rStyle w:val="7"/>
          <w:rFonts w:hint="eastAsia" w:ascii="ˎ̥" w:hAnsi="ˎ̥"/>
          <w:color w:val="000000"/>
          <w:sz w:val="32"/>
          <w:szCs w:val="32"/>
        </w:rPr>
      </w:pPr>
      <w:r>
        <w:rPr>
          <w:rStyle w:val="7"/>
          <w:rFonts w:hint="eastAsia" w:ascii="ˎ̥" w:hAnsi="ˎ̥"/>
          <w:color w:val="000000"/>
          <w:sz w:val="32"/>
          <w:szCs w:val="32"/>
        </w:rPr>
        <w:t>信阳市平桥区卫生健康委员会</w:t>
      </w:r>
    </w:p>
    <w:p>
      <w:pPr>
        <w:pStyle w:val="4"/>
        <w:spacing w:line="360" w:lineRule="auto"/>
        <w:jc w:val="center"/>
        <w:rPr>
          <w:rFonts w:ascii="ˎ̥" w:hAnsi="ˎ̥"/>
          <w:color w:val="000000"/>
          <w:sz w:val="32"/>
          <w:szCs w:val="32"/>
        </w:rPr>
      </w:pPr>
      <w:r>
        <w:rPr>
          <w:rStyle w:val="7"/>
          <w:rFonts w:ascii="ˎ̥" w:hAnsi="ˎ̥"/>
          <w:color w:val="000000"/>
          <w:sz w:val="32"/>
          <w:szCs w:val="32"/>
        </w:rPr>
        <w:t>2022年度部门预算情况说明</w:t>
      </w:r>
    </w:p>
    <w:p>
      <w:pPr>
        <w:pStyle w:val="4"/>
        <w:spacing w:line="360" w:lineRule="auto"/>
        <w:rPr>
          <w:rFonts w:ascii="ˎ̥" w:hAnsi="ˎ̥"/>
          <w:color w:val="000000"/>
        </w:rPr>
      </w:pPr>
      <w:r>
        <w:rPr>
          <w:rFonts w:ascii="ˎ̥" w:hAnsi="ˎ̥"/>
          <w:color w:val="000000"/>
        </w:rPr>
        <w:t>　　</w:t>
      </w:r>
      <w:r>
        <w:rPr>
          <w:rStyle w:val="7"/>
          <w:rFonts w:ascii="ˎ̥" w:hAnsi="ˎ̥"/>
          <w:color w:val="000000"/>
        </w:rPr>
        <w:t>一、收入支出预算总体情况说明</w:t>
      </w:r>
    </w:p>
    <w:p>
      <w:pPr>
        <w:pStyle w:val="4"/>
        <w:spacing w:line="360" w:lineRule="auto"/>
        <w:ind w:firstLine="480"/>
        <w:rPr>
          <w:rStyle w:val="7"/>
          <w:rFonts w:ascii="ˎ̥" w:hAnsi="ˎ̥"/>
          <w:b w:val="0"/>
          <w:bCs w:val="0"/>
          <w:color w:val="FF0000"/>
        </w:rPr>
      </w:pP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w:t>
      </w:r>
      <w:r>
        <w:rPr>
          <w:rFonts w:ascii="ˎ̥" w:hAnsi="ˎ̥"/>
          <w:color w:val="000000" w:themeColor="text1"/>
        </w:rPr>
        <w:t>2022年收入总计</w:t>
      </w:r>
      <w:r>
        <w:rPr>
          <w:rFonts w:hint="eastAsia" w:ascii="ˎ̥" w:hAnsi="ˎ̥"/>
          <w:color w:val="000000" w:themeColor="text1"/>
        </w:rPr>
        <w:t>5512.67</w:t>
      </w:r>
      <w:r>
        <w:rPr>
          <w:rFonts w:ascii="ˎ̥" w:hAnsi="ˎ̥"/>
          <w:color w:val="000000" w:themeColor="text1"/>
        </w:rPr>
        <w:t>万元，支出总计</w:t>
      </w:r>
      <w:r>
        <w:rPr>
          <w:rFonts w:hint="eastAsia" w:ascii="ˎ̥" w:hAnsi="ˎ̥"/>
          <w:color w:val="000000" w:themeColor="text1"/>
        </w:rPr>
        <w:t>5512.67</w:t>
      </w:r>
      <w:r>
        <w:rPr>
          <w:rFonts w:ascii="ˎ̥" w:hAnsi="ˎ̥"/>
          <w:color w:val="000000" w:themeColor="text1"/>
        </w:rPr>
        <w:t>万元，与202</w:t>
      </w:r>
      <w:r>
        <w:rPr>
          <w:rFonts w:hint="eastAsia" w:ascii="ˎ̥" w:hAnsi="ˎ̥"/>
          <w:color w:val="000000" w:themeColor="text1"/>
        </w:rPr>
        <w:t>1</w:t>
      </w:r>
      <w:r>
        <w:rPr>
          <w:rFonts w:ascii="ˎ̥" w:hAnsi="ˎ̥"/>
          <w:color w:val="000000" w:themeColor="text1"/>
        </w:rPr>
        <w:t>年相比，收、支总计</w:t>
      </w:r>
      <w:r>
        <w:rPr>
          <w:rFonts w:hint="eastAsia" w:ascii="ˎ̥" w:hAnsi="ˎ̥"/>
          <w:color w:val="000000" w:themeColor="text1"/>
        </w:rPr>
        <w:t>均增加15.14</w:t>
      </w:r>
      <w:r>
        <w:rPr>
          <w:rFonts w:ascii="ˎ̥" w:hAnsi="ˎ̥"/>
          <w:color w:val="000000" w:themeColor="text1"/>
        </w:rPr>
        <w:t>万元，</w:t>
      </w:r>
      <w:r>
        <w:rPr>
          <w:rFonts w:hint="eastAsia" w:ascii="ˎ̥" w:hAnsi="ˎ̥"/>
          <w:color w:val="000000" w:themeColor="text1"/>
        </w:rPr>
        <w:t>上升2.75</w:t>
      </w:r>
      <w:r>
        <w:rPr>
          <w:rFonts w:ascii="ˎ̥" w:hAnsi="ˎ̥"/>
          <w:color w:val="000000" w:themeColor="text1"/>
        </w:rPr>
        <w:t>%。主要原因：</w:t>
      </w:r>
      <w:r>
        <w:rPr>
          <w:rFonts w:hint="eastAsia" w:ascii="ˎ̥" w:hAnsi="ˎ̥"/>
          <w:color w:val="000000" w:themeColor="text1"/>
        </w:rPr>
        <w:t>机关事业单位人员工资正常晋升每年增加。</w:t>
      </w:r>
      <w:r>
        <w:rPr>
          <w:rStyle w:val="7"/>
          <w:rFonts w:ascii="ˎ̥" w:hAnsi="ˎ̥"/>
          <w:color w:val="000000" w:themeColor="text1"/>
        </w:rPr>
        <w:t>　</w:t>
      </w:r>
    </w:p>
    <w:p>
      <w:pPr>
        <w:pStyle w:val="4"/>
        <w:spacing w:line="360" w:lineRule="auto"/>
        <w:ind w:firstLine="480"/>
        <w:rPr>
          <w:rFonts w:ascii="ˎ̥" w:hAnsi="ˎ̥"/>
          <w:color w:val="000000"/>
        </w:rPr>
      </w:pPr>
      <w:r>
        <w:rPr>
          <w:rStyle w:val="7"/>
          <w:rFonts w:ascii="ˎ̥" w:hAnsi="ˎ̥"/>
          <w:color w:val="000000"/>
        </w:rPr>
        <w:t>二、收入预算总体情况说明</w:t>
      </w:r>
    </w:p>
    <w:p>
      <w:pPr>
        <w:pStyle w:val="4"/>
        <w:spacing w:line="360" w:lineRule="auto"/>
        <w:rPr>
          <w:rFonts w:ascii="ˎ̥" w:hAnsi="ˎ̥"/>
          <w:color w:val="000000"/>
        </w:rPr>
      </w:pPr>
      <w:r>
        <w:rPr>
          <w:rFonts w:ascii="ˎ̥" w:hAnsi="ˎ̥"/>
          <w:color w:val="000000"/>
        </w:rPr>
        <w:t>　　</w:t>
      </w: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卫生健康委员会2022</w:t>
      </w:r>
      <w:r>
        <w:rPr>
          <w:rFonts w:ascii="ˎ̥" w:hAnsi="ˎ̥"/>
          <w:color w:val="000000"/>
        </w:rPr>
        <w:t>年收入合计</w:t>
      </w:r>
      <w:r>
        <w:rPr>
          <w:rFonts w:hint="eastAsia" w:ascii="ˎ̥" w:hAnsi="ˎ̥"/>
          <w:color w:val="000000" w:themeColor="text1"/>
        </w:rPr>
        <w:t>5512.67</w:t>
      </w:r>
      <w:r>
        <w:rPr>
          <w:rFonts w:ascii="ˎ̥" w:hAnsi="ˎ̥"/>
          <w:color w:val="000000"/>
        </w:rPr>
        <w:t>万元，</w:t>
      </w:r>
      <w:r>
        <w:rPr>
          <w:rFonts w:hint="eastAsia" w:ascii="ˎ̥" w:hAnsi="ˎ̥"/>
          <w:color w:val="000000"/>
        </w:rPr>
        <w:t>其中</w:t>
      </w:r>
      <w:r>
        <w:rPr>
          <w:rFonts w:ascii="ˎ̥" w:hAnsi="ˎ̥"/>
          <w:color w:val="000000"/>
        </w:rPr>
        <w:t>一般公共预算</w:t>
      </w:r>
      <w:r>
        <w:rPr>
          <w:rFonts w:hint="eastAsia" w:ascii="ˎ̥" w:hAnsi="ˎ̥"/>
          <w:color w:val="000000"/>
        </w:rPr>
        <w:t>收入5467.67万元，占比99.18%；非税收入45万元，占比8.2%；包含专项经费605万元（各类疾病防控经费175万元，卫生监督执法经费30万元，“智慧卫星”建设50万元，药品零差价及医改300万元，除四害15万元，</w:t>
      </w:r>
      <w:r>
        <w:rPr>
          <w:rFonts w:hint="eastAsia" w:ascii="ˎ̥" w:hAnsi="ˎ̥"/>
          <w:color w:val="000000" w:themeColor="text1"/>
        </w:rPr>
        <w:t>重症精神障碍患者监护费35万元</w:t>
      </w:r>
      <w:r>
        <w:rPr>
          <w:rFonts w:hint="eastAsia" w:ascii="ˎ̥" w:hAnsi="ˎ̥"/>
          <w:color w:val="000000"/>
        </w:rPr>
        <w:t>）</w:t>
      </w:r>
      <w:r>
        <w:rPr>
          <w:rFonts w:ascii="ˎ̥" w:hAnsi="ˎ̥"/>
          <w:color w:val="000000"/>
        </w:rPr>
        <w:t>。</w:t>
      </w:r>
    </w:p>
    <w:p>
      <w:pPr>
        <w:pStyle w:val="4"/>
        <w:spacing w:line="360" w:lineRule="auto"/>
        <w:rPr>
          <w:rFonts w:ascii="ˎ̥" w:hAnsi="ˎ̥"/>
          <w:color w:val="000000"/>
        </w:rPr>
      </w:pPr>
      <w:r>
        <w:rPr>
          <w:rFonts w:ascii="ˎ̥" w:hAnsi="ˎ̥"/>
          <w:color w:val="000000"/>
        </w:rPr>
        <w:t>　</w:t>
      </w:r>
      <w:r>
        <w:rPr>
          <w:rStyle w:val="7"/>
          <w:rFonts w:ascii="ˎ̥" w:hAnsi="ˎ̥"/>
          <w:color w:val="000000"/>
        </w:rPr>
        <w:t>　三、支出预算总体情况说明</w:t>
      </w:r>
    </w:p>
    <w:p>
      <w:pPr>
        <w:pStyle w:val="4"/>
        <w:spacing w:line="360" w:lineRule="auto"/>
        <w:rPr>
          <w:rFonts w:ascii="ˎ̥" w:hAnsi="ˎ̥"/>
          <w:color w:val="000000"/>
        </w:rPr>
      </w:pPr>
      <w:r>
        <w:rPr>
          <w:rFonts w:ascii="ˎ̥" w:hAnsi="ˎ̥"/>
          <w:color w:val="000000"/>
        </w:rPr>
        <w:t>　　</w:t>
      </w: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w:t>
      </w:r>
      <w:r>
        <w:rPr>
          <w:rFonts w:ascii="ˎ̥" w:hAnsi="ˎ̥"/>
          <w:color w:val="000000"/>
        </w:rPr>
        <w:t>2022年支出合计</w:t>
      </w:r>
      <w:r>
        <w:rPr>
          <w:rFonts w:hint="eastAsia" w:ascii="ˎ̥" w:hAnsi="ˎ̥"/>
          <w:color w:val="000000" w:themeColor="text1"/>
        </w:rPr>
        <w:t>5512.67</w:t>
      </w:r>
      <w:r>
        <w:rPr>
          <w:rFonts w:ascii="ˎ̥" w:hAnsi="ˎ̥"/>
          <w:color w:val="000000"/>
        </w:rPr>
        <w:t>万元，</w:t>
      </w:r>
      <w:r>
        <w:rPr>
          <w:rFonts w:hint="eastAsia" w:ascii="ˎ̥" w:hAnsi="ˎ̥"/>
          <w:color w:val="000000"/>
        </w:rPr>
        <w:t>其中：</w:t>
      </w:r>
      <w:r>
        <w:rPr>
          <w:rFonts w:hint="eastAsia" w:ascii="ˎ̥" w:hAnsi="ˎ̥"/>
          <w:bCs/>
          <w:color w:val="000000"/>
        </w:rPr>
        <w:t>基本支出4907.67万元，占比89.03%；</w:t>
      </w:r>
      <w:r>
        <w:rPr>
          <w:rFonts w:hint="eastAsia" w:ascii="ˎ̥" w:hAnsi="ˎ̥"/>
          <w:bCs/>
          <w:color w:val="000000"/>
          <w:lang w:val="en-US" w:eastAsia="zh-CN"/>
        </w:rPr>
        <w:t>项目支出</w:t>
      </w:r>
      <w:r>
        <w:rPr>
          <w:rFonts w:hint="eastAsia" w:ascii="ˎ̥" w:hAnsi="ˎ̥"/>
          <w:bCs/>
          <w:color w:val="000000"/>
        </w:rPr>
        <w:t>605万元</w:t>
      </w:r>
      <w:r>
        <w:rPr>
          <w:rFonts w:hint="eastAsia" w:ascii="ˎ̥" w:hAnsi="ˎ̥"/>
          <w:color w:val="000000"/>
        </w:rPr>
        <w:t>（包含各类疾病防控经费175万元，卫生监督执法经费30万元，“智慧卫星”建设50万元，药品零差价及医改300万元，除四害15万元，</w:t>
      </w:r>
      <w:r>
        <w:rPr>
          <w:rFonts w:hint="eastAsia" w:ascii="ˎ̥" w:hAnsi="ˎ̥"/>
          <w:color w:val="000000" w:themeColor="text1"/>
        </w:rPr>
        <w:t>重症精神障碍患者监护费35万元</w:t>
      </w:r>
      <w:r>
        <w:rPr>
          <w:rFonts w:hint="eastAsia" w:ascii="ˎ̥" w:hAnsi="ˎ̥"/>
          <w:color w:val="000000"/>
        </w:rPr>
        <w:t>），占比10.97%。</w:t>
      </w:r>
    </w:p>
    <w:p>
      <w:pPr>
        <w:pStyle w:val="4"/>
        <w:spacing w:line="360" w:lineRule="auto"/>
        <w:rPr>
          <w:rFonts w:ascii="ˎ̥" w:hAnsi="ˎ̥"/>
          <w:color w:val="000000"/>
        </w:rPr>
      </w:pPr>
      <w:r>
        <w:rPr>
          <w:rFonts w:ascii="ˎ̥" w:hAnsi="ˎ̥"/>
          <w:color w:val="000000"/>
        </w:rPr>
        <w:t>　</w:t>
      </w:r>
      <w:r>
        <w:rPr>
          <w:rStyle w:val="7"/>
          <w:rFonts w:ascii="ˎ̥" w:hAnsi="ˎ̥"/>
          <w:color w:val="000000"/>
        </w:rPr>
        <w:t>　四、财政拨款收入支出预算总体情况说明</w:t>
      </w:r>
    </w:p>
    <w:p>
      <w:pPr>
        <w:pStyle w:val="4"/>
        <w:spacing w:line="360" w:lineRule="auto"/>
        <w:ind w:firstLine="480"/>
        <w:rPr>
          <w:rStyle w:val="7"/>
          <w:rFonts w:ascii="ˎ̥" w:hAnsi="ˎ̥"/>
          <w:color w:val="000000" w:themeColor="text1"/>
        </w:rPr>
      </w:pP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w:t>
      </w:r>
      <w:r>
        <w:rPr>
          <w:rFonts w:ascii="ˎ̥" w:hAnsi="ˎ̥"/>
          <w:color w:val="000000"/>
        </w:rPr>
        <w:t>2022年</w:t>
      </w:r>
      <w:r>
        <w:rPr>
          <w:rFonts w:hint="eastAsia" w:ascii="ˎ̥" w:hAnsi="ˎ̥"/>
          <w:color w:val="000000"/>
        </w:rPr>
        <w:t>财政拨款</w:t>
      </w:r>
      <w:r>
        <w:rPr>
          <w:rFonts w:ascii="ˎ̥" w:hAnsi="ˎ̥"/>
          <w:color w:val="000000"/>
        </w:rPr>
        <w:t>收支预算</w:t>
      </w:r>
      <w:r>
        <w:rPr>
          <w:rFonts w:hint="eastAsia" w:ascii="ˎ̥" w:hAnsi="ˎ̥"/>
          <w:color w:val="000000" w:themeColor="text1"/>
        </w:rPr>
        <w:t>5512.67</w:t>
      </w:r>
      <w:r>
        <w:rPr>
          <w:rFonts w:ascii="ˎ̥" w:hAnsi="ˎ̥"/>
          <w:color w:val="000000"/>
        </w:rPr>
        <w:t>万元。与202</w:t>
      </w:r>
      <w:r>
        <w:rPr>
          <w:rFonts w:hint="eastAsia" w:ascii="ˎ̥" w:hAnsi="ˎ̥"/>
          <w:color w:val="000000"/>
        </w:rPr>
        <w:t>1</w:t>
      </w:r>
      <w:r>
        <w:rPr>
          <w:rFonts w:ascii="ˎ̥" w:hAnsi="ˎ̥"/>
          <w:color w:val="000000"/>
        </w:rPr>
        <w:t>年相比，</w:t>
      </w:r>
      <w:r>
        <w:rPr>
          <w:rFonts w:hint="eastAsia" w:ascii="ˎ̥" w:hAnsi="ˎ̥"/>
          <w:color w:val="000000"/>
        </w:rPr>
        <w:t>收支预算均</w:t>
      </w:r>
      <w:r>
        <w:rPr>
          <w:rFonts w:hint="eastAsia" w:ascii="ˎ̥" w:hAnsi="ˎ̥"/>
          <w:color w:val="000000" w:themeColor="text1"/>
        </w:rPr>
        <w:t>增加15.14</w:t>
      </w:r>
      <w:r>
        <w:rPr>
          <w:rFonts w:ascii="ˎ̥" w:hAnsi="ˎ̥"/>
          <w:color w:val="000000" w:themeColor="text1"/>
        </w:rPr>
        <w:t>万元，</w:t>
      </w:r>
      <w:r>
        <w:rPr>
          <w:rFonts w:hint="eastAsia" w:ascii="ˎ̥" w:hAnsi="ˎ̥"/>
          <w:color w:val="000000" w:themeColor="text1"/>
        </w:rPr>
        <w:t>上升2.75</w:t>
      </w:r>
      <w:r>
        <w:rPr>
          <w:rFonts w:ascii="ˎ̥" w:hAnsi="ˎ̥"/>
          <w:color w:val="000000" w:themeColor="text1"/>
        </w:rPr>
        <w:t>%。主要原因：</w:t>
      </w:r>
      <w:r>
        <w:rPr>
          <w:rFonts w:hint="eastAsia" w:ascii="ˎ̥" w:hAnsi="ˎ̥"/>
          <w:color w:val="000000" w:themeColor="text1"/>
        </w:rPr>
        <w:t>机关事业单位人员工资正常晋升每年增加。</w:t>
      </w:r>
      <w:r>
        <w:rPr>
          <w:rStyle w:val="7"/>
          <w:rFonts w:ascii="ˎ̥" w:hAnsi="ˎ̥"/>
          <w:color w:val="000000" w:themeColor="text1"/>
        </w:rPr>
        <w:t>　</w:t>
      </w:r>
    </w:p>
    <w:p>
      <w:pPr>
        <w:pStyle w:val="4"/>
        <w:spacing w:line="360" w:lineRule="auto"/>
        <w:ind w:firstLine="480"/>
        <w:rPr>
          <w:rFonts w:ascii="ˎ̥" w:hAnsi="ˎ̥"/>
          <w:color w:val="000000"/>
        </w:rPr>
      </w:pPr>
      <w:r>
        <w:rPr>
          <w:rStyle w:val="7"/>
          <w:rFonts w:ascii="ˎ̥" w:hAnsi="ˎ̥"/>
          <w:color w:val="000000"/>
        </w:rPr>
        <w:t>五、一般公共预算支出预算情况说明</w:t>
      </w:r>
    </w:p>
    <w:p>
      <w:pPr>
        <w:pStyle w:val="4"/>
        <w:spacing w:line="360" w:lineRule="auto"/>
        <w:ind w:firstLine="480" w:firstLineChars="200"/>
        <w:rPr>
          <w:rFonts w:hint="eastAsia" w:ascii="ˎ̥" w:hAnsi="ˎ̥"/>
          <w:color w:val="000000"/>
        </w:rPr>
      </w:pP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w:t>
      </w:r>
      <w:r>
        <w:rPr>
          <w:rFonts w:ascii="ˎ̥" w:hAnsi="ˎ̥"/>
          <w:color w:val="000000"/>
        </w:rPr>
        <w:t>2022年一般公共预算支出年初预算为</w:t>
      </w:r>
      <w:r>
        <w:rPr>
          <w:rFonts w:hint="eastAsia" w:ascii="ˎ̥" w:hAnsi="ˎ̥"/>
          <w:color w:val="000000" w:themeColor="text1"/>
        </w:rPr>
        <w:t>5512.67</w:t>
      </w:r>
      <w:r>
        <w:rPr>
          <w:rFonts w:ascii="ˎ̥" w:hAnsi="ˎ̥"/>
          <w:color w:val="000000"/>
        </w:rPr>
        <w:t>万元。主要用于以下方面：</w:t>
      </w:r>
      <w:r>
        <w:rPr>
          <w:rFonts w:hint="eastAsia" w:ascii="ˎ̥" w:hAnsi="ˎ̥"/>
          <w:bCs/>
          <w:color w:val="000000"/>
        </w:rPr>
        <w:t>基本支出4907.67万元，占比89.03%；</w:t>
      </w:r>
      <w:r>
        <w:rPr>
          <w:rFonts w:hint="eastAsia" w:ascii="ˎ̥" w:hAnsi="ˎ̥"/>
          <w:bCs/>
          <w:color w:val="000000"/>
          <w:lang w:val="en-US" w:eastAsia="zh-CN"/>
        </w:rPr>
        <w:t>项目支出</w:t>
      </w:r>
      <w:r>
        <w:rPr>
          <w:rFonts w:hint="eastAsia" w:ascii="ˎ̥" w:hAnsi="ˎ̥"/>
          <w:bCs/>
          <w:color w:val="000000"/>
        </w:rPr>
        <w:t>605万元</w:t>
      </w:r>
      <w:r>
        <w:rPr>
          <w:rFonts w:hint="eastAsia" w:ascii="ˎ̥" w:hAnsi="ˎ̥"/>
          <w:color w:val="000000"/>
        </w:rPr>
        <w:t>，占比10.97%。</w:t>
      </w:r>
    </w:p>
    <w:p>
      <w:pPr>
        <w:pStyle w:val="4"/>
        <w:spacing w:line="360" w:lineRule="auto"/>
        <w:ind w:firstLine="480" w:firstLineChars="200"/>
        <w:rPr>
          <w:rFonts w:hint="eastAsia" w:ascii="ˎ̥" w:hAnsi="ˎ̥"/>
          <w:color w:val="000000"/>
        </w:rPr>
      </w:pPr>
    </w:p>
    <w:p>
      <w:pPr>
        <w:pStyle w:val="4"/>
        <w:numPr>
          <w:ilvl w:val="0"/>
          <w:numId w:val="1"/>
        </w:numPr>
        <w:spacing w:line="360" w:lineRule="auto"/>
        <w:ind w:firstLine="480"/>
        <w:rPr>
          <w:rStyle w:val="7"/>
          <w:rFonts w:ascii="ˎ̥" w:hAnsi="ˎ̥"/>
          <w:color w:val="000000"/>
        </w:rPr>
      </w:pPr>
      <w:r>
        <w:rPr>
          <w:rStyle w:val="7"/>
          <w:rFonts w:ascii="ˎ̥" w:hAnsi="ˎ̥"/>
          <w:color w:val="000000"/>
        </w:rPr>
        <w:t>一般公共预算</w:t>
      </w:r>
      <w:r>
        <w:rPr>
          <w:rStyle w:val="7"/>
          <w:rFonts w:hint="eastAsia" w:ascii="ˎ̥" w:hAnsi="ˎ̥"/>
          <w:color w:val="000000"/>
        </w:rPr>
        <w:t>基本</w:t>
      </w:r>
      <w:r>
        <w:rPr>
          <w:rStyle w:val="7"/>
          <w:rFonts w:ascii="ˎ̥" w:hAnsi="ˎ̥"/>
          <w:color w:val="000000"/>
        </w:rPr>
        <w:t>支出预算情况说明</w:t>
      </w:r>
    </w:p>
    <w:p>
      <w:pPr>
        <w:spacing w:line="560" w:lineRule="exact"/>
        <w:ind w:firstLine="480" w:firstLineChars="200"/>
        <w:rPr>
          <w:rFonts w:hint="eastAsia" w:ascii="ˎ̥" w:hAnsi="ˎ̥"/>
          <w:color w:val="000000"/>
          <w:sz w:val="24"/>
          <w:szCs w:val="24"/>
        </w:rPr>
      </w:pPr>
      <w:r>
        <w:rPr>
          <w:rFonts w:hint="eastAsia" w:ascii="ˎ̥" w:hAnsi="ˎ̥"/>
          <w:color w:val="000000"/>
          <w:sz w:val="24"/>
          <w:szCs w:val="24"/>
        </w:rPr>
        <w:t>信阳</w:t>
      </w:r>
      <w:r>
        <w:rPr>
          <w:rFonts w:ascii="ˎ̥" w:hAnsi="ˎ̥"/>
          <w:color w:val="000000"/>
          <w:sz w:val="24"/>
          <w:szCs w:val="24"/>
        </w:rPr>
        <w:t>市</w:t>
      </w:r>
      <w:r>
        <w:rPr>
          <w:rFonts w:hint="eastAsia" w:ascii="ˎ̥" w:hAnsi="ˎ̥"/>
          <w:color w:val="000000"/>
          <w:sz w:val="24"/>
          <w:szCs w:val="24"/>
        </w:rPr>
        <w:t>平</w:t>
      </w:r>
      <w:r>
        <w:rPr>
          <w:rFonts w:ascii="ˎ̥" w:hAnsi="ˎ̥"/>
          <w:color w:val="000000"/>
          <w:sz w:val="24"/>
          <w:szCs w:val="24"/>
        </w:rPr>
        <w:t>桥区</w:t>
      </w:r>
      <w:r>
        <w:rPr>
          <w:rFonts w:hint="eastAsia" w:ascii="ˎ̥" w:hAnsi="ˎ̥"/>
          <w:color w:val="000000"/>
          <w:sz w:val="24"/>
          <w:szCs w:val="24"/>
        </w:rPr>
        <w:t>卫生健康委员会</w:t>
      </w:r>
      <w:r>
        <w:rPr>
          <w:rFonts w:ascii="ˎ̥" w:hAnsi="ˎ̥"/>
          <w:color w:val="000000"/>
          <w:sz w:val="24"/>
          <w:szCs w:val="24"/>
        </w:rPr>
        <w:t>2022年一般公共预算</w:t>
      </w:r>
      <w:r>
        <w:rPr>
          <w:rFonts w:hint="eastAsia" w:ascii="ˎ̥" w:hAnsi="ˎ̥"/>
          <w:color w:val="000000"/>
          <w:sz w:val="24"/>
          <w:szCs w:val="24"/>
        </w:rPr>
        <w:t>基本</w:t>
      </w:r>
      <w:r>
        <w:rPr>
          <w:rFonts w:ascii="ˎ̥" w:hAnsi="ˎ̥"/>
          <w:color w:val="000000"/>
          <w:sz w:val="24"/>
          <w:szCs w:val="24"/>
        </w:rPr>
        <w:t>支出为</w:t>
      </w:r>
      <w:r>
        <w:rPr>
          <w:rFonts w:hint="eastAsia" w:ascii="ˎ̥" w:hAnsi="ˎ̥"/>
          <w:color w:val="000000"/>
          <w:sz w:val="24"/>
          <w:szCs w:val="24"/>
        </w:rPr>
        <w:t>4,907.67万元，其中：人员经费3,999.99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907.68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pStyle w:val="4"/>
        <w:spacing w:line="360" w:lineRule="auto"/>
        <w:ind w:firstLine="241" w:firstLineChars="100"/>
        <w:rPr>
          <w:rStyle w:val="7"/>
          <w:rFonts w:ascii="ˎ̥" w:hAnsi="ˎ̥"/>
          <w:color w:val="000000"/>
        </w:rPr>
      </w:pPr>
      <w:r>
        <w:rPr>
          <w:rStyle w:val="7"/>
          <w:rFonts w:ascii="ˎ̥" w:hAnsi="ˎ̥"/>
          <w:color w:val="000000"/>
        </w:rPr>
        <w:t>　</w:t>
      </w:r>
    </w:p>
    <w:p>
      <w:pPr>
        <w:pStyle w:val="4"/>
        <w:spacing w:line="360" w:lineRule="auto"/>
        <w:ind w:firstLine="723" w:firstLineChars="300"/>
        <w:rPr>
          <w:rFonts w:ascii="ˎ̥" w:hAnsi="ˎ̥"/>
          <w:color w:val="000000"/>
        </w:rPr>
      </w:pPr>
      <w:r>
        <w:rPr>
          <w:rStyle w:val="7"/>
          <w:rFonts w:hint="eastAsia" w:ascii="ˎ̥" w:hAnsi="ˎ̥"/>
          <w:color w:val="000000"/>
        </w:rPr>
        <w:t>七</w:t>
      </w:r>
      <w:r>
        <w:rPr>
          <w:rStyle w:val="7"/>
          <w:rFonts w:ascii="ˎ̥" w:hAnsi="ˎ̥"/>
          <w:color w:val="000000"/>
        </w:rPr>
        <w:t>、支出预算经济分类情况说明</w:t>
      </w:r>
    </w:p>
    <w:p>
      <w:pPr>
        <w:pStyle w:val="4"/>
        <w:spacing w:line="360" w:lineRule="auto"/>
        <w:ind w:firstLine="480"/>
        <w:rPr>
          <w:rFonts w:ascii="ˎ̥" w:hAnsi="ˎ̥"/>
          <w:color w:val="000000"/>
        </w:rPr>
      </w:pPr>
      <w:r>
        <w:rPr>
          <w:rFonts w:ascii="ˎ̥" w:hAnsi="ˎ̥"/>
          <w:color w:val="000000"/>
        </w:rPr>
        <w:t>按照《财政部关于印发&lt;支出经济分类科目改革方案&gt;的通知》(财预〔2017〕98号)要求，从2022年起全面实施支出经济分类科目改革，根据政府预算管理和部门预算管理的不同特点，分设部门预算支出经济分类科目和政府预算支出经济分类科目，两套科目之间保持对应关系。</w:t>
      </w:r>
    </w:p>
    <w:p>
      <w:pPr>
        <w:pStyle w:val="4"/>
        <w:spacing w:line="360" w:lineRule="auto"/>
        <w:rPr>
          <w:rStyle w:val="7"/>
          <w:rFonts w:ascii="ˎ̥" w:hAnsi="ˎ̥"/>
          <w:color w:val="000000"/>
        </w:rPr>
      </w:pPr>
      <w:r>
        <w:rPr>
          <w:rFonts w:ascii="ˎ̥" w:hAnsi="ˎ̥"/>
          <w:color w:val="000000"/>
        </w:rPr>
        <w:t>　</w:t>
      </w:r>
      <w:r>
        <w:rPr>
          <w:rStyle w:val="7"/>
          <w:rFonts w:ascii="ˎ̥" w:hAnsi="ˎ̥"/>
          <w:color w:val="000000"/>
        </w:rPr>
        <w:t>　</w:t>
      </w:r>
    </w:p>
    <w:p>
      <w:pPr>
        <w:pStyle w:val="4"/>
        <w:spacing w:line="360" w:lineRule="auto"/>
        <w:ind w:firstLine="482" w:firstLineChars="200"/>
        <w:rPr>
          <w:rFonts w:ascii="ˎ̥" w:hAnsi="ˎ̥"/>
          <w:color w:val="000000"/>
        </w:rPr>
      </w:pPr>
      <w:r>
        <w:rPr>
          <w:rStyle w:val="7"/>
          <w:rFonts w:hint="eastAsia" w:ascii="ˎ̥" w:hAnsi="ˎ̥"/>
          <w:color w:val="000000"/>
          <w:lang w:val="en-US" w:eastAsia="zh-CN"/>
        </w:rPr>
        <w:t>八</w:t>
      </w:r>
      <w:r>
        <w:rPr>
          <w:rStyle w:val="7"/>
          <w:rFonts w:ascii="ˎ̥" w:hAnsi="ˎ̥"/>
          <w:color w:val="000000"/>
        </w:rPr>
        <w:t>、“三公”经费支出预算情况说明</w:t>
      </w:r>
    </w:p>
    <w:p>
      <w:pPr>
        <w:pStyle w:val="4"/>
        <w:spacing w:line="360" w:lineRule="auto"/>
        <w:ind w:firstLine="465"/>
        <w:rPr>
          <w:rFonts w:ascii="ˎ̥" w:hAnsi="ˎ̥"/>
          <w:color w:val="000000"/>
        </w:rPr>
      </w:pP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卫生健康委员会2022</w:t>
      </w:r>
      <w:r>
        <w:rPr>
          <w:rFonts w:ascii="ˎ̥" w:hAnsi="ˎ̥"/>
          <w:color w:val="000000"/>
        </w:rPr>
        <w:t>年</w:t>
      </w:r>
      <w:r>
        <w:rPr>
          <w:rFonts w:hint="eastAsia" w:ascii="ˎ̥" w:hAnsi="ˎ̥"/>
          <w:color w:val="000000"/>
        </w:rPr>
        <w:t>安排“三公”</w:t>
      </w:r>
      <w:r>
        <w:rPr>
          <w:rFonts w:ascii="ˎ̥" w:hAnsi="ˎ̥"/>
          <w:color w:val="000000"/>
        </w:rPr>
        <w:t>经费预</w:t>
      </w:r>
      <w:r>
        <w:rPr>
          <w:rFonts w:hint="eastAsia" w:ascii="ˎ̥" w:hAnsi="ˎ̥"/>
          <w:color w:val="000000"/>
        </w:rPr>
        <w:t>算28万元，其中：公务用车运行及购置费18万元，没有安排公务接待费和因公出国出境费，“三公”经费与上年相比无增减变化情况。安排的“三公”经费落实中央八项规定，例行勤俭节约。具体情况为：</w:t>
      </w:r>
    </w:p>
    <w:p>
      <w:pPr>
        <w:pStyle w:val="4"/>
        <w:spacing w:line="360" w:lineRule="auto"/>
        <w:ind w:firstLine="465"/>
        <w:rPr>
          <w:rFonts w:ascii="ˎ̥" w:hAnsi="ˎ̥"/>
          <w:color w:val="000000"/>
        </w:rPr>
      </w:pPr>
      <w:r>
        <w:rPr>
          <w:rFonts w:hint="eastAsia" w:ascii="ˎ̥" w:hAnsi="ˎ̥"/>
          <w:color w:val="000000"/>
        </w:rPr>
        <w:t>（一）因公出国（境）费0万元，与上年相比无增减变动。</w:t>
      </w:r>
    </w:p>
    <w:p>
      <w:pPr>
        <w:pStyle w:val="4"/>
        <w:spacing w:line="360" w:lineRule="auto"/>
        <w:ind w:firstLine="465"/>
        <w:rPr>
          <w:rFonts w:ascii="ˎ̥" w:hAnsi="ˎ̥"/>
          <w:color w:val="000000"/>
        </w:rPr>
      </w:pPr>
      <w:r>
        <w:rPr>
          <w:rFonts w:hint="eastAsia" w:ascii="ˎ̥" w:hAnsi="ˎ̥"/>
          <w:color w:val="000000"/>
        </w:rPr>
        <w:t>（二）公务用车购置及运行费18万元，</w:t>
      </w:r>
      <w:r>
        <w:rPr>
          <w:rFonts w:hint="eastAsia"/>
        </w:rPr>
        <w:t>其中，公务用车购置费0元；公务用车运行维护费18万元，主要用于开展工作所需公务用车的燃料费、维修费、过路过桥费、保险费等支出。公务用车购置费预算数和公务用车运行维护费预算数</w:t>
      </w:r>
      <w:r>
        <w:rPr>
          <w:rFonts w:hint="eastAsia" w:ascii="ˎ̥" w:hAnsi="ˎ̥"/>
          <w:color w:val="000000"/>
        </w:rPr>
        <w:t>与上年相比</w:t>
      </w:r>
      <w:r>
        <w:rPr>
          <w:rFonts w:hint="eastAsia" w:ascii="ˎ̥" w:hAnsi="ˎ̥"/>
          <w:color w:val="000000"/>
          <w:lang w:val="en-US" w:eastAsia="zh-CN"/>
        </w:rPr>
        <w:t>无变动</w:t>
      </w:r>
      <w:r>
        <w:rPr>
          <w:rFonts w:hint="eastAsia" w:ascii="ˎ̥" w:hAnsi="ˎ̥"/>
          <w:color w:val="000000"/>
        </w:rPr>
        <w:t>。</w:t>
      </w:r>
    </w:p>
    <w:p>
      <w:pPr>
        <w:pStyle w:val="4"/>
        <w:spacing w:line="360" w:lineRule="auto"/>
        <w:ind w:firstLine="465"/>
        <w:rPr>
          <w:rFonts w:ascii="ˎ̥" w:hAnsi="ˎ̥"/>
          <w:color w:val="000000"/>
        </w:rPr>
      </w:pPr>
      <w:r>
        <w:rPr>
          <w:rFonts w:hint="eastAsia" w:ascii="ˎ̥" w:hAnsi="ˎ̥"/>
          <w:color w:val="000000"/>
        </w:rPr>
        <w:t>（三）公务接待费10万元，与上年相比无增减变动。</w:t>
      </w:r>
    </w:p>
    <w:p>
      <w:pPr>
        <w:pStyle w:val="4"/>
        <w:spacing w:line="360" w:lineRule="auto"/>
        <w:ind w:firstLine="480"/>
        <w:rPr>
          <w:rStyle w:val="7"/>
          <w:rFonts w:hint="eastAsia" w:ascii="ˎ̥" w:hAnsi="ˎ̥"/>
          <w:color w:val="000000"/>
          <w:lang w:val="en-US" w:eastAsia="zh-CN"/>
        </w:rPr>
      </w:pPr>
    </w:p>
    <w:p>
      <w:pPr>
        <w:pStyle w:val="4"/>
        <w:spacing w:line="360" w:lineRule="auto"/>
        <w:ind w:firstLine="480"/>
        <w:rPr>
          <w:rFonts w:ascii="ˎ̥" w:hAnsi="ˎ̥"/>
          <w:color w:val="000000"/>
        </w:rPr>
      </w:pPr>
      <w:r>
        <w:rPr>
          <w:rStyle w:val="7"/>
          <w:rFonts w:hint="eastAsia" w:ascii="ˎ̥" w:hAnsi="ˎ̥"/>
          <w:color w:val="000000"/>
          <w:lang w:val="en-US" w:eastAsia="zh-CN"/>
        </w:rPr>
        <w:t>九</w:t>
      </w:r>
      <w:r>
        <w:rPr>
          <w:rStyle w:val="7"/>
          <w:rFonts w:ascii="ˎ̥" w:hAnsi="ˎ̥"/>
          <w:color w:val="000000"/>
        </w:rPr>
        <w:t>、政府性基金预算支出情况说明</w:t>
      </w:r>
    </w:p>
    <w:p>
      <w:pPr>
        <w:pStyle w:val="4"/>
        <w:spacing w:line="360" w:lineRule="auto"/>
        <w:rPr>
          <w:rStyle w:val="7"/>
          <w:rFonts w:hint="eastAsia" w:ascii="ˎ̥" w:hAnsi="ˎ̥"/>
          <w:color w:val="000000"/>
        </w:rPr>
      </w:pPr>
      <w:r>
        <w:rPr>
          <w:rFonts w:ascii="ˎ̥" w:hAnsi="ˎ̥"/>
          <w:color w:val="000000"/>
        </w:rPr>
        <w:t>　　</w:t>
      </w: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w:t>
      </w:r>
      <w:r>
        <w:rPr>
          <w:rFonts w:ascii="ˎ̥" w:hAnsi="ˎ̥"/>
          <w:color w:val="000000"/>
        </w:rPr>
        <w:t>2022年没有使用政府性基金预算拨款安排的支出。</w:t>
      </w:r>
    </w:p>
    <w:p>
      <w:pPr>
        <w:pStyle w:val="4"/>
        <w:spacing w:line="360" w:lineRule="auto"/>
        <w:ind w:firstLine="465"/>
        <w:rPr>
          <w:rStyle w:val="7"/>
          <w:rFonts w:hint="eastAsia" w:ascii="ˎ̥" w:hAnsi="ˎ̥"/>
          <w:color w:val="000000"/>
        </w:rPr>
      </w:pPr>
    </w:p>
    <w:p>
      <w:pPr>
        <w:pStyle w:val="4"/>
        <w:spacing w:line="360" w:lineRule="auto"/>
        <w:ind w:firstLine="465"/>
        <w:rPr>
          <w:rFonts w:ascii="ˎ̥" w:hAnsi="ˎ̥"/>
          <w:color w:val="000000"/>
        </w:rPr>
      </w:pPr>
      <w:r>
        <w:rPr>
          <w:rStyle w:val="7"/>
          <w:rFonts w:hint="eastAsia" w:ascii="ˎ̥" w:hAnsi="ˎ̥"/>
          <w:color w:val="000000"/>
        </w:rPr>
        <w:t>十</w:t>
      </w:r>
      <w:r>
        <w:rPr>
          <w:rStyle w:val="7"/>
          <w:rFonts w:ascii="ˎ̥" w:hAnsi="ˎ̥"/>
          <w:color w:val="000000"/>
        </w:rPr>
        <w:t>、其他重要事项的情况说明</w:t>
      </w:r>
    </w:p>
    <w:p>
      <w:pPr>
        <w:pStyle w:val="4"/>
        <w:spacing w:line="360" w:lineRule="auto"/>
        <w:rPr>
          <w:rFonts w:ascii="ˎ̥" w:hAnsi="ˎ̥"/>
          <w:color w:val="000000"/>
        </w:rPr>
      </w:pPr>
      <w:r>
        <w:rPr>
          <w:rFonts w:ascii="ˎ̥" w:hAnsi="ˎ̥"/>
          <w:color w:val="000000"/>
        </w:rPr>
        <w:t>　　(一)</w:t>
      </w:r>
      <w:r>
        <w:rPr>
          <w:rFonts w:hint="eastAsia" w:ascii="ˎ̥" w:hAnsi="ˎ̥"/>
          <w:color w:val="000000"/>
        </w:rPr>
        <w:t>机关运行经费和专项</w:t>
      </w:r>
      <w:r>
        <w:rPr>
          <w:rFonts w:ascii="ˎ̥" w:hAnsi="ˎ̥"/>
          <w:color w:val="000000"/>
        </w:rPr>
        <w:t>业务财</w:t>
      </w:r>
      <w:r>
        <w:rPr>
          <w:rFonts w:hint="eastAsia" w:ascii="ˎ̥" w:hAnsi="ˎ̥"/>
          <w:color w:val="000000"/>
        </w:rPr>
        <w:t>政</w:t>
      </w:r>
      <w:r>
        <w:rPr>
          <w:rFonts w:ascii="ˎ̥" w:hAnsi="ˎ̥"/>
          <w:color w:val="000000"/>
        </w:rPr>
        <w:t>拨款经费支出情况</w:t>
      </w:r>
    </w:p>
    <w:p>
      <w:pPr>
        <w:pStyle w:val="4"/>
        <w:spacing w:line="360" w:lineRule="auto"/>
        <w:ind w:firstLine="480"/>
        <w:rPr>
          <w:rFonts w:hint="eastAsia" w:ascii="ˎ̥" w:hAnsi="ˎ̥"/>
          <w:color w:val="000000"/>
        </w:rPr>
      </w:pP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卫生健康委员会2022年机关运行经费为907.68万元，全部为维持机构正常运转经费。</w:t>
      </w:r>
    </w:p>
    <w:p>
      <w:pPr>
        <w:pStyle w:val="4"/>
        <w:spacing w:line="360" w:lineRule="auto"/>
        <w:rPr>
          <w:rFonts w:ascii="ˎ̥" w:hAnsi="ˎ̥"/>
          <w:color w:val="000000"/>
        </w:rPr>
      </w:pPr>
      <w:r>
        <w:rPr>
          <w:rFonts w:ascii="ˎ̥" w:hAnsi="ˎ̥"/>
          <w:color w:val="000000"/>
        </w:rPr>
        <w:t>　　(二)政府采购支出情况</w:t>
      </w:r>
    </w:p>
    <w:p>
      <w:pPr>
        <w:pStyle w:val="4"/>
        <w:spacing w:line="360" w:lineRule="auto"/>
        <w:ind w:firstLine="480"/>
        <w:rPr>
          <w:rFonts w:ascii="ˎ̥" w:hAnsi="ˎ̥"/>
        </w:rPr>
      </w:pPr>
      <w:r>
        <w:rPr>
          <w:rFonts w:hint="eastAsia" w:ascii="ˎ̥" w:hAnsi="ˎ̥"/>
        </w:rPr>
        <w:t>信阳</w:t>
      </w:r>
      <w:r>
        <w:rPr>
          <w:rFonts w:ascii="ˎ̥" w:hAnsi="ˎ̥"/>
        </w:rPr>
        <w:t>市</w:t>
      </w:r>
      <w:r>
        <w:rPr>
          <w:rFonts w:hint="eastAsia" w:ascii="ˎ̥" w:hAnsi="ˎ̥"/>
        </w:rPr>
        <w:t>平</w:t>
      </w:r>
      <w:r>
        <w:rPr>
          <w:rFonts w:ascii="ˎ̥" w:hAnsi="ˎ̥"/>
        </w:rPr>
        <w:t>桥区</w:t>
      </w:r>
      <w:r>
        <w:rPr>
          <w:rFonts w:hint="eastAsia" w:ascii="ˎ̥" w:hAnsi="ˎ̥"/>
        </w:rPr>
        <w:t>卫生健康委员会</w:t>
      </w:r>
      <w:r>
        <w:rPr>
          <w:rFonts w:ascii="ˎ̥" w:hAnsi="ˎ̥"/>
        </w:rPr>
        <w:t>2022年</w:t>
      </w:r>
      <w:r>
        <w:rPr>
          <w:rFonts w:hint="eastAsia" w:ascii="ˎ̥" w:hAnsi="ˎ̥"/>
        </w:rPr>
        <w:t>没有安排政府采购预算，没有安排</w:t>
      </w:r>
      <w:r>
        <w:rPr>
          <w:rFonts w:ascii="ˎ̥" w:hAnsi="ˎ̥"/>
        </w:rPr>
        <w:t>政府采购服务</w:t>
      </w:r>
      <w:r>
        <w:rPr>
          <w:rFonts w:hint="eastAsia" w:ascii="ˎ̥" w:hAnsi="ˎ̥"/>
        </w:rPr>
        <w:t>类、工程类及货物类采购</w:t>
      </w:r>
      <w:r>
        <w:rPr>
          <w:rFonts w:ascii="ˎ̥" w:hAnsi="ˎ̥"/>
        </w:rPr>
        <w:t>预算</w:t>
      </w:r>
      <w:r>
        <w:rPr>
          <w:rFonts w:hint="eastAsia" w:ascii="ˎ̥" w:hAnsi="ˎ̥"/>
        </w:rPr>
        <w:t>，</w:t>
      </w:r>
      <w:r>
        <w:rPr>
          <w:rFonts w:hint="eastAsia"/>
        </w:rPr>
        <w:t>政府采购预算安排 0万元，其中：政府采购货物预算0万元、政府采购工程预算0万元、政府采购服务预算0万元。</w:t>
      </w:r>
    </w:p>
    <w:p>
      <w:pPr>
        <w:pStyle w:val="4"/>
        <w:spacing w:line="360" w:lineRule="auto"/>
        <w:ind w:firstLine="480" w:firstLineChars="200"/>
        <w:rPr>
          <w:rFonts w:ascii="ˎ̥" w:hAnsi="ˎ̥"/>
          <w:color w:val="000000"/>
        </w:rPr>
      </w:pPr>
      <w:r>
        <w:rPr>
          <w:rFonts w:hint="eastAsia" w:ascii="ˎ̥" w:hAnsi="ˎ̥"/>
          <w:color w:val="000000"/>
        </w:rPr>
        <w:t>(三)绩效目标设置情况</w:t>
      </w:r>
    </w:p>
    <w:p>
      <w:pPr>
        <w:pStyle w:val="4"/>
        <w:spacing w:line="360" w:lineRule="auto"/>
        <w:ind w:firstLine="720" w:firstLineChars="300"/>
        <w:rPr>
          <w:rFonts w:ascii="ˎ̥" w:hAnsi="ˎ̥"/>
          <w:color w:val="000000"/>
        </w:rPr>
      </w:pPr>
      <w:r>
        <w:rPr>
          <w:rFonts w:hint="eastAsia" w:ascii="ˎ̥" w:hAnsi="ˎ̥"/>
          <w:color w:val="000000"/>
        </w:rPr>
        <w:t>我单位2022年预算项目均按要求编制了绩效目标，从项目产出、项目效益、满意度等方面设置了绩效目标，综合反映项目预期完成的数量、实效、质量，预期达到的社会经济效益、可持续影响以及对象满意度等情况。</w:t>
      </w:r>
      <w:r>
        <w:rPr>
          <w:rFonts w:ascii="ˎ̥" w:hAnsi="ˎ̥"/>
          <w:color w:val="000000"/>
        </w:rPr>
        <w:t>　　</w:t>
      </w:r>
    </w:p>
    <w:p>
      <w:pPr>
        <w:pStyle w:val="4"/>
        <w:spacing w:line="360" w:lineRule="auto"/>
        <w:ind w:firstLine="720" w:firstLineChars="300"/>
        <w:rPr>
          <w:rFonts w:ascii="ˎ̥" w:hAnsi="ˎ̥"/>
          <w:color w:val="000000"/>
        </w:rPr>
      </w:pPr>
      <w:r>
        <w:rPr>
          <w:rFonts w:ascii="ˎ̥" w:hAnsi="ˎ̥"/>
          <w:color w:val="000000"/>
        </w:rPr>
        <w:t>(四)国有资产占用情况</w:t>
      </w:r>
    </w:p>
    <w:p>
      <w:pPr>
        <w:pStyle w:val="4"/>
        <w:spacing w:line="360" w:lineRule="auto"/>
        <w:rPr>
          <w:rFonts w:ascii="ˎ̥" w:hAnsi="ˎ̥"/>
          <w:color w:val="000000"/>
        </w:rPr>
      </w:pPr>
      <w:r>
        <w:rPr>
          <w:rFonts w:ascii="ˎ̥" w:hAnsi="ˎ̥"/>
          <w:color w:val="000000"/>
        </w:rPr>
        <w:t>　　202</w:t>
      </w:r>
      <w:r>
        <w:rPr>
          <w:rFonts w:hint="eastAsia" w:ascii="ˎ̥" w:hAnsi="ˎ̥"/>
          <w:color w:val="000000"/>
        </w:rPr>
        <w:t>1</w:t>
      </w:r>
      <w:r>
        <w:rPr>
          <w:rFonts w:ascii="ˎ̥" w:hAnsi="ˎ̥"/>
          <w:color w:val="000000"/>
        </w:rPr>
        <w:t>年期末，</w:t>
      </w: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卫生健康委员会参</w:t>
      </w:r>
      <w:r>
        <w:rPr>
          <w:rFonts w:ascii="ˎ̥" w:hAnsi="ˎ̥"/>
          <w:color w:val="000000"/>
        </w:rPr>
        <w:t>与平桥</w:t>
      </w:r>
      <w:r>
        <w:rPr>
          <w:rFonts w:hint="eastAsia" w:ascii="ˎ̥" w:hAnsi="ˎ̥"/>
          <w:color w:val="000000"/>
        </w:rPr>
        <w:t>区</w:t>
      </w:r>
      <w:r>
        <w:rPr>
          <w:rFonts w:ascii="ˎ̥" w:hAnsi="ˎ̥"/>
          <w:color w:val="000000"/>
        </w:rPr>
        <w:t>公务车</w:t>
      </w:r>
      <w:r>
        <w:rPr>
          <w:rFonts w:hint="eastAsia" w:ascii="ˎ̥" w:hAnsi="ˎ̥"/>
          <w:color w:val="000000"/>
        </w:rPr>
        <w:t>改革</w:t>
      </w:r>
      <w:r>
        <w:rPr>
          <w:rFonts w:ascii="ˎ̥" w:hAnsi="ˎ̥"/>
          <w:color w:val="000000"/>
        </w:rPr>
        <w:t>后，</w:t>
      </w:r>
      <w:r>
        <w:rPr>
          <w:rFonts w:hint="eastAsia" w:ascii="ˎ̥" w:hAnsi="ˎ̥"/>
          <w:color w:val="000000"/>
        </w:rPr>
        <w:t>单位</w:t>
      </w:r>
      <w:r>
        <w:rPr>
          <w:rFonts w:ascii="ˎ̥" w:hAnsi="ˎ̥"/>
          <w:color w:val="000000"/>
        </w:rPr>
        <w:t>没有</w:t>
      </w:r>
      <w:r>
        <w:rPr>
          <w:rFonts w:hint="eastAsia" w:ascii="ˎ̥" w:hAnsi="ˎ̥"/>
          <w:color w:val="000000"/>
        </w:rPr>
        <w:t>保留公务</w:t>
      </w:r>
      <w:r>
        <w:rPr>
          <w:rFonts w:ascii="ˎ̥" w:hAnsi="ˎ̥"/>
          <w:color w:val="000000"/>
        </w:rPr>
        <w:t>车辆</w:t>
      </w:r>
      <w:r>
        <w:rPr>
          <w:rFonts w:hint="eastAsia" w:ascii="ˎ̥" w:hAnsi="ˎ̥"/>
          <w:color w:val="000000"/>
        </w:rPr>
        <w:t>。其余二级机构严格按照发改委批复的保留公务车辆数执行。</w:t>
      </w:r>
      <w:r>
        <w:rPr>
          <w:rFonts w:ascii="ˎ̥" w:hAnsi="ˎ̥"/>
          <w:color w:val="000000"/>
        </w:rPr>
        <w:t>202</w:t>
      </w:r>
      <w:r>
        <w:rPr>
          <w:rFonts w:hint="eastAsia" w:ascii="ˎ̥" w:hAnsi="ˎ̥"/>
          <w:color w:val="000000"/>
        </w:rPr>
        <w:t>1</w:t>
      </w:r>
      <w:r>
        <w:rPr>
          <w:rFonts w:ascii="ˎ̥" w:hAnsi="ˎ̥"/>
          <w:color w:val="000000"/>
        </w:rPr>
        <w:t xml:space="preserve"> 年期末，我单位共有车辆32辆，其中：省级领导干部用车0辆、主要领导干部用车 0辆、机要通信用车0辆、应急保障车3辆、执法执勤用车 2辆、特种专业技术用车5辆、离退休干部用车0辆、其他用 车22辆；单位价值50万元以上通用设备1台（套），单位价值100万元以上专用设备 8台（套）。</w:t>
      </w:r>
    </w:p>
    <w:p>
      <w:pPr>
        <w:pStyle w:val="4"/>
        <w:spacing w:line="360" w:lineRule="auto"/>
        <w:rPr>
          <w:rFonts w:ascii="ˎ̥" w:hAnsi="ˎ̥"/>
          <w:color w:val="000000"/>
        </w:rPr>
      </w:pPr>
      <w:r>
        <w:rPr>
          <w:rFonts w:ascii="ˎ̥" w:hAnsi="ˎ̥"/>
          <w:color w:val="000000"/>
        </w:rPr>
        <w:t>　　(五)专项转移支付项目情况</w:t>
      </w:r>
    </w:p>
    <w:p>
      <w:pPr>
        <w:pStyle w:val="4"/>
        <w:spacing w:line="360" w:lineRule="auto"/>
        <w:ind w:firstLine="480"/>
        <w:rPr>
          <w:rFonts w:ascii="ˎ̥" w:hAnsi="ˎ̥"/>
          <w:color w:val="000000"/>
        </w:rPr>
      </w:pPr>
      <w:r>
        <w:rPr>
          <w:rFonts w:hint="eastAsia" w:ascii="ˎ̥" w:hAnsi="ˎ̥"/>
          <w:color w:val="000000"/>
        </w:rPr>
        <w:t>信阳</w:t>
      </w:r>
      <w:r>
        <w:rPr>
          <w:rFonts w:ascii="ˎ̥" w:hAnsi="ˎ̥"/>
          <w:color w:val="000000"/>
        </w:rPr>
        <w:t>市</w:t>
      </w:r>
      <w:r>
        <w:rPr>
          <w:rFonts w:hint="eastAsia" w:ascii="ˎ̥" w:hAnsi="ˎ̥"/>
          <w:color w:val="000000"/>
        </w:rPr>
        <w:t>平</w:t>
      </w:r>
      <w:r>
        <w:rPr>
          <w:rFonts w:ascii="ˎ̥" w:hAnsi="ˎ̥"/>
          <w:color w:val="000000"/>
        </w:rPr>
        <w:t>桥区</w:t>
      </w:r>
      <w:r>
        <w:rPr>
          <w:rFonts w:hint="eastAsia" w:ascii="ˎ̥" w:hAnsi="ˎ̥"/>
          <w:color w:val="000000"/>
        </w:rPr>
        <w:t>卫生健康委员会</w:t>
      </w:r>
      <w:r>
        <w:rPr>
          <w:rFonts w:ascii="ˎ̥" w:hAnsi="ˎ̥"/>
          <w:color w:val="000000"/>
        </w:rPr>
        <w:t>无负责管理的专项转移支付项目及资金。</w:t>
      </w:r>
    </w:p>
    <w:p>
      <w:pPr>
        <w:pStyle w:val="4"/>
        <w:spacing w:line="360" w:lineRule="auto"/>
        <w:ind w:firstLine="480"/>
        <w:rPr>
          <w:rFonts w:ascii="ˎ̥" w:hAnsi="ˎ̥"/>
          <w:color w:val="000000"/>
        </w:rPr>
      </w:pPr>
    </w:p>
    <w:p>
      <w:pPr>
        <w:pStyle w:val="4"/>
        <w:spacing w:line="360" w:lineRule="auto"/>
        <w:ind w:firstLine="480"/>
        <w:rPr>
          <w:rFonts w:ascii="ˎ̥" w:hAnsi="ˎ̥"/>
          <w:color w:val="000000"/>
        </w:rPr>
      </w:pPr>
    </w:p>
    <w:p>
      <w:pPr>
        <w:pStyle w:val="4"/>
        <w:spacing w:line="360" w:lineRule="auto"/>
        <w:ind w:firstLine="480"/>
        <w:rPr>
          <w:rFonts w:ascii="ˎ̥" w:hAnsi="ˎ̥"/>
          <w:color w:val="000000"/>
        </w:rPr>
      </w:pPr>
    </w:p>
    <w:p>
      <w:pPr>
        <w:pStyle w:val="4"/>
        <w:spacing w:line="360" w:lineRule="auto"/>
        <w:ind w:firstLine="480"/>
        <w:rPr>
          <w:rFonts w:ascii="ˎ̥" w:hAnsi="ˎ̥"/>
          <w:color w:val="000000"/>
        </w:rPr>
      </w:pPr>
    </w:p>
    <w:p>
      <w:pPr>
        <w:pStyle w:val="4"/>
        <w:spacing w:line="360" w:lineRule="auto"/>
        <w:ind w:firstLine="480"/>
        <w:rPr>
          <w:rFonts w:ascii="ˎ̥" w:hAnsi="ˎ̥"/>
          <w:color w:val="000000"/>
        </w:rPr>
      </w:pPr>
    </w:p>
    <w:p>
      <w:pPr>
        <w:pStyle w:val="4"/>
        <w:spacing w:line="360" w:lineRule="auto"/>
        <w:rPr>
          <w:rFonts w:ascii="ˎ̥" w:hAnsi="ˎ̥"/>
          <w:color w:val="000000"/>
        </w:rPr>
      </w:pPr>
      <w:bookmarkStart w:id="0" w:name="_GoBack"/>
      <w:bookmarkEnd w:id="0"/>
    </w:p>
    <w:p>
      <w:pPr>
        <w:pStyle w:val="4"/>
        <w:spacing w:line="360" w:lineRule="auto"/>
        <w:jc w:val="center"/>
        <w:rPr>
          <w:rFonts w:ascii="ˎ̥" w:hAnsi="ˎ̥"/>
          <w:color w:val="000000"/>
        </w:rPr>
      </w:pPr>
      <w:r>
        <w:rPr>
          <w:rFonts w:ascii="ˎ̥" w:hAnsi="ˎ̥"/>
          <w:color w:val="000000"/>
        </w:rPr>
        <w:t>　</w:t>
      </w:r>
      <w:r>
        <w:rPr>
          <w:rStyle w:val="7"/>
          <w:rFonts w:ascii="ˎ̥" w:hAnsi="ˎ̥"/>
          <w:color w:val="000000"/>
        </w:rPr>
        <w:t>　第三部分</w:t>
      </w:r>
    </w:p>
    <w:p>
      <w:pPr>
        <w:pStyle w:val="4"/>
        <w:spacing w:line="360" w:lineRule="auto"/>
        <w:jc w:val="center"/>
        <w:rPr>
          <w:rFonts w:ascii="ˎ̥" w:hAnsi="ˎ̥"/>
          <w:color w:val="000000"/>
        </w:rPr>
      </w:pPr>
      <w:r>
        <w:rPr>
          <w:rStyle w:val="7"/>
          <w:rFonts w:ascii="ˎ̥" w:hAnsi="ˎ̥"/>
          <w:color w:val="000000"/>
        </w:rPr>
        <w:t>　　名词解释</w:t>
      </w:r>
    </w:p>
    <w:p>
      <w:pPr>
        <w:pStyle w:val="4"/>
        <w:spacing w:line="360" w:lineRule="auto"/>
        <w:rPr>
          <w:rFonts w:ascii="ˎ̥" w:hAnsi="ˎ̥"/>
          <w:color w:val="000000"/>
        </w:rPr>
      </w:pPr>
      <w:r>
        <w:rPr>
          <w:rFonts w:ascii="ˎ̥" w:hAnsi="ˎ̥"/>
          <w:color w:val="000000"/>
        </w:rPr>
        <w:t>　　一、财政拨款收入：是指省级财政当年拨付的资金。</w:t>
      </w:r>
    </w:p>
    <w:p>
      <w:pPr>
        <w:pStyle w:val="4"/>
        <w:spacing w:line="360" w:lineRule="auto"/>
        <w:rPr>
          <w:rFonts w:ascii="ˎ̥" w:hAnsi="ˎ̥"/>
          <w:color w:val="000000"/>
        </w:rPr>
      </w:pPr>
      <w:r>
        <w:rPr>
          <w:rFonts w:ascii="ˎ̥" w:hAnsi="ˎ̥"/>
          <w:color w:val="000000"/>
        </w:rPr>
        <w:t>　　二、事业收入：是指事业单位开展专业活动及辅助活动所取得的收入。</w:t>
      </w:r>
    </w:p>
    <w:p>
      <w:pPr>
        <w:pStyle w:val="4"/>
        <w:spacing w:line="360" w:lineRule="auto"/>
        <w:rPr>
          <w:rFonts w:ascii="ˎ̥" w:hAnsi="ˎ̥"/>
          <w:color w:val="000000"/>
        </w:rPr>
      </w:pPr>
      <w:r>
        <w:rPr>
          <w:rFonts w:ascii="ˎ̥" w:hAnsi="ˎ̥"/>
          <w:color w:val="000000"/>
        </w:rPr>
        <w:t>　　三、其他收入：是指部门取得的除“财政拨款”、“事业收入”、“事业单位经营收入”等以外的收入。</w:t>
      </w:r>
    </w:p>
    <w:p>
      <w:pPr>
        <w:pStyle w:val="4"/>
        <w:spacing w:line="360" w:lineRule="auto"/>
        <w:rPr>
          <w:rFonts w:ascii="ˎ̥" w:hAnsi="ˎ̥"/>
          <w:color w:val="000000"/>
        </w:rPr>
      </w:pPr>
      <w:r>
        <w:rPr>
          <w:rFonts w:ascii="ˎ̥" w:hAnsi="ˎ̥"/>
          <w:color w:val="000000"/>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4"/>
        <w:spacing w:line="360" w:lineRule="auto"/>
        <w:rPr>
          <w:rFonts w:ascii="ˎ̥" w:hAnsi="ˎ̥"/>
          <w:color w:val="000000"/>
        </w:rPr>
      </w:pPr>
      <w:r>
        <w:rPr>
          <w:rFonts w:ascii="ˎ̥" w:hAnsi="ˎ̥"/>
          <w:color w:val="000000"/>
        </w:rPr>
        <w:t>　　五、基本支出：是指为保障机构正常运转、完成日常工作任务所必需的开支，其内容包括人员经费和日常公用经费两部分。</w:t>
      </w:r>
    </w:p>
    <w:p>
      <w:pPr>
        <w:pStyle w:val="4"/>
        <w:spacing w:line="360" w:lineRule="auto"/>
        <w:rPr>
          <w:rFonts w:ascii="ˎ̥" w:hAnsi="ˎ̥"/>
          <w:color w:val="000000"/>
        </w:rPr>
      </w:pPr>
      <w:r>
        <w:rPr>
          <w:rFonts w:ascii="ˎ̥" w:hAnsi="ˎ̥"/>
          <w:color w:val="000000"/>
        </w:rPr>
        <w:t>　　六、项目支出：是指在基本支出之外，为完成特定的行政工作任务或事业发展目标所发生的支出。</w:t>
      </w:r>
    </w:p>
    <w:p>
      <w:pPr>
        <w:pStyle w:val="4"/>
        <w:spacing w:line="360" w:lineRule="auto"/>
        <w:rPr>
          <w:rFonts w:ascii="ˎ̥" w:hAnsi="ˎ̥"/>
          <w:color w:val="000000"/>
        </w:rPr>
      </w:pPr>
      <w:r>
        <w:rPr>
          <w:rFonts w:ascii="ˎ̥" w:hAnsi="ˎ̥"/>
          <w:color w:val="000000"/>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pacing w:line="360" w:lineRule="auto"/>
      </w:pPr>
      <w:r>
        <w:rPr>
          <w:rFonts w:ascii="ˎ̥" w:hAnsi="ˎ̥"/>
          <w:color w:val="000000"/>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43B4B"/>
    <w:multiLevelType w:val="singleLevel"/>
    <w:tmpl w:val="10643B4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Y2E1OWE5ZDExNWM1ZGI4NWI5NjA3NzhkOGM4YzAifQ=="/>
  </w:docVars>
  <w:rsids>
    <w:rsidRoot w:val="00945899"/>
    <w:rsid w:val="00033905"/>
    <w:rsid w:val="00060A7D"/>
    <w:rsid w:val="000903E7"/>
    <w:rsid w:val="000B2389"/>
    <w:rsid w:val="000D5FEB"/>
    <w:rsid w:val="000F37E6"/>
    <w:rsid w:val="000F53D3"/>
    <w:rsid w:val="00110B52"/>
    <w:rsid w:val="00122071"/>
    <w:rsid w:val="00132A22"/>
    <w:rsid w:val="0015330C"/>
    <w:rsid w:val="00163C17"/>
    <w:rsid w:val="001A3A37"/>
    <w:rsid w:val="001A48E5"/>
    <w:rsid w:val="001C07E5"/>
    <w:rsid w:val="001E7400"/>
    <w:rsid w:val="001F7909"/>
    <w:rsid w:val="0021173E"/>
    <w:rsid w:val="00222486"/>
    <w:rsid w:val="00227EC9"/>
    <w:rsid w:val="0029556E"/>
    <w:rsid w:val="002A57B7"/>
    <w:rsid w:val="002A5A87"/>
    <w:rsid w:val="002D247D"/>
    <w:rsid w:val="002D4163"/>
    <w:rsid w:val="002E5327"/>
    <w:rsid w:val="003951F0"/>
    <w:rsid w:val="003B51E8"/>
    <w:rsid w:val="003D1163"/>
    <w:rsid w:val="003E52B9"/>
    <w:rsid w:val="00400532"/>
    <w:rsid w:val="004131CF"/>
    <w:rsid w:val="00427D57"/>
    <w:rsid w:val="00445066"/>
    <w:rsid w:val="00452C60"/>
    <w:rsid w:val="00477159"/>
    <w:rsid w:val="00490C5E"/>
    <w:rsid w:val="004A3E6E"/>
    <w:rsid w:val="004D3EAF"/>
    <w:rsid w:val="00572B06"/>
    <w:rsid w:val="00577CBA"/>
    <w:rsid w:val="005974BE"/>
    <w:rsid w:val="00696595"/>
    <w:rsid w:val="00711C11"/>
    <w:rsid w:val="00740804"/>
    <w:rsid w:val="00767402"/>
    <w:rsid w:val="0078248C"/>
    <w:rsid w:val="00793003"/>
    <w:rsid w:val="00795E4C"/>
    <w:rsid w:val="007A0654"/>
    <w:rsid w:val="007A15F3"/>
    <w:rsid w:val="007A6B9B"/>
    <w:rsid w:val="00806DDB"/>
    <w:rsid w:val="0081390F"/>
    <w:rsid w:val="00833AAD"/>
    <w:rsid w:val="008421B6"/>
    <w:rsid w:val="008452F4"/>
    <w:rsid w:val="008A2352"/>
    <w:rsid w:val="00945899"/>
    <w:rsid w:val="009463D8"/>
    <w:rsid w:val="00994E9F"/>
    <w:rsid w:val="009B0B74"/>
    <w:rsid w:val="009F65D9"/>
    <w:rsid w:val="00A139AC"/>
    <w:rsid w:val="00A15EE9"/>
    <w:rsid w:val="00A2116E"/>
    <w:rsid w:val="00A4614D"/>
    <w:rsid w:val="00A474A5"/>
    <w:rsid w:val="00A55A32"/>
    <w:rsid w:val="00A7146A"/>
    <w:rsid w:val="00AB7C20"/>
    <w:rsid w:val="00AC30A0"/>
    <w:rsid w:val="00B009B5"/>
    <w:rsid w:val="00B6499B"/>
    <w:rsid w:val="00B90F87"/>
    <w:rsid w:val="00BA4C52"/>
    <w:rsid w:val="00BC1658"/>
    <w:rsid w:val="00BE6B72"/>
    <w:rsid w:val="00C414AB"/>
    <w:rsid w:val="00C75FBF"/>
    <w:rsid w:val="00CC25CC"/>
    <w:rsid w:val="00CF019D"/>
    <w:rsid w:val="00D34316"/>
    <w:rsid w:val="00D70D22"/>
    <w:rsid w:val="00D76922"/>
    <w:rsid w:val="00D85A07"/>
    <w:rsid w:val="00DA0928"/>
    <w:rsid w:val="00DA1638"/>
    <w:rsid w:val="00DA7D5E"/>
    <w:rsid w:val="00DB08AF"/>
    <w:rsid w:val="00DB7E35"/>
    <w:rsid w:val="00DC294D"/>
    <w:rsid w:val="00E0620F"/>
    <w:rsid w:val="00E13A85"/>
    <w:rsid w:val="00E3277B"/>
    <w:rsid w:val="00E36E25"/>
    <w:rsid w:val="00E56D9E"/>
    <w:rsid w:val="00E6011A"/>
    <w:rsid w:val="00EA150B"/>
    <w:rsid w:val="00EA1D1A"/>
    <w:rsid w:val="00EA205A"/>
    <w:rsid w:val="00ED46F2"/>
    <w:rsid w:val="00EF0349"/>
    <w:rsid w:val="00F44EBB"/>
    <w:rsid w:val="00F7329F"/>
    <w:rsid w:val="00F934BA"/>
    <w:rsid w:val="00FA3A8A"/>
    <w:rsid w:val="00FE4DE4"/>
    <w:rsid w:val="054225CD"/>
    <w:rsid w:val="1D3414E6"/>
    <w:rsid w:val="24B51339"/>
    <w:rsid w:val="2C214791"/>
    <w:rsid w:val="42B87C2E"/>
    <w:rsid w:val="4AAD03A5"/>
    <w:rsid w:val="4EFC79EB"/>
    <w:rsid w:val="5681065C"/>
    <w:rsid w:val="5A651101"/>
    <w:rsid w:val="61265A25"/>
    <w:rsid w:val="69586B5E"/>
    <w:rsid w:val="6C562744"/>
    <w:rsid w:val="70E80B23"/>
    <w:rsid w:val="7EDB6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24"/>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p0"/>
    <w:basedOn w:val="1"/>
    <w:qFormat/>
    <w:uiPriority w:val="0"/>
    <w:pPr>
      <w:widowControl/>
    </w:pPr>
    <w:rPr>
      <w:rFonts w:ascii="Times New Roman" w:hAnsi="Times New Roman" w:eastAsia="宋体" w:cs="Times New Roman"/>
      <w:kern w:val="0"/>
      <w:szCs w:val="21"/>
    </w:rPr>
  </w:style>
  <w:style w:type="character" w:customStyle="1" w:styleId="9">
    <w:name w:val="页脚 Char"/>
    <w:basedOn w:val="6"/>
    <w:link w:val="2"/>
    <w:qFormat/>
    <w:uiPriority w:val="0"/>
    <w:rPr>
      <w:kern w:val="2"/>
      <w:sz w:val="18"/>
      <w:szCs w:val="24"/>
    </w:rPr>
  </w:style>
  <w:style w:type="character" w:customStyle="1" w:styleId="10">
    <w:name w:val="页眉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12</Pages>
  <Words>5203</Words>
  <Characters>5432</Characters>
  <Lines>42</Lines>
  <Paragraphs>11</Paragraphs>
  <TotalTime>15</TotalTime>
  <ScaleCrop>false</ScaleCrop>
  <LinksUpToDate>false</LinksUpToDate>
  <CharactersWithSpaces>5499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2018-05-03T08:39:00Z</dcterms:created>
  <dc:creator>larry</dc:creator>
  <cp:lastModifiedBy>付小倩</cp:lastModifiedBy>
  <cp:lastPrinted>2018-06-01T07:10:00Z</cp:lastPrinted>
  <dcterms:modified xsi:type="dcterms:W3CDTF">2023-04-28T09:14:25Z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F8D1E20AAA474396814028726D1C9B84</vt:lpwstr>
  </property>
</Properties>
</file>