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平桥区委老干部局</w:t>
      </w:r>
    </w:p>
    <w:p>
      <w:pPr>
        <w:tabs>
          <w:tab w:val="left" w:pos="8364"/>
        </w:tabs>
        <w:kinsoku w:val="0"/>
        <w:overflowPunct w:val="0"/>
        <w:adjustRightInd w:val="0"/>
        <w:snapToGrid w:val="0"/>
        <w:spacing w:line="560" w:lineRule="exact"/>
        <w:ind w:left="101" w:right="42" w:firstLine="1040" w:firstLineChars="200"/>
        <w:jc w:val="center"/>
        <w:rPr>
          <w:rFonts w:hint="eastAsia" w:ascii="黑体" w:hAnsi="黑体" w:eastAsia="黑体" w:cs="Times New Roman"/>
          <w:sz w:val="52"/>
          <w:szCs w:val="52"/>
        </w:rPr>
      </w:pPr>
      <w:r>
        <w:rPr>
          <w:rFonts w:hint="eastAsia" w:ascii="黑体" w:hAnsi="黑体" w:eastAsia="黑体" w:cs="Times New Roman"/>
          <w:sz w:val="52"/>
          <w:szCs w:val="52"/>
        </w:rPr>
        <w:t>202</w:t>
      </w:r>
      <w:r>
        <w:rPr>
          <w:rFonts w:hint="eastAsia" w:ascii="黑体" w:hAnsi="黑体" w:eastAsia="黑体" w:cs="Times New Roman"/>
          <w:sz w:val="52"/>
          <w:szCs w:val="52"/>
          <w:lang w:val="en-US" w:eastAsia="zh-CN"/>
        </w:rPr>
        <w:t>2</w:t>
      </w:r>
      <w:r>
        <w:rPr>
          <w:rFonts w:hint="eastAsia" w:ascii="黑体" w:hAnsi="黑体" w:eastAsia="黑体" w:cs="Times New Roman"/>
          <w:sz w:val="52"/>
          <w:szCs w:val="52"/>
        </w:rPr>
        <w:t>年部门预算情况说明</w:t>
      </w: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pStyle w:val="2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/>
          <w:sz w:val="32"/>
          <w:szCs w:val="32"/>
        </w:rPr>
        <w:t>平桥区委老干部局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、部门预算单位构成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/>
          <w:sz w:val="32"/>
          <w:szCs w:val="32"/>
        </w:rPr>
        <w:t>平桥区委老干部局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/>
          <w:sz w:val="32"/>
          <w:szCs w:val="32"/>
        </w:rPr>
        <w:t>平桥区委老干部局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部门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部门预算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一、部门收支总体情况表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二、部门收入总体情况表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三、部门支出总体情况表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、部门（单位）整体绩效目标表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宋体"/>
          <w:kern w:val="0"/>
          <w:sz w:val="32"/>
          <w:szCs w:val="32"/>
        </w:rPr>
        <w:t>、财政支出绩效目标表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  <w:sz w:val="32"/>
          <w:szCs w:val="32"/>
        </w:rPr>
      </w:pPr>
      <w:r>
        <w:rPr>
          <w:rStyle w:val="9"/>
          <w:rFonts w:ascii="ˎ̥" w:hAnsi="ˎ̥" w:cs="Arial"/>
          <w:color w:val="000000"/>
          <w:sz w:val="32"/>
          <w:szCs w:val="32"/>
        </w:rPr>
        <w:t>　　第一部分</w:t>
      </w:r>
    </w:p>
    <w:p>
      <w:pPr>
        <w:pStyle w:val="6"/>
        <w:spacing w:line="360" w:lineRule="auto"/>
        <w:jc w:val="center"/>
        <w:rPr>
          <w:rFonts w:ascii="ˎ̥" w:hAnsi="ˎ̥" w:cs="Arial"/>
          <w:color w:val="000000"/>
          <w:sz w:val="32"/>
          <w:szCs w:val="32"/>
        </w:rPr>
      </w:pPr>
      <w:r>
        <w:rPr>
          <w:rStyle w:val="9"/>
          <w:rFonts w:ascii="ˎ̥" w:hAnsi="ˎ̥" w:cs="Arial"/>
          <w:color w:val="000000"/>
          <w:sz w:val="32"/>
          <w:szCs w:val="32"/>
        </w:rPr>
        <w:t>　　</w:t>
      </w:r>
      <w:r>
        <w:rPr>
          <w:rStyle w:val="9"/>
          <w:rFonts w:hint="eastAsia" w:ascii="ˎ̥" w:hAnsi="ˎ̥" w:cs="Arial"/>
          <w:color w:val="000000"/>
          <w:sz w:val="32"/>
          <w:szCs w:val="32"/>
        </w:rPr>
        <w:t>平桥区委老干部局</w:t>
      </w:r>
      <w:r>
        <w:rPr>
          <w:rStyle w:val="9"/>
          <w:rFonts w:ascii="ˎ̥" w:hAnsi="ˎ̥" w:cs="Arial"/>
          <w:color w:val="000000"/>
          <w:sz w:val="32"/>
          <w:szCs w:val="32"/>
        </w:rPr>
        <w:t>概况</w:t>
      </w:r>
    </w:p>
    <w:p>
      <w:pPr>
        <w:pStyle w:val="6"/>
        <w:spacing w:line="360" w:lineRule="auto"/>
        <w:rPr>
          <w:rStyle w:val="9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一、</w:t>
      </w:r>
      <w:r>
        <w:rPr>
          <w:rStyle w:val="9"/>
          <w:rFonts w:hint="eastAsia" w:ascii="ˎ̥" w:hAnsi="ˎ̥" w:cs="Arial"/>
          <w:color w:val="000000"/>
        </w:rPr>
        <w:t>平桥区委老干部局主要职能</w:t>
      </w:r>
    </w:p>
    <w:p>
      <w:pPr>
        <w:spacing w:line="360" w:lineRule="auto"/>
        <w:ind w:left="420" w:leftChars="200" w:firstLine="480" w:firstLineChars="200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hint="eastAsia" w:ascii="ˎ̥" w:hAnsi="ˎ̥" w:cs="Arial"/>
          <w:color w:val="000000"/>
          <w:sz w:val="24"/>
          <w:szCs w:val="24"/>
        </w:rPr>
        <w:t>平桥区委老干部局</w:t>
      </w:r>
      <w:r>
        <w:rPr>
          <w:rFonts w:hint="eastAsia" w:ascii="ˎ̥" w:hAnsi="ˎ̥" w:cs="Arial"/>
          <w:color w:val="000000"/>
          <w:sz w:val="24"/>
          <w:szCs w:val="24"/>
          <w:lang w:val="en-US" w:eastAsia="zh-CN"/>
        </w:rPr>
        <w:t>的</w:t>
      </w:r>
      <w:r>
        <w:rPr>
          <w:rFonts w:ascii="ˎ̥" w:hAnsi="ˎ̥" w:cs="Arial"/>
          <w:color w:val="000000"/>
          <w:sz w:val="24"/>
          <w:szCs w:val="24"/>
        </w:rPr>
        <w:t>主要职责是</w:t>
      </w:r>
      <w:r>
        <w:rPr>
          <w:rFonts w:hint="eastAsia" w:ascii="ˎ̥" w:hAnsi="ˎ̥" w:cs="Arial"/>
          <w:color w:val="000000"/>
          <w:sz w:val="24"/>
          <w:szCs w:val="24"/>
        </w:rPr>
        <w:t>：</w:t>
      </w:r>
      <w:r>
        <w:rPr>
          <w:rFonts w:hint="eastAsia" w:asciiTheme="minorEastAsia" w:hAnsiTheme="minorEastAsia" w:cstheme="minorEastAsia"/>
          <w:sz w:val="24"/>
          <w:szCs w:val="24"/>
        </w:rPr>
        <w:t>在区委领导和区委组织部的指导下，负责老干部方面的日常工作，贯彻执行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党</w:t>
      </w:r>
      <w:r>
        <w:rPr>
          <w:rFonts w:hint="eastAsia" w:asciiTheme="minorEastAsia" w:hAnsiTheme="minorEastAsia" w:cstheme="minorEastAsia"/>
          <w:sz w:val="24"/>
          <w:szCs w:val="24"/>
        </w:rPr>
        <w:t>中央、国务院关于老干部工作的方针、政策和省、市、区委政府的有关规定，研究制定落实各项政策规定的具体办法，协同有关部门做好离退休干部的思想政治工作和安置工作，组织离退休干部发挥力所能及的作用，落实政治、生活待遇 ，解决存在的问题，办理科级以下干部的离休审批和未担任地专级、县处级职务的行政14、18级离休干部提高待遇的呈报工作，管理局属干休所、活动室、明港活动中心，指导各单位开展各类活动，丰富老同志的生活。</w:t>
      </w:r>
    </w:p>
    <w:p>
      <w:pPr>
        <w:pStyle w:val="6"/>
        <w:spacing w:line="360" w:lineRule="auto"/>
        <w:ind w:firstLine="482" w:firstLineChars="200"/>
        <w:rPr>
          <w:rFonts w:hint="eastAsia" w:ascii="ˎ̥" w:hAnsi="ˎ̥" w:cs="Arial"/>
          <w:b/>
          <w:bCs/>
          <w:color w:val="000000"/>
          <w:lang w:val="en-US" w:eastAsia="zh-CN"/>
        </w:rPr>
      </w:pPr>
    </w:p>
    <w:p>
      <w:pPr>
        <w:pStyle w:val="6"/>
        <w:spacing w:line="360" w:lineRule="auto"/>
        <w:rPr>
          <w:rFonts w:hint="eastAsia" w:ascii="ˎ̥" w:hAnsi="ˎ̥" w:cs="Arial"/>
          <w:b/>
          <w:bCs/>
          <w:color w:val="000000"/>
          <w:lang w:val="en-US" w:eastAsia="zh-CN"/>
        </w:rPr>
      </w:pPr>
      <w:r>
        <w:rPr>
          <w:rFonts w:hint="eastAsia" w:ascii="ˎ̥" w:hAnsi="ˎ̥" w:cs="Arial"/>
          <w:b/>
          <w:bCs/>
          <w:color w:val="000000"/>
          <w:lang w:val="en-US" w:eastAsia="zh-CN"/>
        </w:rPr>
        <w:t>二、机构设置</w:t>
      </w:r>
    </w:p>
    <w:p>
      <w:pPr>
        <w:pStyle w:val="2"/>
        <w:numPr>
          <w:ilvl w:val="0"/>
          <w:numId w:val="0"/>
        </w:numPr>
        <w:ind w:left="630" w:leftChars="0"/>
        <w:rPr>
          <w:rFonts w:hint="eastAsia"/>
          <w:lang w:val="en-US" w:eastAsia="zh-CN"/>
        </w:rPr>
      </w:pPr>
      <w:r>
        <w:rPr>
          <w:rStyle w:val="9"/>
          <w:rFonts w:hint="eastAsia" w:ascii="ˎ̥" w:hAnsi="ˎ̥" w:cs="Arial"/>
          <w:b w:val="0"/>
          <w:bCs w:val="0"/>
          <w:color w:val="000000"/>
          <w:sz w:val="24"/>
          <w:szCs w:val="24"/>
        </w:rPr>
        <w:t>平桥区委老干部局</w:t>
      </w:r>
      <w:r>
        <w:rPr>
          <w:rFonts w:ascii="ˎ̥" w:hAnsi="ˎ̥" w:cs="Arial"/>
          <w:color w:val="000000"/>
          <w:sz w:val="24"/>
          <w:szCs w:val="24"/>
        </w:rPr>
        <w:t>内设办公室</w:t>
      </w:r>
      <w:r>
        <w:rPr>
          <w:rFonts w:hint="eastAsia" w:ascii="ˎ̥" w:hAnsi="ˎ̥" w:cs="Arial"/>
          <w:color w:val="000000"/>
          <w:sz w:val="24"/>
          <w:szCs w:val="24"/>
        </w:rPr>
        <w:t>，下设干休所、老干部活动中心</w:t>
      </w:r>
      <w:r>
        <w:rPr>
          <w:rFonts w:ascii="ˎ̥" w:hAnsi="ˎ̥" w:cs="Arial"/>
          <w:color w:val="000000"/>
          <w:sz w:val="24"/>
          <w:szCs w:val="24"/>
        </w:rPr>
        <w:t>。</w:t>
      </w:r>
    </w:p>
    <w:p>
      <w:pPr>
        <w:pStyle w:val="6"/>
        <w:numPr>
          <w:ilvl w:val="0"/>
          <w:numId w:val="0"/>
        </w:numPr>
        <w:spacing w:line="360" w:lineRule="auto"/>
        <w:rPr>
          <w:rStyle w:val="9"/>
          <w:rFonts w:hint="eastAsia" w:ascii="ˎ̥" w:hAnsi="ˎ̥" w:cs="Arial"/>
          <w:color w:val="000000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rPr>
          <w:rFonts w:ascii="ˎ̥" w:hAnsi="ˎ̥" w:cs="Arial"/>
          <w:color w:val="000000"/>
        </w:rPr>
      </w:pPr>
      <w:r>
        <w:rPr>
          <w:rStyle w:val="9"/>
          <w:rFonts w:hint="eastAsia" w:ascii="ˎ̥" w:hAnsi="ˎ̥" w:cs="Arial"/>
          <w:color w:val="000000"/>
          <w:lang w:val="en-US" w:eastAsia="zh-CN"/>
        </w:rPr>
        <w:t>三、</w:t>
      </w:r>
      <w:r>
        <w:rPr>
          <w:rStyle w:val="9"/>
          <w:rFonts w:hint="eastAsia" w:ascii="ˎ̥" w:hAnsi="ˎ̥" w:cs="Arial"/>
          <w:color w:val="000000"/>
        </w:rPr>
        <w:t>平桥区委老干部局</w:t>
      </w:r>
      <w:r>
        <w:rPr>
          <w:rStyle w:val="9"/>
          <w:rFonts w:ascii="ˎ̥" w:hAnsi="ˎ̥" w:cs="Arial"/>
          <w:color w:val="000000"/>
        </w:rPr>
        <w:t>预算单位构成</w:t>
      </w:r>
    </w:p>
    <w:p>
      <w:pPr>
        <w:pStyle w:val="6"/>
        <w:spacing w:line="360" w:lineRule="auto"/>
        <w:ind w:firstLine="480"/>
        <w:rPr>
          <w:rStyle w:val="9"/>
          <w:rFonts w:hint="eastAsia" w:ascii="ˎ̥" w:hAnsi="ˎ̥" w:cs="Arial"/>
          <w:b w:val="0"/>
          <w:bCs w:val="0"/>
          <w:color w:val="000000"/>
        </w:rPr>
      </w:pPr>
      <w:r>
        <w:rPr>
          <w:rStyle w:val="9"/>
          <w:rFonts w:hint="eastAsia" w:ascii="ˎ̥" w:hAnsi="ˎ̥" w:cs="Arial"/>
          <w:b w:val="0"/>
          <w:bCs w:val="0"/>
          <w:color w:val="000000"/>
        </w:rPr>
        <w:t>根据部门预算管理有关规定，本部门无下属二级机构，公开的部门预算为本级预算，不包含所属单位预算。</w:t>
      </w:r>
    </w:p>
    <w:p>
      <w:pPr>
        <w:pStyle w:val="6"/>
        <w:spacing w:line="360" w:lineRule="auto"/>
        <w:jc w:val="both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ascii="ˎ̥" w:hAnsi="ˎ̥" w:cs="Arial"/>
          <w:color w:val="000000"/>
        </w:rPr>
        <w:t>第二部分</w:t>
      </w:r>
    </w:p>
    <w:p>
      <w:pPr>
        <w:pStyle w:val="6"/>
        <w:spacing w:line="360" w:lineRule="auto"/>
        <w:ind w:firstLine="481"/>
        <w:jc w:val="center"/>
        <w:rPr>
          <w:rStyle w:val="9"/>
          <w:rFonts w:hint="eastAsia" w:ascii="ˎ̥" w:hAnsi="ˎ̥" w:cs="Arial"/>
          <w:color w:val="000000"/>
          <w:sz w:val="32"/>
          <w:szCs w:val="32"/>
        </w:rPr>
      </w:pPr>
      <w:r>
        <w:rPr>
          <w:rStyle w:val="9"/>
          <w:rFonts w:hint="eastAsia" w:ascii="ˎ̥" w:hAnsi="ˎ̥" w:cs="Arial"/>
          <w:color w:val="000000"/>
          <w:sz w:val="32"/>
          <w:szCs w:val="32"/>
        </w:rPr>
        <w:t>平桥区委老干部局</w:t>
      </w:r>
    </w:p>
    <w:p>
      <w:pPr>
        <w:pStyle w:val="6"/>
        <w:spacing w:line="360" w:lineRule="auto"/>
        <w:ind w:firstLine="481"/>
        <w:jc w:val="center"/>
        <w:rPr>
          <w:rFonts w:ascii="ˎ̥" w:hAnsi="ˎ̥" w:cs="Arial"/>
          <w:color w:val="000000"/>
          <w:sz w:val="32"/>
          <w:szCs w:val="32"/>
        </w:rPr>
      </w:pPr>
      <w:r>
        <w:rPr>
          <w:rStyle w:val="9"/>
          <w:rFonts w:ascii="ˎ̥" w:hAnsi="ˎ̥" w:cs="Arial"/>
          <w:color w:val="000000"/>
          <w:sz w:val="32"/>
          <w:szCs w:val="32"/>
        </w:rPr>
        <w:t>20</w:t>
      </w:r>
      <w:r>
        <w:rPr>
          <w:rStyle w:val="9"/>
          <w:rFonts w:hint="eastAsia" w:ascii="ˎ̥" w:hAnsi="ˎ̥" w:cs="Arial"/>
          <w:color w:val="000000"/>
          <w:sz w:val="32"/>
          <w:szCs w:val="32"/>
        </w:rPr>
        <w:t>2</w:t>
      </w:r>
      <w:r>
        <w:rPr>
          <w:rStyle w:val="9"/>
          <w:rFonts w:hint="eastAsia" w:ascii="ˎ̥" w:hAnsi="ˎ̥" w:cs="Arial"/>
          <w:color w:val="000000"/>
          <w:sz w:val="32"/>
          <w:szCs w:val="32"/>
          <w:lang w:val="en-US" w:eastAsia="zh-CN"/>
        </w:rPr>
        <w:t>2</w:t>
      </w:r>
      <w:r>
        <w:rPr>
          <w:rStyle w:val="9"/>
          <w:rFonts w:ascii="ˎ̥" w:hAnsi="ˎ̥" w:cs="Arial"/>
          <w:color w:val="000000"/>
          <w:sz w:val="32"/>
          <w:szCs w:val="32"/>
        </w:rPr>
        <w:t>年度部门预算情况说明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ascii="ˎ̥" w:hAnsi="ˎ̥" w:cs="Arial"/>
          <w:color w:val="000000"/>
        </w:rPr>
        <w:t>　一、收入支出预算总体情况说明</w:t>
      </w:r>
    </w:p>
    <w:p>
      <w:pPr>
        <w:pStyle w:val="6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Style w:val="9"/>
          <w:rFonts w:hint="eastAsia" w:ascii="ˎ̥" w:hAnsi="ˎ̥" w:cs="Arial"/>
          <w:color w:val="000000"/>
        </w:rPr>
        <w:t>2</w:t>
      </w:r>
      <w:r>
        <w:rPr>
          <w:rFonts w:ascii="ˎ̥" w:hAnsi="ˎ̥" w:cs="Arial"/>
          <w:color w:val="000000"/>
        </w:rPr>
        <w:t>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年收入总计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万元，支出总计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万元，与20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ascii="ˎ̥" w:hAnsi="ˎ̥" w:cs="Arial"/>
          <w:color w:val="000000"/>
        </w:rPr>
        <w:t>年相比，收入</w:t>
      </w:r>
      <w:r>
        <w:rPr>
          <w:rFonts w:hint="eastAsia" w:ascii="ˎ̥" w:hAnsi="ˎ̥" w:cs="Arial"/>
          <w:color w:val="000000"/>
          <w:lang w:eastAsia="zh-CN"/>
        </w:rPr>
        <w:t>、</w:t>
      </w:r>
      <w:r>
        <w:rPr>
          <w:rFonts w:hint="eastAsia" w:ascii="ˎ̥" w:hAnsi="ˎ̥" w:cs="Arial"/>
          <w:color w:val="000000"/>
          <w:lang w:val="en-US" w:eastAsia="zh-CN"/>
        </w:rPr>
        <w:t>支出均增加44.67</w:t>
      </w:r>
      <w:r>
        <w:rPr>
          <w:rFonts w:ascii="ˎ̥" w:hAnsi="ˎ̥" w:cs="Arial"/>
          <w:color w:val="000000"/>
        </w:rPr>
        <w:t>万元，</w:t>
      </w:r>
      <w:r>
        <w:rPr>
          <w:rFonts w:hint="eastAsia" w:ascii="ˎ̥" w:hAnsi="ˎ̥" w:cs="Arial"/>
          <w:color w:val="000000"/>
          <w:lang w:eastAsia="zh-CN"/>
        </w:rPr>
        <w:t>增长</w:t>
      </w:r>
      <w:r>
        <w:rPr>
          <w:rFonts w:hint="eastAsia" w:ascii="ˎ̥" w:hAnsi="ˎ̥" w:cs="Arial"/>
          <w:color w:val="000000"/>
          <w:lang w:val="en-US" w:eastAsia="zh-CN"/>
        </w:rPr>
        <w:t>12.39</w:t>
      </w:r>
      <w:r>
        <w:rPr>
          <w:rFonts w:ascii="ˎ̥" w:hAnsi="ˎ̥" w:cs="Arial"/>
          <w:color w:val="000000"/>
        </w:rPr>
        <w:t>%。主要原因是：人员</w:t>
      </w:r>
      <w:r>
        <w:rPr>
          <w:rFonts w:hint="eastAsia" w:ascii="ˎ̥" w:hAnsi="ˎ̥" w:cs="Arial"/>
          <w:color w:val="000000"/>
          <w:lang w:eastAsia="zh-CN"/>
        </w:rPr>
        <w:t>调增资增加</w:t>
      </w:r>
      <w:r>
        <w:rPr>
          <w:rFonts w:hint="eastAsia" w:ascii="ˎ̥" w:hAnsi="ˎ̥" w:cs="Arial"/>
          <w:color w:val="000000"/>
        </w:rPr>
        <w:t>了</w:t>
      </w:r>
      <w:r>
        <w:rPr>
          <w:rFonts w:ascii="ˎ̥" w:hAnsi="ˎ̥" w:cs="Arial"/>
          <w:color w:val="000000"/>
        </w:rPr>
        <w:t>工资、奖金</w:t>
      </w:r>
      <w:r>
        <w:rPr>
          <w:rFonts w:hint="eastAsia" w:ascii="ˎ̥" w:hAnsi="ˎ̥" w:cs="Arial"/>
          <w:color w:val="000000"/>
        </w:rPr>
        <w:t>、</w:t>
      </w:r>
      <w:r>
        <w:rPr>
          <w:rFonts w:ascii="ˎ̥" w:hAnsi="ˎ̥" w:cs="Arial"/>
          <w:color w:val="000000"/>
        </w:rPr>
        <w:t>医保、住房公积金、养老保险等经费。</w:t>
      </w:r>
    </w:p>
    <w:p>
      <w:pPr>
        <w:pStyle w:val="6"/>
        <w:spacing w:line="360" w:lineRule="auto"/>
        <w:ind w:firstLine="480"/>
        <w:rPr>
          <w:rStyle w:val="9"/>
          <w:rFonts w:ascii="ˎ̥" w:hAnsi="ˎ̥" w:cs="Arial"/>
          <w:color w:val="000000"/>
        </w:rPr>
      </w:pPr>
    </w:p>
    <w:p>
      <w:pPr>
        <w:pStyle w:val="6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二、收入预算总体情况说明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Style w:val="9"/>
          <w:rFonts w:hint="eastAsia" w:ascii="ˎ̥" w:hAnsi="ˎ̥" w:cs="Arial"/>
          <w:color w:val="000000"/>
        </w:rPr>
        <w:t>2</w:t>
      </w:r>
      <w:r>
        <w:rPr>
          <w:rFonts w:ascii="ˎ̥" w:hAnsi="ˎ̥" w:cs="Arial"/>
          <w:color w:val="000000"/>
        </w:rPr>
        <w:t>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年收入合计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万元，其中一般公共预算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</w:t>
      </w:r>
      <w:r>
        <w:rPr>
          <w:rFonts w:hint="eastAsia" w:ascii="ˎ̥" w:hAnsi="ˎ̥" w:cs="Arial"/>
          <w:color w:val="000000"/>
        </w:rPr>
        <w:t>，</w:t>
      </w:r>
      <w:r>
        <w:rPr>
          <w:rFonts w:hint="eastAsia" w:ascii="ˎ̥" w:hAnsi="ˎ̥" w:cs="Arial"/>
          <w:color w:val="000000"/>
          <w:lang w:val="en-US" w:eastAsia="zh-CN"/>
        </w:rPr>
        <w:t>占比100%，</w:t>
      </w:r>
      <w:r>
        <w:rPr>
          <w:rFonts w:hint="eastAsia" w:ascii="ˎ̥" w:hAnsi="ˎ̥" w:cs="Arial"/>
          <w:color w:val="000000"/>
        </w:rPr>
        <w:t>包含专项经费99万元。</w:t>
      </w:r>
    </w:p>
    <w:p>
      <w:pPr>
        <w:pStyle w:val="6"/>
        <w:spacing w:line="360" w:lineRule="auto"/>
        <w:rPr>
          <w:rStyle w:val="9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三、支出预算总体情况说明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年支出合计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</w:t>
      </w:r>
      <w:r>
        <w:rPr>
          <w:rFonts w:hint="eastAsia" w:ascii="ˎ̥" w:hAnsi="ˎ̥" w:cs="Arial"/>
          <w:color w:val="000000"/>
        </w:rPr>
        <w:t>，</w:t>
      </w:r>
      <w:r>
        <w:rPr>
          <w:rFonts w:ascii="ˎ̥" w:hAnsi="ˎ̥" w:cs="Arial"/>
          <w:color w:val="000000"/>
        </w:rPr>
        <w:t>其中：基本支出</w:t>
      </w:r>
      <w:r>
        <w:rPr>
          <w:rFonts w:hint="eastAsia" w:ascii="ˎ̥" w:hAnsi="ˎ̥" w:cs="Arial"/>
          <w:color w:val="000000"/>
          <w:lang w:val="en-US" w:eastAsia="zh-CN"/>
        </w:rPr>
        <w:t>306.22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</w:rPr>
        <w:t>7</w:t>
      </w:r>
      <w:r>
        <w:rPr>
          <w:rFonts w:hint="eastAsia" w:ascii="ˎ̥" w:hAnsi="ˎ̥" w:cs="Arial"/>
          <w:color w:val="000000"/>
          <w:lang w:val="en-US" w:eastAsia="zh-CN"/>
        </w:rPr>
        <w:t>5.57</w:t>
      </w:r>
      <w:r>
        <w:rPr>
          <w:rFonts w:ascii="ˎ̥" w:hAnsi="ˎ̥" w:cs="Arial"/>
          <w:color w:val="000000"/>
        </w:rPr>
        <w:t>%；项目支出</w:t>
      </w:r>
      <w:r>
        <w:rPr>
          <w:rFonts w:hint="eastAsia" w:ascii="ˎ̥" w:hAnsi="ˎ̥" w:cs="Arial"/>
          <w:color w:val="000000"/>
        </w:rPr>
        <w:t>99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4.43</w:t>
      </w:r>
      <w:r>
        <w:rPr>
          <w:rFonts w:ascii="ˎ̥" w:hAnsi="ˎ̥" w:cs="Arial"/>
          <w:color w:val="000000"/>
        </w:rPr>
        <w:t>%。</w:t>
      </w:r>
    </w:p>
    <w:p>
      <w:pPr>
        <w:pStyle w:val="6"/>
        <w:spacing w:line="360" w:lineRule="auto"/>
        <w:rPr>
          <w:rStyle w:val="9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四、财政拨款收入支出预算总体情况说明</w:t>
      </w:r>
    </w:p>
    <w:p>
      <w:pPr>
        <w:pStyle w:val="6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</w:t>
      </w:r>
      <w:r>
        <w:rPr>
          <w:rFonts w:hint="eastAsia" w:ascii="ˎ̥" w:hAnsi="ˎ̥" w:cs="Arial"/>
          <w:color w:val="000000"/>
          <w:lang w:val="en-US" w:eastAsia="zh-CN"/>
        </w:rPr>
        <w:t>财政拨款</w:t>
      </w:r>
      <w:r>
        <w:rPr>
          <w:rFonts w:ascii="ˎ̥" w:hAnsi="ˎ̥" w:cs="Arial"/>
          <w:color w:val="000000"/>
        </w:rPr>
        <w:t>收入</w:t>
      </w:r>
      <w:r>
        <w:rPr>
          <w:rFonts w:hint="eastAsia" w:ascii="ˎ̥" w:hAnsi="ˎ̥" w:cs="Arial"/>
          <w:color w:val="000000"/>
          <w:lang w:eastAsia="zh-CN"/>
        </w:rPr>
        <w:t>、</w:t>
      </w:r>
      <w:r>
        <w:rPr>
          <w:rFonts w:hint="eastAsia" w:ascii="ˎ̥" w:hAnsi="ˎ̥" w:cs="Arial"/>
          <w:color w:val="000000"/>
          <w:lang w:val="en-US" w:eastAsia="zh-CN"/>
        </w:rPr>
        <w:t>支出</w:t>
      </w:r>
      <w:r>
        <w:rPr>
          <w:rFonts w:ascii="ˎ̥" w:hAnsi="ˎ̥" w:cs="Arial"/>
          <w:color w:val="000000"/>
        </w:rPr>
        <w:t>预算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万元，与20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ascii="ˎ̥" w:hAnsi="ˎ̥" w:cs="Arial"/>
          <w:color w:val="000000"/>
        </w:rPr>
        <w:t>年相比，</w:t>
      </w:r>
      <w:r>
        <w:rPr>
          <w:rFonts w:hint="eastAsia" w:ascii="ˎ̥" w:hAnsi="ˎ̥" w:cs="Arial"/>
          <w:color w:val="000000"/>
          <w:lang w:val="en-US" w:eastAsia="zh-CN"/>
        </w:rPr>
        <w:t>财政拨款</w:t>
      </w:r>
      <w:r>
        <w:rPr>
          <w:rFonts w:ascii="ˎ̥" w:hAnsi="ˎ̥" w:cs="Arial"/>
          <w:color w:val="000000"/>
        </w:rPr>
        <w:t>收入</w:t>
      </w:r>
      <w:r>
        <w:rPr>
          <w:rFonts w:hint="eastAsia" w:ascii="ˎ̥" w:hAnsi="ˎ̥" w:cs="Arial"/>
          <w:color w:val="000000"/>
          <w:lang w:eastAsia="zh-CN"/>
        </w:rPr>
        <w:t>、</w:t>
      </w:r>
      <w:r>
        <w:rPr>
          <w:rFonts w:hint="eastAsia" w:ascii="ˎ̥" w:hAnsi="ˎ̥" w:cs="Arial"/>
          <w:color w:val="000000"/>
          <w:lang w:val="en-US" w:eastAsia="zh-CN"/>
        </w:rPr>
        <w:t>支出</w:t>
      </w:r>
      <w:r>
        <w:rPr>
          <w:rFonts w:ascii="ˎ̥" w:hAnsi="ˎ̥" w:cs="Arial"/>
          <w:color w:val="000000"/>
        </w:rPr>
        <w:t>预算</w:t>
      </w:r>
      <w:r>
        <w:rPr>
          <w:rFonts w:hint="eastAsia" w:ascii="ˎ̥" w:hAnsi="ˎ̥" w:cs="Arial"/>
          <w:color w:val="000000"/>
          <w:lang w:val="en-US" w:eastAsia="zh-CN"/>
        </w:rPr>
        <w:t>均增加44.67</w:t>
      </w:r>
      <w:r>
        <w:rPr>
          <w:rFonts w:ascii="ˎ̥" w:hAnsi="ˎ̥" w:cs="Arial"/>
          <w:color w:val="000000"/>
        </w:rPr>
        <w:t>万元，</w:t>
      </w:r>
      <w:r>
        <w:rPr>
          <w:rFonts w:hint="eastAsia" w:ascii="ˎ̥" w:hAnsi="ˎ̥" w:cs="Arial"/>
          <w:color w:val="000000"/>
          <w:lang w:eastAsia="zh-CN"/>
        </w:rPr>
        <w:t>增长</w:t>
      </w:r>
      <w:r>
        <w:rPr>
          <w:rFonts w:hint="eastAsia" w:ascii="ˎ̥" w:hAnsi="ˎ̥" w:cs="Arial"/>
          <w:color w:val="000000"/>
          <w:lang w:val="en-US" w:eastAsia="zh-CN"/>
        </w:rPr>
        <w:t>12.39</w:t>
      </w:r>
      <w:r>
        <w:rPr>
          <w:rFonts w:ascii="ˎ̥" w:hAnsi="ˎ̥" w:cs="Arial"/>
          <w:color w:val="000000"/>
        </w:rPr>
        <w:t>%。主要原因是：人员</w:t>
      </w:r>
      <w:r>
        <w:rPr>
          <w:rFonts w:hint="eastAsia" w:ascii="ˎ̥" w:hAnsi="ˎ̥" w:cs="Arial"/>
          <w:color w:val="000000"/>
          <w:lang w:eastAsia="zh-CN"/>
        </w:rPr>
        <w:t>调增资增加</w:t>
      </w:r>
      <w:r>
        <w:rPr>
          <w:rFonts w:hint="eastAsia" w:ascii="ˎ̥" w:hAnsi="ˎ̥" w:cs="Arial"/>
          <w:color w:val="000000"/>
        </w:rPr>
        <w:t>了</w:t>
      </w:r>
      <w:r>
        <w:rPr>
          <w:rFonts w:ascii="ˎ̥" w:hAnsi="ˎ̥" w:cs="Arial"/>
          <w:color w:val="000000"/>
        </w:rPr>
        <w:t>工资、奖金</w:t>
      </w:r>
      <w:r>
        <w:rPr>
          <w:rFonts w:hint="eastAsia" w:ascii="ˎ̥" w:hAnsi="ˎ̥" w:cs="Arial"/>
          <w:color w:val="000000"/>
        </w:rPr>
        <w:t>、</w:t>
      </w:r>
      <w:r>
        <w:rPr>
          <w:rFonts w:ascii="ˎ̥" w:hAnsi="ˎ̥" w:cs="Arial"/>
          <w:color w:val="000000"/>
        </w:rPr>
        <w:t>医保、住房公积金、养老保险等经费。</w:t>
      </w:r>
    </w:p>
    <w:p>
      <w:pPr>
        <w:pStyle w:val="6"/>
        <w:spacing w:line="360" w:lineRule="auto"/>
        <w:ind w:firstLine="480"/>
        <w:rPr>
          <w:rStyle w:val="9"/>
          <w:rFonts w:ascii="ˎ̥" w:hAnsi="ˎ̥" w:cs="Arial"/>
          <w:color w:val="000000"/>
        </w:rPr>
      </w:pPr>
    </w:p>
    <w:p>
      <w:pPr>
        <w:pStyle w:val="6"/>
        <w:spacing w:line="360" w:lineRule="auto"/>
        <w:ind w:firstLine="480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五、一般公共预算支出预算情况说明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Fonts w:hint="eastAsia" w:ascii="ˎ̥" w:hAnsi="ˎ̥" w:cs="Arial"/>
          <w:color w:val="000000"/>
          <w:lang w:val="en-US" w:eastAsia="zh-CN"/>
        </w:rPr>
        <w:t xml:space="preserve"> 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年一般公共预算支出年初预算为</w:t>
      </w:r>
      <w:r>
        <w:rPr>
          <w:rFonts w:hint="eastAsia" w:ascii="ˎ̥" w:hAnsi="ˎ̥" w:cs="Arial"/>
          <w:color w:val="000000"/>
          <w:lang w:val="en-US" w:eastAsia="zh-CN"/>
        </w:rPr>
        <w:t>405.22</w:t>
      </w:r>
      <w:r>
        <w:rPr>
          <w:rFonts w:ascii="ˎ̥" w:hAnsi="ˎ̥" w:cs="Arial"/>
          <w:color w:val="000000"/>
        </w:rPr>
        <w:t>万元。主要用于以下方面：</w:t>
      </w:r>
      <w:r>
        <w:rPr>
          <w:rFonts w:hint="eastAsia" w:ascii="ˎ̥" w:hAnsi="ˎ̥" w:cs="Arial"/>
          <w:color w:val="000000"/>
          <w:lang w:val="en-US" w:eastAsia="zh-CN"/>
        </w:rPr>
        <w:t>基本</w:t>
      </w:r>
      <w:r>
        <w:rPr>
          <w:rFonts w:ascii="ˎ̥" w:hAnsi="ˎ̥" w:cs="Arial"/>
          <w:color w:val="000000"/>
        </w:rPr>
        <w:t>支出</w:t>
      </w:r>
      <w:r>
        <w:rPr>
          <w:rFonts w:hint="eastAsia" w:ascii="ˎ̥" w:hAnsi="ˎ̥" w:cs="Arial"/>
          <w:color w:val="000000"/>
          <w:lang w:val="en-US" w:eastAsia="zh-CN"/>
        </w:rPr>
        <w:t>306.22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  <w:lang w:val="en-US" w:eastAsia="zh-CN"/>
        </w:rPr>
        <w:t>75.57</w:t>
      </w:r>
      <w:r>
        <w:rPr>
          <w:rFonts w:ascii="ˎ̥" w:hAnsi="ˎ̥" w:cs="Arial"/>
          <w:color w:val="000000"/>
        </w:rPr>
        <w:t>%；</w:t>
      </w:r>
      <w:r>
        <w:rPr>
          <w:rFonts w:hint="eastAsia" w:ascii="ˎ̥" w:hAnsi="ˎ̥" w:cs="Arial"/>
          <w:color w:val="000000"/>
          <w:lang w:val="en-US" w:eastAsia="zh-CN"/>
        </w:rPr>
        <w:t>项目</w:t>
      </w:r>
      <w:r>
        <w:rPr>
          <w:rFonts w:ascii="ˎ̥" w:hAnsi="ˎ̥" w:cs="Arial"/>
          <w:color w:val="000000"/>
        </w:rPr>
        <w:t>支出</w:t>
      </w:r>
      <w:r>
        <w:rPr>
          <w:rFonts w:hint="eastAsia" w:ascii="ˎ̥" w:hAnsi="ˎ̥" w:cs="Arial"/>
          <w:color w:val="000000"/>
        </w:rPr>
        <w:t xml:space="preserve"> </w:t>
      </w:r>
      <w:r>
        <w:rPr>
          <w:rFonts w:hint="eastAsia" w:ascii="ˎ̥" w:hAnsi="ˎ̥" w:cs="Arial"/>
          <w:color w:val="000000"/>
          <w:lang w:val="en-US" w:eastAsia="zh-CN"/>
        </w:rPr>
        <w:t>99</w:t>
      </w:r>
      <w:r>
        <w:rPr>
          <w:rFonts w:ascii="ˎ̥" w:hAnsi="ˎ̥" w:cs="Arial"/>
          <w:color w:val="000000"/>
        </w:rPr>
        <w:t>万元，占</w:t>
      </w:r>
      <w:r>
        <w:rPr>
          <w:rFonts w:hint="eastAsia" w:ascii="ˎ̥" w:hAnsi="ˎ̥" w:cs="Arial"/>
          <w:color w:val="000000"/>
          <w:lang w:val="en-US" w:eastAsia="zh-CN"/>
        </w:rPr>
        <w:t>24.43</w:t>
      </w:r>
      <w:r>
        <w:rPr>
          <w:rFonts w:ascii="ˎ̥" w:hAnsi="ˎ̥" w:cs="Arial"/>
          <w:color w:val="000000"/>
        </w:rPr>
        <w:t>%。</w:t>
      </w:r>
    </w:p>
    <w:p>
      <w:pPr>
        <w:pStyle w:val="6"/>
        <w:numPr>
          <w:numId w:val="0"/>
        </w:numPr>
        <w:spacing w:line="360" w:lineRule="auto"/>
        <w:rPr>
          <w:rStyle w:val="9"/>
          <w:rFonts w:hint="default" w:ascii="ˎ̥" w:hAnsi="ˎ̥" w:eastAsia="宋体" w:cs="Arial"/>
          <w:color w:val="000000"/>
          <w:lang w:val="en-US" w:eastAsia="zh-CN"/>
        </w:rPr>
      </w:pPr>
    </w:p>
    <w:p>
      <w:pPr>
        <w:pStyle w:val="6"/>
        <w:numPr>
          <w:ilvl w:val="0"/>
          <w:numId w:val="1"/>
        </w:numPr>
        <w:spacing w:line="360" w:lineRule="auto"/>
        <w:ind w:firstLine="482" w:firstLineChars="200"/>
        <w:rPr>
          <w:rStyle w:val="9"/>
          <w:rFonts w:hint="default" w:ascii="ˎ̥" w:hAnsi="ˎ̥" w:eastAsia="宋体" w:cs="Arial"/>
          <w:color w:val="000000"/>
          <w:lang w:val="en-US" w:eastAsia="zh-CN"/>
        </w:rPr>
      </w:pPr>
      <w:r>
        <w:rPr>
          <w:rStyle w:val="9"/>
          <w:rFonts w:ascii="ˎ̥" w:hAnsi="ˎ̥" w:cs="Arial"/>
          <w:color w:val="000000"/>
        </w:rPr>
        <w:t>一般公共预算</w:t>
      </w:r>
      <w:r>
        <w:rPr>
          <w:rStyle w:val="9"/>
          <w:rFonts w:hint="eastAsia" w:ascii="ˎ̥" w:hAnsi="ˎ̥" w:cs="Arial"/>
          <w:color w:val="000000"/>
          <w:lang w:val="en-US" w:eastAsia="zh-CN"/>
        </w:rPr>
        <w:t>基本</w:t>
      </w:r>
      <w:r>
        <w:rPr>
          <w:rStyle w:val="9"/>
          <w:rFonts w:ascii="ˎ̥" w:hAnsi="ˎ̥" w:cs="Arial"/>
          <w:color w:val="000000"/>
        </w:rPr>
        <w:t>支出预算情况说明</w:t>
      </w:r>
    </w:p>
    <w:p>
      <w:pPr>
        <w:pStyle w:val="6"/>
        <w:numPr>
          <w:ilvl w:val="0"/>
          <w:numId w:val="0"/>
        </w:numPr>
        <w:spacing w:line="360" w:lineRule="auto"/>
        <w:ind w:firstLine="480" w:firstLineChars="200"/>
        <w:rPr>
          <w:rStyle w:val="9"/>
          <w:rFonts w:hint="eastAsia" w:ascii="ˎ̥" w:hAnsi="ˎ̥" w:cs="Arial"/>
          <w:b w:val="0"/>
          <w:bCs w:val="0"/>
          <w:color w:val="000000"/>
          <w:lang w:val="en-US" w:eastAsia="zh-CN"/>
        </w:rPr>
      </w:pP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年一般公共预算</w:t>
      </w:r>
      <w:r>
        <w:rPr>
          <w:rFonts w:hint="eastAsia" w:ascii="ˎ̥" w:hAnsi="ˎ̥" w:cs="Arial"/>
          <w:color w:val="000000"/>
          <w:lang w:val="en-US" w:eastAsia="zh-CN"/>
        </w:rPr>
        <w:t>基本</w:t>
      </w:r>
      <w:r>
        <w:rPr>
          <w:rFonts w:ascii="ˎ̥" w:hAnsi="ˎ̥" w:cs="Arial"/>
          <w:color w:val="000000"/>
        </w:rPr>
        <w:t>支出为</w:t>
      </w:r>
      <w:r>
        <w:rPr>
          <w:rFonts w:hint="eastAsia" w:ascii="ˎ̥" w:hAnsi="ˎ̥" w:cs="Arial"/>
          <w:color w:val="000000"/>
          <w:lang w:val="en-US" w:eastAsia="zh-CN"/>
        </w:rPr>
        <w:t>306.22</w:t>
      </w:r>
      <w:r>
        <w:rPr>
          <w:rFonts w:ascii="ˎ̥" w:hAnsi="ˎ̥" w:cs="Arial"/>
          <w:color w:val="000000"/>
        </w:rPr>
        <w:t>万元</w:t>
      </w:r>
      <w:r>
        <w:rPr>
          <w:rFonts w:hint="eastAsia" w:ascii="ˎ̥" w:hAnsi="ˎ̥" w:cs="Arial"/>
          <w:color w:val="000000"/>
          <w:lang w:eastAsia="zh-CN"/>
        </w:rPr>
        <w:t>，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其中：</w:t>
      </w:r>
      <w:r>
        <w:rPr>
          <w:rStyle w:val="9"/>
          <w:rFonts w:hint="eastAsia" w:ascii="ˎ̥" w:hAnsi="ˎ̥" w:cs="Arial"/>
          <w:b w:val="0"/>
          <w:bCs w:val="0"/>
          <w:color w:val="000000"/>
          <w:lang w:val="en-US" w:eastAsia="zh-CN"/>
        </w:rPr>
        <w:t>工资福利支出266.87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万元，主要包括：基本工资、津贴补贴、奖金、社会保障缴费、伙食补助费、绩效工资、其他工资福利支出。</w:t>
      </w:r>
      <w:r>
        <w:rPr>
          <w:rStyle w:val="9"/>
          <w:rFonts w:hint="eastAsia" w:ascii="ˎ̥" w:hAnsi="ˎ̥" w:cs="Arial"/>
          <w:b w:val="0"/>
          <w:bCs w:val="0"/>
          <w:color w:val="000000"/>
          <w:lang w:val="en-US" w:eastAsia="zh-CN"/>
        </w:rPr>
        <w:t>商品和服务支出39.35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万元，主要包括：办公费、印刷费、咨询费、手续费、水费、电费、邮电费、取暖费、物业管理费、差旅费、因公出国（境）费、维 修（护）费、租赁费、会议费、培训费、公务接待费、专用材料费、劳务费、委托业务费、工会经费、福利费、公务用车运行维护费、其他交通费用、其他商品和服务支出，办公设备购置、大型修缮、信息网络及软件购置更新。</w:t>
      </w:r>
    </w:p>
    <w:p>
      <w:pPr>
        <w:pStyle w:val="6"/>
        <w:spacing w:line="360" w:lineRule="auto"/>
        <w:ind w:firstLine="482" w:firstLineChars="200"/>
        <w:rPr>
          <w:rStyle w:val="9"/>
          <w:rFonts w:hint="eastAsia" w:ascii="ˎ̥" w:hAnsi="ˎ̥" w:cs="Arial"/>
          <w:color w:val="000000"/>
          <w:lang w:val="en-US" w:eastAsia="zh-CN"/>
        </w:rPr>
      </w:pPr>
    </w:p>
    <w:p>
      <w:pPr>
        <w:pStyle w:val="6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9"/>
          <w:rFonts w:hint="eastAsia" w:ascii="ˎ̥" w:hAnsi="ˎ̥" w:cs="Arial"/>
          <w:color w:val="000000"/>
          <w:lang w:val="en-US" w:eastAsia="zh-CN"/>
        </w:rPr>
        <w:t>七</w:t>
      </w:r>
      <w:r>
        <w:rPr>
          <w:rStyle w:val="9"/>
          <w:rFonts w:ascii="ˎ̥" w:hAnsi="ˎ̥" w:cs="Arial"/>
          <w:color w:val="000000"/>
        </w:rPr>
        <w:t>、支出预算经济分类情况说明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按照《财政部关于印发&lt;支出经济分类科目改革方案&gt;的通知》(财预〔2017〕98号)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</w:t>
      </w:r>
      <w:r>
        <w:rPr>
          <w:rFonts w:hint="eastAsia" w:ascii="ˎ̥" w:hAnsi="ˎ̥" w:cs="Arial"/>
          <w:color w:val="000000"/>
        </w:rPr>
        <w:t>局</w:t>
      </w:r>
      <w:r>
        <w:rPr>
          <w:rFonts w:ascii="ˎ̥" w:hAnsi="ˎ̥" w:cs="Arial"/>
          <w:color w:val="000000"/>
        </w:rPr>
        <w:t>《支出经济分类汇总表》由上年仅反映一般公共预算基本支出经济分类科目预算，调整为按两套经济分类科目分别反映不同资金来源的全部预算支出。</w:t>
      </w:r>
    </w:p>
    <w:p>
      <w:pPr>
        <w:pStyle w:val="6"/>
        <w:spacing w:line="360" w:lineRule="auto"/>
        <w:rPr>
          <w:rStyle w:val="9"/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ind w:firstLine="241" w:firstLineChars="100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　</w:t>
      </w:r>
      <w:r>
        <w:rPr>
          <w:rStyle w:val="9"/>
          <w:rFonts w:hint="eastAsia" w:ascii="ˎ̥" w:hAnsi="ˎ̥" w:cs="Arial"/>
          <w:color w:val="000000"/>
          <w:lang w:val="en-US" w:eastAsia="zh-CN"/>
        </w:rPr>
        <w:t>八</w:t>
      </w:r>
      <w:r>
        <w:rPr>
          <w:rStyle w:val="9"/>
          <w:rFonts w:ascii="ˎ̥" w:hAnsi="ˎ̥" w:cs="Arial"/>
          <w:color w:val="000000"/>
        </w:rPr>
        <w:t>、 “三公”经费支出预算情况说明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年“三公”经费预算为</w:t>
      </w:r>
      <w:r>
        <w:rPr>
          <w:rFonts w:hint="eastAsia" w:ascii="ˎ̥" w:hAnsi="ˎ̥" w:cs="Arial"/>
          <w:color w:val="000000"/>
        </w:rPr>
        <w:t>3</w:t>
      </w:r>
      <w:r>
        <w:rPr>
          <w:rFonts w:ascii="ˎ̥" w:hAnsi="ˎ̥" w:cs="Arial"/>
          <w:color w:val="000000"/>
        </w:rPr>
        <w:t>万元。20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年“三公”经费支出预算数比20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ascii="ˎ̥" w:hAnsi="ˎ̥" w:cs="Arial"/>
          <w:color w:val="000000"/>
        </w:rPr>
        <w:t>年预算相比无增加。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具体支出情况如下：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(一)</w:t>
      </w:r>
      <w:r>
        <w:rPr>
          <w:rFonts w:hint="eastAsia" w:ascii="ˎ̥" w:hAnsi="ˎ̥" w:cs="Arial"/>
          <w:color w:val="000000"/>
        </w:rPr>
        <w:t>平桥区委老干部局202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hint="eastAsia" w:ascii="ˎ̥" w:hAnsi="ˎ̥" w:cs="Arial"/>
          <w:color w:val="000000"/>
        </w:rPr>
        <w:t>年无</w:t>
      </w:r>
      <w:r>
        <w:rPr>
          <w:rFonts w:ascii="ˎ̥" w:hAnsi="ˎ̥" w:cs="Arial"/>
          <w:color w:val="000000"/>
        </w:rPr>
        <w:t>因公出国(境)</w:t>
      </w:r>
      <w:r>
        <w:rPr>
          <w:rFonts w:hint="eastAsia" w:ascii="ˎ̥" w:hAnsi="ˎ̥" w:cs="Arial"/>
          <w:color w:val="000000"/>
        </w:rPr>
        <w:t>预算</w:t>
      </w:r>
      <w:r>
        <w:rPr>
          <w:rFonts w:ascii="ˎ̥" w:hAnsi="ˎ̥" w:cs="Arial"/>
          <w:color w:val="000000"/>
        </w:rPr>
        <w:t>费</w:t>
      </w:r>
      <w:r>
        <w:rPr>
          <w:rFonts w:hint="eastAsia" w:ascii="ˎ̥" w:hAnsi="ˎ̥" w:cs="Arial"/>
          <w:color w:val="000000"/>
        </w:rPr>
        <w:t>用支出。预算数与20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hint="eastAsia" w:ascii="ˎ̥" w:hAnsi="ˎ̥" w:cs="Arial"/>
          <w:color w:val="000000"/>
        </w:rPr>
        <w:t>年持平。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(二)公务用车购置及运行费</w:t>
      </w:r>
      <w:r>
        <w:rPr>
          <w:rFonts w:hint="eastAsia" w:ascii="ˎ̥" w:hAnsi="ˎ̥" w:cs="Arial"/>
          <w:color w:val="000000"/>
        </w:rPr>
        <w:t>3</w:t>
      </w:r>
      <w:r>
        <w:rPr>
          <w:rFonts w:ascii="ˎ̥" w:hAnsi="ˎ̥" w:cs="Arial"/>
          <w:color w:val="000000"/>
        </w:rPr>
        <w:t>万元，其中，</w:t>
      </w:r>
      <w:r>
        <w:rPr>
          <w:rFonts w:hint="eastAsia" w:ascii="ˎ̥" w:hAnsi="ˎ̥" w:cs="Arial"/>
          <w:color w:val="000000"/>
          <w:lang w:val="en-US" w:eastAsia="zh-CN"/>
        </w:rPr>
        <w:t>公务用车购置费0万元、</w:t>
      </w:r>
      <w:r>
        <w:rPr>
          <w:rFonts w:ascii="ˎ̥" w:hAnsi="ˎ̥" w:cs="Arial"/>
          <w:color w:val="000000"/>
        </w:rPr>
        <w:t>公务用车</w:t>
      </w:r>
      <w:r>
        <w:rPr>
          <w:rFonts w:hint="eastAsia" w:ascii="ˎ̥" w:hAnsi="ˎ̥" w:cs="Arial"/>
          <w:color w:val="000000"/>
        </w:rPr>
        <w:t>运行及维护</w:t>
      </w:r>
      <w:r>
        <w:rPr>
          <w:rFonts w:ascii="ˎ̥" w:hAnsi="ˎ̥" w:cs="Arial"/>
          <w:color w:val="000000"/>
        </w:rPr>
        <w:t>费</w:t>
      </w:r>
      <w:r>
        <w:rPr>
          <w:rFonts w:hint="eastAsia" w:ascii="ˎ̥" w:hAnsi="ˎ̥" w:cs="Arial"/>
          <w:color w:val="000000"/>
        </w:rPr>
        <w:t>3</w:t>
      </w:r>
      <w:r>
        <w:rPr>
          <w:rFonts w:ascii="ˎ̥" w:hAnsi="ˎ̥" w:cs="Arial"/>
          <w:color w:val="000000"/>
        </w:rPr>
        <w:t>万元</w:t>
      </w:r>
      <w:r>
        <w:rPr>
          <w:rFonts w:hint="eastAsia" w:ascii="ˎ̥" w:hAnsi="ˎ̥" w:cs="Arial"/>
          <w:color w:val="000000"/>
        </w:rPr>
        <w:t>，</w:t>
      </w:r>
      <w:r>
        <w:rPr>
          <w:rFonts w:ascii="ˎ̥" w:hAnsi="ˎ̥" w:cs="Arial"/>
          <w:color w:val="000000"/>
        </w:rPr>
        <w:t>主要用于</w:t>
      </w:r>
      <w:r>
        <w:rPr>
          <w:rFonts w:hint="eastAsia" w:ascii="ˎ̥" w:hAnsi="ˎ̥" w:cs="Arial"/>
          <w:color w:val="000000"/>
        </w:rPr>
        <w:t>我局保留的1辆普通公务用车日常</w:t>
      </w:r>
      <w:r>
        <w:rPr>
          <w:rFonts w:ascii="ˎ̥" w:hAnsi="ˎ̥" w:cs="Arial"/>
          <w:color w:val="000000"/>
        </w:rPr>
        <w:t>开展工作所需公务用车的燃料费、维修费、过路过桥费、保险费等支出。预算数比20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ascii="ˎ̥" w:hAnsi="ˎ̥" w:cs="Arial"/>
          <w:color w:val="000000"/>
        </w:rPr>
        <w:t>年无增</w:t>
      </w:r>
      <w:r>
        <w:rPr>
          <w:rFonts w:hint="eastAsia" w:ascii="ˎ̥" w:hAnsi="ˎ̥" w:cs="Arial"/>
          <w:color w:val="000000"/>
        </w:rPr>
        <w:t>减变动</w:t>
      </w:r>
      <w:r>
        <w:rPr>
          <w:rFonts w:ascii="ˎ̥" w:hAnsi="ˎ̥" w:cs="Arial"/>
          <w:color w:val="000000"/>
        </w:rPr>
        <w:t>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(三</w:t>
      </w:r>
      <w:r>
        <w:rPr>
          <w:rFonts w:hint="eastAsia" w:ascii="ˎ̥" w:hAnsi="ˎ̥" w:cs="Arial"/>
          <w:color w:val="000000"/>
        </w:rPr>
        <w:t>）平桥区委老干部局202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hint="eastAsia" w:ascii="ˎ̥" w:hAnsi="ˎ̥" w:cs="Arial"/>
          <w:color w:val="000000"/>
        </w:rPr>
        <w:t>年无</w:t>
      </w:r>
      <w:r>
        <w:rPr>
          <w:rFonts w:ascii="ˎ̥" w:hAnsi="ˎ̥" w:cs="Arial"/>
          <w:color w:val="000000"/>
        </w:rPr>
        <w:t>公务接待</w:t>
      </w:r>
      <w:r>
        <w:rPr>
          <w:rFonts w:hint="eastAsia" w:ascii="ˎ̥" w:hAnsi="ˎ̥" w:cs="Arial"/>
          <w:color w:val="000000"/>
        </w:rPr>
        <w:t>预算</w:t>
      </w:r>
      <w:r>
        <w:rPr>
          <w:rFonts w:ascii="ˎ̥" w:hAnsi="ˎ̥" w:cs="Arial"/>
          <w:color w:val="000000"/>
        </w:rPr>
        <w:t>费</w:t>
      </w:r>
      <w:r>
        <w:rPr>
          <w:rFonts w:hint="eastAsia" w:ascii="ˎ̥" w:hAnsi="ˎ̥" w:cs="Arial"/>
          <w:color w:val="000000"/>
        </w:rPr>
        <w:t>用支出</w:t>
      </w:r>
      <w:r>
        <w:rPr>
          <w:rFonts w:ascii="ˎ̥" w:hAnsi="ˎ̥" w:cs="Arial"/>
          <w:color w:val="000000"/>
        </w:rPr>
        <w:t>。</w:t>
      </w:r>
      <w:r>
        <w:rPr>
          <w:rFonts w:hint="eastAsia" w:ascii="ˎ̥" w:hAnsi="ˎ̥" w:cs="Arial"/>
          <w:color w:val="000000"/>
        </w:rPr>
        <w:t>预算数与20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hint="eastAsia" w:ascii="ˎ̥" w:hAnsi="ˎ̥" w:cs="Arial"/>
          <w:color w:val="000000"/>
        </w:rPr>
        <w:t>年持平。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　</w:t>
      </w:r>
      <w:r>
        <w:rPr>
          <w:rFonts w:hint="eastAsia" w:ascii="黑体" w:hAnsi="黑体" w:eastAsia="黑体" w:cs="黑体"/>
          <w:color w:val="000000"/>
          <w:lang w:val="en-US" w:eastAsia="zh-CN"/>
        </w:rPr>
        <w:t>九</w:t>
      </w:r>
      <w:r>
        <w:rPr>
          <w:rStyle w:val="9"/>
          <w:rFonts w:hint="eastAsia" w:ascii="黑体" w:hAnsi="黑体" w:eastAsia="黑体" w:cs="黑体"/>
          <w:color w:val="000000"/>
        </w:rPr>
        <w:t>、</w:t>
      </w:r>
      <w:r>
        <w:rPr>
          <w:rStyle w:val="9"/>
          <w:rFonts w:ascii="ˎ̥" w:hAnsi="ˎ̥" w:cs="Arial"/>
          <w:color w:val="000000"/>
        </w:rPr>
        <w:t>政府性基金预算支出决算情况说明</w:t>
      </w:r>
    </w:p>
    <w:p>
      <w:pPr>
        <w:pStyle w:val="6"/>
        <w:spacing w:line="360" w:lineRule="auto"/>
        <w:rPr>
          <w:rStyle w:val="9"/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年没有使用政府性基金预算拨款安排的支出。</w:t>
      </w:r>
      <w:r>
        <w:rPr>
          <w:rFonts w:hint="eastAsia" w:ascii="ˎ̥" w:hAnsi="ˎ̥" w:cs="Arial"/>
          <w:color w:val="000000"/>
          <w:lang w:val="en-US" w:eastAsia="zh-CN"/>
        </w:rPr>
        <w:t xml:space="preserve"> </w:t>
      </w:r>
    </w:p>
    <w:p>
      <w:pPr>
        <w:pStyle w:val="6"/>
        <w:spacing w:line="360" w:lineRule="auto"/>
        <w:ind w:firstLine="482" w:firstLineChars="200"/>
        <w:rPr>
          <w:rStyle w:val="9"/>
          <w:rFonts w:hint="eastAsia" w:ascii="ˎ̥" w:hAnsi="ˎ̥" w:cs="Arial"/>
          <w:color w:val="000000"/>
          <w:lang w:val="en-US" w:eastAsia="zh-CN"/>
        </w:rPr>
      </w:pPr>
    </w:p>
    <w:p>
      <w:pPr>
        <w:pStyle w:val="6"/>
        <w:spacing w:line="360" w:lineRule="auto"/>
        <w:ind w:firstLine="482" w:firstLineChars="200"/>
        <w:rPr>
          <w:rFonts w:ascii="ˎ̥" w:hAnsi="ˎ̥" w:cs="Arial"/>
          <w:color w:val="000000"/>
        </w:rPr>
      </w:pPr>
      <w:r>
        <w:rPr>
          <w:rStyle w:val="9"/>
          <w:rFonts w:hint="eastAsia" w:ascii="ˎ̥" w:hAnsi="ˎ̥" w:cs="Arial"/>
          <w:color w:val="000000"/>
          <w:lang w:val="en-US" w:eastAsia="zh-CN"/>
        </w:rPr>
        <w:t>十</w:t>
      </w:r>
      <w:r>
        <w:rPr>
          <w:rStyle w:val="9"/>
          <w:rFonts w:ascii="ˎ̥" w:hAnsi="ˎ̥" w:cs="Arial"/>
          <w:color w:val="000000"/>
        </w:rPr>
        <w:t>、其他重要事项的情况说明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(一)机关运行经费支出情况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Style w:val="9"/>
          <w:rFonts w:hint="eastAsia" w:ascii="ˎ̥" w:hAnsi="ˎ̥" w:cs="Arial"/>
          <w:b w:val="0"/>
          <w:bCs w:val="0"/>
          <w:color w:val="000000"/>
        </w:rPr>
        <w:t>平桥区委老干部局</w:t>
      </w:r>
      <w:r>
        <w:rPr>
          <w:rFonts w:ascii="ˎ̥" w:hAnsi="ˎ̥" w:cs="Arial"/>
          <w:color w:val="000000"/>
        </w:rPr>
        <w:t>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年机关运行经费支出预算</w:t>
      </w:r>
      <w:r>
        <w:rPr>
          <w:rFonts w:hint="eastAsia" w:ascii="ˎ̥" w:hAnsi="ˎ̥" w:cs="Arial"/>
          <w:color w:val="000000"/>
        </w:rPr>
        <w:t>3</w:t>
      </w:r>
      <w:r>
        <w:rPr>
          <w:rFonts w:hint="eastAsia" w:ascii="ˎ̥" w:hAnsi="ˎ̥" w:cs="Arial"/>
          <w:color w:val="000000"/>
          <w:lang w:val="en-US" w:eastAsia="zh-CN"/>
        </w:rPr>
        <w:t>9.35</w:t>
      </w:r>
      <w:r>
        <w:rPr>
          <w:rFonts w:ascii="ˎ̥" w:hAnsi="ˎ̥" w:cs="Arial"/>
          <w:color w:val="000000"/>
        </w:rPr>
        <w:t>万元，主要保障机关人员工资发放、机构正常运转及正常履职需要。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(二)政府采购支出情况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20</w:t>
      </w:r>
      <w:r>
        <w:rPr>
          <w:rFonts w:hint="eastAsia" w:ascii="ˎ̥" w:hAnsi="ˎ̥" w:cs="Arial"/>
          <w:color w:val="000000"/>
        </w:rPr>
        <w:t>2</w:t>
      </w:r>
      <w:r>
        <w:rPr>
          <w:rFonts w:hint="eastAsia" w:ascii="ˎ̥" w:hAnsi="ˎ̥" w:cs="Arial"/>
          <w:color w:val="000000"/>
          <w:lang w:val="en-US" w:eastAsia="zh-CN"/>
        </w:rPr>
        <w:t>2</w:t>
      </w:r>
      <w:r>
        <w:rPr>
          <w:rFonts w:ascii="ˎ̥" w:hAnsi="ˎ̥" w:cs="Arial"/>
          <w:color w:val="000000"/>
        </w:rPr>
        <w:t>年政府采购预算</w:t>
      </w:r>
      <w:r>
        <w:rPr>
          <w:rFonts w:hint="eastAsia" w:ascii="ˎ̥" w:hAnsi="ˎ̥" w:cs="Arial"/>
          <w:color w:val="000000"/>
        </w:rPr>
        <w:t>平桥区委老干部局暂无</w:t>
      </w:r>
      <w:r>
        <w:rPr>
          <w:rFonts w:ascii="ˎ̥" w:hAnsi="ˎ̥" w:cs="Arial"/>
          <w:color w:val="000000"/>
        </w:rPr>
        <w:t>政府采购项目</w:t>
      </w:r>
      <w:r>
        <w:rPr>
          <w:rFonts w:hint="eastAsia" w:ascii="ˎ̥" w:hAnsi="ˎ̥" w:cs="Arial"/>
          <w:color w:val="000000"/>
        </w:rPr>
        <w:t>，如有采购再行申报。20</w:t>
      </w:r>
      <w:r>
        <w:rPr>
          <w:rFonts w:hint="eastAsia" w:ascii="ˎ̥" w:hAnsi="ˎ̥" w:cs="Arial"/>
          <w:color w:val="000000"/>
          <w:lang w:val="en-US" w:eastAsia="zh-CN"/>
        </w:rPr>
        <w:t>22</w:t>
      </w:r>
      <w:r>
        <w:rPr>
          <w:rFonts w:hint="eastAsia" w:ascii="ˎ̥" w:hAnsi="ˎ̥" w:cs="Arial"/>
          <w:color w:val="000000"/>
        </w:rPr>
        <w:t>年政府采购预算安排 0万元，其中：政府采购货物预算0万元、政府采购工程预算0万元、政府采购服务预算0万元。</w:t>
      </w:r>
    </w:p>
    <w:p>
      <w:pPr>
        <w:pStyle w:val="6"/>
        <w:spacing w:line="360" w:lineRule="auto"/>
        <w:ind w:firstLine="240" w:firstLineChars="100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（三）</w:t>
      </w:r>
      <w:r>
        <w:rPr>
          <w:rFonts w:hint="eastAsia" w:ascii="ˎ̥" w:hAnsi="ˎ̥" w:cs="Arial"/>
          <w:color w:val="000000"/>
        </w:rPr>
        <w:t>绩效目标设置情况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我</w:t>
      </w:r>
      <w:r>
        <w:rPr>
          <w:rFonts w:hint="eastAsia" w:ascii="ˎ̥" w:hAnsi="ˎ̥" w:cs="Arial"/>
          <w:color w:val="000000"/>
        </w:rPr>
        <w:t>单位</w:t>
      </w:r>
      <w:r>
        <w:rPr>
          <w:rFonts w:hint="eastAsia" w:ascii="ˎ̥" w:hAnsi="ˎ̥" w:cs="Arial"/>
          <w:color w:val="000000"/>
          <w:lang w:eastAsia="zh-CN"/>
        </w:rPr>
        <w:t>2022年</w:t>
      </w:r>
      <w:r>
        <w:rPr>
          <w:rFonts w:hint="eastAsia" w:ascii="ˎ̥" w:hAnsi="ˎ̥" w:cs="Arial"/>
          <w:color w:val="000000"/>
        </w:rPr>
        <w:t>预算项目均按要求编制了绩效目标，从项目产出、项目效益、满意度等方面设置了绩效目标，综合反映项目预期完成的数量、实效、质量，预期达到的社会经济效益、可持续影响以及对象满意度等情况</w:t>
      </w:r>
      <w:r>
        <w:rPr>
          <w:rFonts w:ascii="ˎ̥" w:hAnsi="ˎ̥" w:cs="Arial"/>
          <w:color w:val="000000"/>
        </w:rPr>
        <w:t>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  <w:lang w:eastAsia="zh-CN"/>
        </w:rPr>
        <w:t>（</w:t>
      </w:r>
      <w:r>
        <w:rPr>
          <w:rFonts w:hint="eastAsia" w:ascii="ˎ̥" w:hAnsi="ˎ̥" w:cs="Arial"/>
          <w:color w:val="000000"/>
          <w:lang w:val="en-US" w:eastAsia="zh-CN"/>
        </w:rPr>
        <w:t>四</w:t>
      </w:r>
      <w:r>
        <w:rPr>
          <w:rFonts w:hint="eastAsia" w:ascii="ˎ̥" w:hAnsi="ˎ̥" w:cs="Arial"/>
          <w:color w:val="000000"/>
          <w:lang w:eastAsia="zh-CN"/>
        </w:rPr>
        <w:t>）</w:t>
      </w:r>
      <w:r>
        <w:rPr>
          <w:rFonts w:ascii="ˎ̥" w:hAnsi="ˎ̥" w:cs="Arial"/>
          <w:color w:val="000000"/>
        </w:rPr>
        <w:t>国有资产占用情况。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20</w:t>
      </w:r>
      <w:r>
        <w:rPr>
          <w:rFonts w:hint="eastAsia" w:ascii="ˎ̥" w:hAnsi="ˎ̥" w:cs="Arial"/>
          <w:color w:val="000000"/>
          <w:lang w:val="en-US" w:eastAsia="zh-CN"/>
        </w:rPr>
        <w:t>21</w:t>
      </w:r>
      <w:r>
        <w:rPr>
          <w:rFonts w:ascii="ˎ̥" w:hAnsi="ˎ̥" w:cs="Arial"/>
          <w:color w:val="000000"/>
        </w:rPr>
        <w:t>年期末，</w:t>
      </w:r>
      <w:r>
        <w:rPr>
          <w:rFonts w:hint="eastAsia" w:ascii="ˎ̥" w:hAnsi="ˎ̥" w:cs="Arial"/>
          <w:color w:val="000000"/>
        </w:rPr>
        <w:t>平桥区委老干部局</w:t>
      </w:r>
      <w:r>
        <w:rPr>
          <w:rFonts w:ascii="ˎ̥" w:hAnsi="ˎ̥" w:cs="Arial"/>
          <w:color w:val="000000"/>
        </w:rPr>
        <w:t>有车辆</w:t>
      </w:r>
      <w:r>
        <w:rPr>
          <w:rFonts w:hint="eastAsia" w:ascii="ˎ̥" w:hAnsi="ˎ̥" w:cs="Arial"/>
          <w:color w:val="000000"/>
        </w:rPr>
        <w:t>1</w:t>
      </w:r>
      <w:r>
        <w:rPr>
          <w:rFonts w:ascii="ˎ̥" w:hAnsi="ˎ̥" w:cs="Arial"/>
          <w:color w:val="000000"/>
        </w:rPr>
        <w:t>辆。公车改革后，核准</w:t>
      </w:r>
      <w:r>
        <w:rPr>
          <w:rFonts w:hint="eastAsia" w:ascii="ˎ̥" w:hAnsi="ˎ̥" w:cs="Arial"/>
          <w:color w:val="000000"/>
        </w:rPr>
        <w:t>平桥区委老干部局1</w:t>
      </w:r>
      <w:r>
        <w:rPr>
          <w:rFonts w:ascii="ˎ̥" w:hAnsi="ˎ̥" w:cs="Arial"/>
          <w:color w:val="000000"/>
        </w:rPr>
        <w:t>辆</w:t>
      </w:r>
      <w:r>
        <w:rPr>
          <w:rFonts w:hint="eastAsia" w:ascii="ˎ̥" w:hAnsi="ˎ̥" w:cs="Arial"/>
          <w:color w:val="000000"/>
        </w:rPr>
        <w:t>老干部服务用车</w:t>
      </w:r>
      <w:r>
        <w:rPr>
          <w:rFonts w:ascii="ˎ̥" w:hAnsi="ˎ̥" w:cs="Arial"/>
          <w:color w:val="000000"/>
        </w:rPr>
        <w:t>。</w:t>
      </w:r>
      <w:r>
        <w:rPr>
          <w:rFonts w:hint="eastAsia" w:ascii="ˎ̥" w:hAnsi="ˎ̥" w:cs="Arial"/>
          <w:color w:val="000000"/>
        </w:rPr>
        <w:t>单价50万元以上的通用设备0台（套），单位价值100万以上的专业设备0台（套）。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(五)专项转移支付项目情况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</w:t>
      </w:r>
      <w:r>
        <w:rPr>
          <w:rFonts w:hint="eastAsia" w:ascii="ˎ̥" w:hAnsi="ˎ̥" w:cs="Arial"/>
          <w:color w:val="000000"/>
        </w:rPr>
        <w:t>平桥区委老干部局</w:t>
      </w:r>
      <w:r>
        <w:rPr>
          <w:rFonts w:ascii="ˎ̥" w:hAnsi="ˎ̥" w:cs="Arial"/>
          <w:color w:val="000000"/>
        </w:rPr>
        <w:t>没有负责管理的专项转移支付项目。</w:t>
      </w: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</w:t>
      </w: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  <w:bookmarkStart w:id="0" w:name="_GoBack"/>
      <w:bookmarkEnd w:id="0"/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第三部分</w:t>
      </w:r>
    </w:p>
    <w:p>
      <w:pPr>
        <w:pStyle w:val="6"/>
        <w:spacing w:line="360" w:lineRule="auto"/>
        <w:jc w:val="center"/>
        <w:rPr>
          <w:rFonts w:ascii="ˎ̥" w:hAnsi="ˎ̥" w:cs="Arial"/>
          <w:color w:val="000000"/>
        </w:rPr>
      </w:pPr>
      <w:r>
        <w:rPr>
          <w:rStyle w:val="9"/>
          <w:rFonts w:ascii="ˎ̥" w:hAnsi="ˎ̥" w:cs="Arial"/>
          <w:color w:val="000000"/>
        </w:rPr>
        <w:t>名词解释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一、财政拨款收入：是指</w:t>
      </w:r>
      <w:r>
        <w:rPr>
          <w:rFonts w:hint="eastAsia" w:ascii="ˎ̥" w:hAnsi="ˎ̥" w:cs="Arial"/>
          <w:color w:val="000000"/>
        </w:rPr>
        <w:t>区</w:t>
      </w:r>
      <w:r>
        <w:rPr>
          <w:rFonts w:ascii="ˎ̥" w:hAnsi="ˎ̥" w:cs="Arial"/>
          <w:color w:val="000000"/>
        </w:rPr>
        <w:t>级财政当年拨付的资金。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二、事业收入：是指事业单位开展专业活动及辅助活动所取得的收入。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三、其他收入：是指部门取得的除“财政拨款”、“事业收入”、“事业单位经营收入”等以外的收入。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四、用事业基金弥补收支差额：是指事业单位在当年的“财政拨款收入”、“事业收入”、“经营收入”和“其他收入”不足以安排当年支出的情况下，使用以前年度积累的事业基金(即事业单位以前各年度收支相抵后，按国家规定提取、用于弥补以后年度收支差额的基金)弥补当年收支缺口的资金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五、基本支出：是指为保障机构正常运转、完成日常工作任务所必需的开支，其内容包括人员经费和日常公用经费两部分。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六、项目支出：是指在基本支出之外，为完成特定的行政工作任务或事业发展目标所发生的支出。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七、“三公”经费：是指纳入</w:t>
      </w:r>
      <w:r>
        <w:rPr>
          <w:rFonts w:hint="eastAsia" w:ascii="ˎ̥" w:hAnsi="ˎ̥" w:cs="Arial"/>
          <w:color w:val="000000"/>
        </w:rPr>
        <w:t>区</w:t>
      </w:r>
      <w:r>
        <w:rPr>
          <w:rFonts w:ascii="ˎ̥" w:hAnsi="ˎ̥" w:cs="Arial"/>
          <w:color w:val="000000"/>
        </w:rPr>
        <w:t>级财政预算管理，部门使用财政拨款安排的因公出国(境)费、公务用车购置及运行费和公务接待费。其中，因公出国(境)费反映单位公务出国(境)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(含外宾接待)支出。</w:t>
      </w:r>
    </w:p>
    <w:p>
      <w:pPr>
        <w:pStyle w:val="6"/>
        <w:spacing w:line="360" w:lineRule="auto"/>
        <w:rPr>
          <w:rFonts w:ascii="ˎ̥" w:hAnsi="ˎ̥" w:cs="Arial"/>
          <w:color w:val="000000"/>
        </w:rPr>
      </w:pPr>
      <w:r>
        <w:rPr>
          <w:rFonts w:ascii="ˎ̥" w:hAnsi="ˎ̥" w:cs="Arial"/>
          <w:color w:val="000000"/>
        </w:rPr>
        <w:t>　　八、机关运行经费：是指为保障行政单位(含参照公务员法管理的事业单位)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  <w:r>
        <w:rPr>
          <w:rFonts w:hint="eastAsia" w:ascii="ˎ̥" w:hAnsi="ˎ̥" w:cs="Arial"/>
          <w:color w:val="00000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29138C"/>
    <w:multiLevelType w:val="singleLevel"/>
    <w:tmpl w:val="F829138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1Y2E1OWE5ZDExNWM1ZGI4NWI5NjA3NzhkOGM4YzAifQ=="/>
  </w:docVars>
  <w:rsids>
    <w:rsidRoot w:val="007702DD"/>
    <w:rsid w:val="00064494"/>
    <w:rsid w:val="00130F22"/>
    <w:rsid w:val="001E11C1"/>
    <w:rsid w:val="00265699"/>
    <w:rsid w:val="00276FE5"/>
    <w:rsid w:val="002C7B8F"/>
    <w:rsid w:val="00384018"/>
    <w:rsid w:val="003E0854"/>
    <w:rsid w:val="004146AA"/>
    <w:rsid w:val="0048682E"/>
    <w:rsid w:val="00612445"/>
    <w:rsid w:val="00616BDC"/>
    <w:rsid w:val="007702DD"/>
    <w:rsid w:val="007A245D"/>
    <w:rsid w:val="008234D9"/>
    <w:rsid w:val="00824CF9"/>
    <w:rsid w:val="00825252"/>
    <w:rsid w:val="008A0896"/>
    <w:rsid w:val="009B47F7"/>
    <w:rsid w:val="00A92CC9"/>
    <w:rsid w:val="00AA1E85"/>
    <w:rsid w:val="00B1760E"/>
    <w:rsid w:val="00B27B61"/>
    <w:rsid w:val="00BC3970"/>
    <w:rsid w:val="00E02B8B"/>
    <w:rsid w:val="00E155CA"/>
    <w:rsid w:val="00E41115"/>
    <w:rsid w:val="00EB7842"/>
    <w:rsid w:val="00F3756F"/>
    <w:rsid w:val="041D5BA3"/>
    <w:rsid w:val="09253277"/>
    <w:rsid w:val="0B13248D"/>
    <w:rsid w:val="0F7972A3"/>
    <w:rsid w:val="16A37E88"/>
    <w:rsid w:val="17263282"/>
    <w:rsid w:val="1C4123B1"/>
    <w:rsid w:val="21F12378"/>
    <w:rsid w:val="26C559B0"/>
    <w:rsid w:val="28317876"/>
    <w:rsid w:val="29EC71EB"/>
    <w:rsid w:val="2ACB2973"/>
    <w:rsid w:val="2C716E0E"/>
    <w:rsid w:val="329C40E3"/>
    <w:rsid w:val="407A3452"/>
    <w:rsid w:val="49D91593"/>
    <w:rsid w:val="4FD02067"/>
    <w:rsid w:val="52DC266C"/>
    <w:rsid w:val="53785460"/>
    <w:rsid w:val="54FE6001"/>
    <w:rsid w:val="628C0C80"/>
    <w:rsid w:val="63B5033D"/>
    <w:rsid w:val="64784BBB"/>
    <w:rsid w:val="6B1F73E8"/>
    <w:rsid w:val="71D87C48"/>
    <w:rsid w:val="76DC6F62"/>
    <w:rsid w:val="7C93615F"/>
    <w:rsid w:val="7DB93AAE"/>
    <w:rsid w:val="BDDD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  <w:szCs w:val="24"/>
    </w:rPr>
  </w:style>
  <w:style w:type="paragraph" w:styleId="3">
    <w:name w:val="annotation text"/>
    <w:basedOn w:val="1"/>
    <w:semiHidden/>
    <w:unhideWhenUsed/>
    <w:qFormat/>
    <w:uiPriority w:val="0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</Pages>
  <Words>2898</Words>
  <Characters>3095</Characters>
  <Lines>22</Lines>
  <Paragraphs>6</Paragraphs>
  <TotalTime>2</TotalTime>
  <ScaleCrop>false</ScaleCrop>
  <LinksUpToDate>false</LinksUpToDate>
  <CharactersWithSpaces>3187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2018-05-03T17:56:00Z</dcterms:created>
  <dc:creator>larry</dc:creator>
  <cp:lastModifiedBy>付小倩</cp:lastModifiedBy>
  <dcterms:modified xsi:type="dcterms:W3CDTF">2023-04-28T03:39:53Z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1A60F593788C40AEB690DE2DE178CE6B</vt:lpwstr>
  </property>
</Properties>
</file>