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信阳市平桥区乡村振兴局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right="42"/>
        <w:jc w:val="center"/>
        <w:rPr>
          <w:rFonts w:hint="eastAsia" w:ascii="黑体" w:hAnsi="黑体" w:eastAsia="黑体" w:cs="Times New Roman"/>
          <w:sz w:val="52"/>
          <w:szCs w:val="52"/>
          <w:lang w:val="en-US" w:eastAsia="zh-CN"/>
        </w:rPr>
      </w:pPr>
      <w:r>
        <w:rPr>
          <w:rFonts w:hint="eastAsia" w:ascii="黑体" w:hAnsi="黑体" w:eastAsia="黑体" w:cs="Times New Roman"/>
          <w:sz w:val="52"/>
          <w:szCs w:val="52"/>
        </w:rPr>
        <w:t>2022年部门预算</w:t>
      </w:r>
      <w:r>
        <w:rPr>
          <w:rFonts w:hint="eastAsia" w:ascii="黑体" w:hAnsi="黑体" w:eastAsia="黑体" w:cs="Times New Roman"/>
          <w:sz w:val="52"/>
          <w:szCs w:val="52"/>
          <w:lang w:val="en-US" w:eastAsia="zh-CN"/>
        </w:rPr>
        <w:t>说明</w:t>
      </w: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kinsoku w:val="0"/>
        <w:overflowPunct w:val="0"/>
        <w:adjustRightInd w:val="0"/>
        <w:snapToGrid w:val="0"/>
        <w:spacing w:line="560" w:lineRule="exact"/>
        <w:ind w:right="3569" w:firstLine="482" w:firstLineChars="200"/>
        <w:rPr>
          <w:rFonts w:cs="黑体" w:asciiTheme="minorEastAsia" w:hAnsiTheme="minorEastAsia"/>
          <w:b/>
          <w:sz w:val="24"/>
          <w:szCs w:val="2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信阳市平桥区乡村振兴局部门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信阳市平桥区乡村振兴局部门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信阳市平桥区乡村振兴局部门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pStyle w:val="4"/>
        <w:spacing w:line="360" w:lineRule="auto"/>
        <w:jc w:val="both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　　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Style w:val="7"/>
          <w:rFonts w:cs="Arial" w:asciiTheme="minorEastAsia" w:hAnsiTheme="minorEastAsia"/>
          <w:color w:val="000000"/>
          <w:sz w:val="36"/>
          <w:szCs w:val="36"/>
        </w:rPr>
        <w:t>　</w:t>
      </w:r>
      <w:r>
        <w:rPr>
          <w:rFonts w:hint="eastAsia" w:asciiTheme="minorEastAsia" w:hAnsiTheme="minorEastAsia"/>
          <w:b/>
          <w:sz w:val="36"/>
          <w:szCs w:val="36"/>
        </w:rPr>
        <w:t>第一部分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36"/>
          <w:szCs w:val="36"/>
        </w:rPr>
        <w:t>信阳市平桥区乡村振兴局概况</w:t>
      </w:r>
    </w:p>
    <w:p>
      <w:pPr>
        <w:adjustRightInd w:val="0"/>
        <w:snapToGrid w:val="0"/>
        <w:spacing w:line="560" w:lineRule="exact"/>
        <w:ind w:firstLine="602" w:firstLineChars="200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一、信阳市平桥区乡村振兴局主要职能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贯彻落实国家、省、市有关巩固拓展脱贫攻坚成果与乡村振兴有效衔接工作的方针、政策，负责全区扶贫开发巩固拓展脱贫攻坚成果与乡村振兴有效衔接工作，研究制定项目管理、财务管理等规章制度，向农民群众和社会宣传有关的方针政策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（二）编制全区巩固拓展脱贫攻坚成果与乡村振兴有效衔接总体规划、年度计划，组织项目的申报、实施和检查验收，落实工程管护主体。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（三）组织调查农业后备资源，负责开发立项前的调查准备，建立项目库，确立推荐项目和组织评估论证。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（四）会同区财政局、银行搞好资金的筹集、支付报帐、办理借贷款、回收资金及财务管理。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五）负责巩固拓展脱贫攻坚成果与乡村振兴有效衔接的调查研究、人员培训、统计、文档及信息管理工作；搞好科技成果的推广和应用工作；组织全区社会乡村振兴工作，督促、指导、协调对口工作；负责全区巩固拓展脱贫攻坚成果与乡村振兴有效衔接的考核工作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（六）承办区政府交办的其他事项。</w:t>
      </w:r>
    </w:p>
    <w:p>
      <w:pPr>
        <w:adjustRightInd w:val="0"/>
        <w:snapToGrid w:val="0"/>
        <w:spacing w:line="560" w:lineRule="exact"/>
        <w:rPr>
          <w:rFonts w:hint="eastAsia" w:cs="Arial" w:asciiTheme="minorEastAsia" w:hAnsiTheme="minorEastAsia"/>
          <w:color w:val="000000"/>
          <w:kern w:val="0"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cs="Arial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kern w:val="0"/>
          <w:sz w:val="30"/>
          <w:szCs w:val="30"/>
        </w:rPr>
        <w:t>部门的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机构设置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（一）综合科。承担机关文秘、会务、机要、档案、保卫、办公自动化以及综合信息、保密、平安建设、政务公开等工作;承担机关日常工作。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人事科(宣传教育科)。承担机关人事、机构编制、工资福利和队伍建设等工作;负责机关的党群、离退休干部的管理服务、系统干部培训;承担对外宣传、新闻发布、舆情检测和单位门户网站的管理工作;及时掌握、反映扶贫开发工作的动态和信息，总结推广先进典型经验;负责组织指导全市贫困地区劳动力转移就业培训工作，基层新型经营组织负责人和致富带头人培训工作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扶贫开发指导科。负责全市专项扶贫项目库建设和项目报备;会同有关部门组织重大项目和专项项目的考察、评估、论证和审核;负责产业扶贫和电商扶贫、光伏扶贫等重大专项扶贫项目协调工作;承担扶贫综合改革试验工作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四）规划财务科。负责组织拟订全市扶贫开发中长期发展规划和年度计划;统筹落实相关政策;参与拟订财政扶贫专项资金分配管理，指导县级扶贫项目库建设;承担扶贫开发各项统计监测、绩效评价工作;负责组织指导全市革命老区扶贫工作;配合开展行业内部审计工作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五）行业社会扶贫科。负责全市行业和社会扶贫工作协调推动行业部门脱贫攻坚责任落实、政策落实、工作落实;负责动员、引导社会各界开展扶贫济困活动;联系协调党政机关、企事业单位、社会团体定点扶贫、结对帮扶、对口帮扶工作;协助有关部门做好驻村扶贫工作。</w:t>
      </w:r>
    </w:p>
    <w:p>
      <w:pPr>
        <w:spacing w:line="560" w:lineRule="exact"/>
        <w:ind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六）考核评价科(督査巡査科)。负责全市脱贫攻坚成效考核评估及贫因县退出检查评估;协助做好对相关县（区）党政正职履行脱贫攻坚责任的考评工作;牵头开展全市扶贫开发的问题整改工作;配合做好有关行业扶贫的考核工作;组织扶贫领域督查巡查工作;负责扶贫领城信访问题的办理、重点事项的核查和受理基层群众咨询;负责群众服务平台和举报投诉机制的建设管理工作;指导县(区)做好扶贫信访和咨询服务。</w:t>
      </w:r>
    </w:p>
    <w:p>
      <w:pPr>
        <w:adjustRightInd w:val="0"/>
        <w:snapToGrid w:val="0"/>
        <w:spacing w:line="560" w:lineRule="exact"/>
        <w:rPr>
          <w:rFonts w:hint="eastAsia" w:asciiTheme="minorEastAsia" w:hAnsiTheme="minorEastAsia"/>
          <w:b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/>
          <w:b/>
          <w:sz w:val="30"/>
          <w:szCs w:val="30"/>
        </w:rPr>
        <w:t>、部门预算单位构成</w:t>
      </w:r>
    </w:p>
    <w:p>
      <w:pPr>
        <w:spacing w:line="560" w:lineRule="exact"/>
        <w:ind w:firstLine="600" w:firstLineChars="200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bCs/>
          <w:sz w:val="30"/>
          <w:szCs w:val="30"/>
        </w:rPr>
        <w:t>信阳市平桥区乡村振兴局</w:t>
      </w:r>
      <w:r>
        <w:rPr>
          <w:rFonts w:hint="eastAsia" w:asciiTheme="minorEastAsia" w:hAnsiTheme="minorEastAsia"/>
          <w:sz w:val="30"/>
          <w:szCs w:val="30"/>
        </w:rPr>
        <w:t>为一级预算单位，没有二级预算单位。2022年我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>部门</w:t>
      </w:r>
      <w:r>
        <w:rPr>
          <w:rFonts w:hint="eastAsia" w:asciiTheme="minorEastAsia" w:hAnsiTheme="minorEastAsia"/>
          <w:sz w:val="30"/>
          <w:szCs w:val="30"/>
        </w:rPr>
        <w:t>预算为本级预算。</w:t>
      </w: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cs="黑体" w:asciiTheme="minorEastAsia" w:hAnsiTheme="minorEastAsia"/>
          <w:b/>
          <w:spacing w:val="-38"/>
          <w:sz w:val="24"/>
          <w:szCs w:val="24"/>
        </w:rPr>
      </w:pPr>
      <w:r>
        <w:rPr>
          <w:rFonts w:hint="eastAsia" w:cs="黑体" w:asciiTheme="minorEastAsia" w:hAnsiTheme="minorEastAsia"/>
          <w:b/>
          <w:sz w:val="24"/>
          <w:szCs w:val="24"/>
        </w:rPr>
        <w:t>第二部分</w:t>
      </w: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信阳市平桥区乡村振兴局</w:t>
      </w:r>
      <w:r>
        <w:rPr>
          <w:rFonts w:cs="黑体" w:asciiTheme="minorEastAsia" w:hAnsiTheme="minorEastAsia"/>
          <w:b/>
          <w:sz w:val="24"/>
          <w:szCs w:val="24"/>
        </w:rPr>
        <w:t>20</w:t>
      </w:r>
      <w:r>
        <w:rPr>
          <w:rFonts w:hint="eastAsia" w:cs="黑体" w:asciiTheme="minorEastAsia" w:hAnsiTheme="minorEastAsia"/>
          <w:b/>
          <w:sz w:val="24"/>
          <w:szCs w:val="24"/>
        </w:rPr>
        <w:t>22年度部门预算情况说明</w:t>
      </w:r>
    </w:p>
    <w:p>
      <w:pPr>
        <w:pStyle w:val="4"/>
        <w:spacing w:line="360" w:lineRule="auto"/>
        <w:ind w:firstLine="240" w:firstLineChars="100"/>
        <w:rPr>
          <w:rFonts w:cs="Arial" w:asciiTheme="minorEastAsia" w:hAnsiTheme="minorEastAsia" w:eastAsiaTheme="minorEastAsia"/>
          <w:color w:val="000000"/>
        </w:rPr>
      </w:pPr>
      <w:r>
        <w:rPr>
          <w:rStyle w:val="7"/>
          <w:rFonts w:cs="Arial" w:asciiTheme="minorEastAsia" w:hAnsiTheme="minorEastAsia" w:eastAsiaTheme="minorEastAsia"/>
          <w:b w:val="0"/>
          <w:color w:val="000000"/>
        </w:rPr>
        <w:t>　</w:t>
      </w:r>
      <w:r>
        <w:rPr>
          <w:rStyle w:val="7"/>
          <w:rFonts w:cs="Arial" w:asciiTheme="minorEastAsia" w:hAnsiTheme="minorEastAsia" w:eastAsiaTheme="minorEastAsia"/>
          <w:color w:val="000000"/>
        </w:rPr>
        <w:t>一、收入支出预算总体情况说明</w:t>
      </w: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年收入总计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万元，支出总计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万元，与2</w:t>
      </w:r>
      <w:r>
        <w:rPr>
          <w:rFonts w:hint="eastAsia" w:ascii="ˎ̥" w:hAnsi="ˎ̥" w:cs="Arial"/>
          <w:color w:val="000000"/>
        </w:rPr>
        <w:t>021</w:t>
      </w:r>
      <w:r>
        <w:rPr>
          <w:rFonts w:ascii="ˎ̥" w:hAnsi="ˎ̥" w:cs="Arial"/>
          <w:color w:val="000000"/>
        </w:rPr>
        <w:t>年相比，收入</w:t>
      </w:r>
      <w:r>
        <w:rPr>
          <w:rFonts w:hint="eastAsia" w:ascii="ˎ̥" w:hAnsi="ˎ̥" w:cs="Arial"/>
          <w:color w:val="000000"/>
        </w:rPr>
        <w:t>、支出均增加51.32</w:t>
      </w:r>
      <w:r>
        <w:rPr>
          <w:rFonts w:ascii="ˎ̥" w:hAnsi="ˎ̥" w:cs="Arial"/>
          <w:color w:val="000000"/>
        </w:rPr>
        <w:t>万元，</w:t>
      </w:r>
      <w:r>
        <w:rPr>
          <w:rFonts w:hint="eastAsia" w:ascii="ˎ̥" w:hAnsi="ˎ̥" w:cs="Arial"/>
          <w:color w:val="000000"/>
        </w:rPr>
        <w:t>上涨25</w:t>
      </w:r>
      <w:r>
        <w:rPr>
          <w:rFonts w:ascii="ˎ̥" w:hAnsi="ˎ̥" w:cs="Arial"/>
          <w:color w:val="000000"/>
        </w:rPr>
        <w:t>%。主要原因是：</w:t>
      </w:r>
      <w:r>
        <w:rPr>
          <w:rFonts w:hint="eastAsia" w:ascii="ˎ̥" w:hAnsi="ˎ̥" w:cs="Arial"/>
          <w:color w:val="000000"/>
        </w:rPr>
        <w:t>工资上调，</w:t>
      </w:r>
      <w:r>
        <w:rPr>
          <w:rFonts w:ascii="ˎ̥" w:hAnsi="ˎ̥" w:cs="Arial"/>
          <w:color w:val="000000"/>
        </w:rPr>
        <w:t>医保、住房公积金、养老保险</w:t>
      </w:r>
      <w:r>
        <w:rPr>
          <w:rFonts w:hint="eastAsia" w:ascii="ˎ̥" w:hAnsi="ˎ̥" w:cs="Arial"/>
          <w:color w:val="000000"/>
        </w:rPr>
        <w:t>等基数增加</w:t>
      </w:r>
      <w:r>
        <w:rPr>
          <w:rFonts w:ascii="ˎ̥" w:hAnsi="ˎ̥" w:cs="Arial"/>
          <w:color w:val="000000"/>
        </w:rPr>
        <w:t>。</w:t>
      </w:r>
    </w:p>
    <w:p>
      <w:pPr>
        <w:pStyle w:val="4"/>
        <w:spacing w:line="360" w:lineRule="auto"/>
        <w:ind w:firstLine="480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二、收入预算总体情况说明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年收入合计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万元，其中一般公共预算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</w:t>
      </w:r>
      <w:r>
        <w:rPr>
          <w:rFonts w:hint="eastAsia" w:ascii="ˎ̥" w:hAnsi="ˎ̥" w:cs="Arial"/>
          <w:color w:val="000000"/>
        </w:rPr>
        <w:t>，占比100%，包含专项经费20万元。</w:t>
      </w:r>
    </w:p>
    <w:p>
      <w:pPr>
        <w:pStyle w:val="4"/>
        <w:spacing w:line="360" w:lineRule="auto"/>
        <w:rPr>
          <w:rStyle w:val="7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7"/>
          <w:rFonts w:ascii="ˎ̥" w:hAnsi="ˎ̥" w:cs="Arial"/>
          <w:color w:val="000000"/>
        </w:rPr>
        <w:t>　</w:t>
      </w:r>
    </w:p>
    <w:p>
      <w:pPr>
        <w:pStyle w:val="4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三、支出预算总体情况说明</w:t>
      </w:r>
    </w:p>
    <w:p>
      <w:pPr>
        <w:pStyle w:val="4"/>
        <w:spacing w:line="360" w:lineRule="auto"/>
        <w:ind w:firstLine="480" w:firstLineChars="200"/>
        <w:rPr>
          <w:rFonts w:ascii="ˎ̥" w:hAnsi="ˎ̥" w:cs="Arial"/>
          <w:color w:val="000000"/>
        </w:rPr>
      </w:pP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年支出合计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万元，其中：基本支出</w:t>
      </w:r>
      <w:r>
        <w:rPr>
          <w:rFonts w:hint="eastAsia" w:ascii="ˎ̥" w:hAnsi="ˎ̥" w:cs="Arial"/>
          <w:color w:val="000000"/>
          <w:lang w:eastAsia="zh-CN"/>
        </w:rPr>
        <w:t>236.10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</w:rPr>
        <w:t>92.2</w:t>
      </w:r>
      <w:r>
        <w:rPr>
          <w:rFonts w:ascii="ˎ̥" w:hAnsi="ˎ̥" w:cs="Arial"/>
          <w:color w:val="000000"/>
        </w:rPr>
        <w:t>%</w:t>
      </w:r>
      <w:r>
        <w:rPr>
          <w:rFonts w:hint="eastAsia" w:ascii="ˎ̥" w:hAnsi="ˎ̥" w:cs="Arial"/>
          <w:color w:val="000000"/>
        </w:rPr>
        <w:t>；专项支出20万元，占比7.8%</w:t>
      </w:r>
    </w:p>
    <w:p>
      <w:pPr>
        <w:pStyle w:val="4"/>
        <w:spacing w:line="360" w:lineRule="auto"/>
        <w:rPr>
          <w:rStyle w:val="7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7"/>
          <w:rFonts w:ascii="ˎ̥" w:hAnsi="ˎ̥" w:cs="Arial"/>
          <w:color w:val="000000"/>
        </w:rPr>
        <w:t>　</w:t>
      </w:r>
    </w:p>
    <w:p>
      <w:pPr>
        <w:pStyle w:val="4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四、财政拨款收入支出预算总体情况说明</w:t>
      </w: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</w:t>
      </w:r>
      <w:r>
        <w:rPr>
          <w:rFonts w:hint="eastAsia" w:ascii="ˎ̥" w:hAnsi="ˎ̥" w:cs="Arial"/>
          <w:color w:val="000000"/>
        </w:rPr>
        <w:t>财政拨款</w:t>
      </w:r>
      <w:r>
        <w:rPr>
          <w:rFonts w:ascii="ˎ̥" w:hAnsi="ˎ̥" w:cs="Arial"/>
          <w:color w:val="000000"/>
        </w:rPr>
        <w:t>收入</w:t>
      </w:r>
      <w:r>
        <w:rPr>
          <w:rFonts w:hint="eastAsia" w:ascii="ˎ̥" w:hAnsi="ˎ̥" w:cs="Arial"/>
          <w:color w:val="000000"/>
        </w:rPr>
        <w:t>、支出</w:t>
      </w:r>
      <w:r>
        <w:rPr>
          <w:rFonts w:ascii="ˎ̥" w:hAnsi="ˎ̥" w:cs="Arial"/>
          <w:color w:val="000000"/>
        </w:rPr>
        <w:t>预算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万元，与2</w:t>
      </w:r>
      <w:r>
        <w:rPr>
          <w:rFonts w:hint="eastAsia" w:ascii="ˎ̥" w:hAnsi="ˎ̥" w:cs="Arial"/>
          <w:color w:val="000000"/>
        </w:rPr>
        <w:t>021</w:t>
      </w:r>
      <w:r>
        <w:rPr>
          <w:rFonts w:ascii="ˎ̥" w:hAnsi="ˎ̥" w:cs="Arial"/>
          <w:color w:val="000000"/>
        </w:rPr>
        <w:t>年相比，</w:t>
      </w:r>
      <w:r>
        <w:rPr>
          <w:rFonts w:hint="eastAsia" w:ascii="ˎ̥" w:hAnsi="ˎ̥" w:cs="Arial"/>
          <w:color w:val="000000"/>
        </w:rPr>
        <w:t>财政拨款</w:t>
      </w:r>
      <w:r>
        <w:rPr>
          <w:rFonts w:ascii="ˎ̥" w:hAnsi="ˎ̥" w:cs="Arial"/>
          <w:color w:val="000000"/>
        </w:rPr>
        <w:t>收入</w:t>
      </w:r>
      <w:r>
        <w:rPr>
          <w:rFonts w:hint="eastAsia" w:ascii="ˎ̥" w:hAnsi="ˎ̥" w:cs="Arial"/>
          <w:color w:val="000000"/>
        </w:rPr>
        <w:t>、支出</w:t>
      </w:r>
      <w:r>
        <w:rPr>
          <w:rFonts w:ascii="ˎ̥" w:hAnsi="ˎ̥" w:cs="Arial"/>
          <w:color w:val="000000"/>
        </w:rPr>
        <w:t>预算</w:t>
      </w:r>
      <w:r>
        <w:rPr>
          <w:rFonts w:hint="eastAsia" w:ascii="ˎ̥" w:hAnsi="ˎ̥" w:cs="Arial"/>
          <w:color w:val="000000"/>
        </w:rPr>
        <w:t>均增加51.32</w:t>
      </w:r>
      <w:r>
        <w:rPr>
          <w:rFonts w:ascii="ˎ̥" w:hAnsi="ˎ̥" w:cs="Arial"/>
          <w:color w:val="000000"/>
        </w:rPr>
        <w:t>万元，</w:t>
      </w:r>
      <w:r>
        <w:rPr>
          <w:rFonts w:hint="eastAsia" w:ascii="ˎ̥" w:hAnsi="ˎ̥" w:cs="Arial"/>
          <w:color w:val="000000"/>
        </w:rPr>
        <w:t>上涨25</w:t>
      </w:r>
      <w:r>
        <w:rPr>
          <w:rFonts w:ascii="ˎ̥" w:hAnsi="ˎ̥" w:cs="Arial"/>
          <w:color w:val="000000"/>
        </w:rPr>
        <w:t>%。主要原因是：</w:t>
      </w:r>
      <w:r>
        <w:rPr>
          <w:rFonts w:hint="eastAsia" w:ascii="ˎ̥" w:hAnsi="ˎ̥" w:cs="Arial"/>
          <w:color w:val="000000"/>
        </w:rPr>
        <w:t>工资上调，</w:t>
      </w:r>
      <w:r>
        <w:rPr>
          <w:rFonts w:ascii="ˎ̥" w:hAnsi="ˎ̥" w:cs="Arial"/>
          <w:color w:val="000000"/>
        </w:rPr>
        <w:t>医保、住房公积金、养老保险</w:t>
      </w:r>
      <w:r>
        <w:rPr>
          <w:rFonts w:hint="eastAsia" w:ascii="ˎ̥" w:hAnsi="ˎ̥" w:cs="Arial"/>
          <w:color w:val="000000"/>
        </w:rPr>
        <w:t>等基数增加</w:t>
      </w:r>
      <w:r>
        <w:rPr>
          <w:rFonts w:ascii="ˎ̥" w:hAnsi="ˎ̥" w:cs="Arial"/>
          <w:color w:val="000000"/>
        </w:rPr>
        <w:t>。</w:t>
      </w:r>
    </w:p>
    <w:p>
      <w:pPr>
        <w:pStyle w:val="4"/>
        <w:spacing w:line="360" w:lineRule="auto"/>
        <w:ind w:firstLine="480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ind w:firstLine="480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五、一般公共预算支出预算情况说明</w:t>
      </w:r>
    </w:p>
    <w:p>
      <w:pPr>
        <w:pStyle w:val="4"/>
        <w:spacing w:line="360" w:lineRule="auto"/>
        <w:rPr>
          <w:rFonts w:hint="eastAsia" w:ascii="ˎ̥" w:hAnsi="ˎ̥" w:eastAsia="宋体" w:cs="Arial"/>
          <w:color w:val="000000"/>
          <w:lang w:eastAsia="zh-CN"/>
        </w:rPr>
      </w:pP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年一般公共预算支出年初预算为</w:t>
      </w:r>
      <w:r>
        <w:rPr>
          <w:rFonts w:hint="eastAsia" w:ascii="ˎ̥" w:hAnsi="ˎ̥" w:cs="Arial"/>
          <w:color w:val="000000"/>
          <w:lang w:eastAsia="zh-CN"/>
        </w:rPr>
        <w:t>256.10</w:t>
      </w:r>
      <w:r>
        <w:rPr>
          <w:rFonts w:ascii="ˎ̥" w:hAnsi="ˎ̥" w:cs="Arial"/>
          <w:color w:val="000000"/>
        </w:rPr>
        <w:t>万元。</w:t>
      </w:r>
      <w:r>
        <w:rPr>
          <w:rFonts w:hint="eastAsia" w:ascii="ˎ̥" w:hAnsi="ˎ̥" w:cs="Arial"/>
          <w:color w:val="000000"/>
        </w:rPr>
        <w:t>其中：</w:t>
      </w:r>
      <w:r>
        <w:rPr>
          <w:rFonts w:ascii="ˎ̥" w:hAnsi="ˎ̥" w:cs="Arial"/>
          <w:color w:val="000000"/>
        </w:rPr>
        <w:t>基本支出</w:t>
      </w:r>
      <w:r>
        <w:rPr>
          <w:rFonts w:hint="eastAsia" w:ascii="ˎ̥" w:hAnsi="ˎ̥" w:cs="Arial"/>
          <w:color w:val="000000"/>
          <w:lang w:eastAsia="zh-CN"/>
        </w:rPr>
        <w:t>236.10</w:t>
      </w:r>
      <w:r>
        <w:rPr>
          <w:rFonts w:hint="eastAsia" w:ascii="ˎ̥" w:hAnsi="ˎ̥" w:cs="Arial"/>
          <w:color w:val="000000"/>
        </w:rPr>
        <w:t>万元</w:t>
      </w:r>
      <w:r>
        <w:rPr>
          <w:rFonts w:ascii="ˎ̥" w:hAnsi="ˎ̥" w:cs="Arial"/>
          <w:color w:val="000000"/>
        </w:rPr>
        <w:t>，占9</w:t>
      </w:r>
      <w:r>
        <w:rPr>
          <w:rFonts w:hint="eastAsia" w:ascii="ˎ̥" w:hAnsi="ˎ̥" w:cs="Arial"/>
          <w:color w:val="000000"/>
        </w:rPr>
        <w:t>2.2</w:t>
      </w:r>
      <w:r>
        <w:rPr>
          <w:rFonts w:ascii="ˎ̥" w:hAnsi="ˎ̥" w:cs="Arial"/>
          <w:color w:val="000000"/>
        </w:rPr>
        <w:t>%</w:t>
      </w:r>
      <w:r>
        <w:rPr>
          <w:rFonts w:hint="eastAsia" w:ascii="ˎ̥" w:hAnsi="ˎ̥" w:cs="Arial"/>
          <w:color w:val="000000"/>
        </w:rPr>
        <w:t>，</w:t>
      </w:r>
      <w:r>
        <w:rPr>
          <w:rFonts w:ascii="ˎ̥" w:hAnsi="ˎ̥" w:cs="Arial"/>
          <w:color w:val="000000"/>
        </w:rPr>
        <w:t>主要用于以下方面：基本支出</w:t>
      </w:r>
      <w:r>
        <w:rPr>
          <w:rFonts w:hint="eastAsia" w:ascii="ˎ̥" w:hAnsi="ˎ̥" w:cs="Arial"/>
          <w:color w:val="000000"/>
          <w:lang w:eastAsia="zh-CN"/>
        </w:rPr>
        <w:t>236.10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</w:rPr>
        <w:t>92.2</w:t>
      </w:r>
      <w:r>
        <w:rPr>
          <w:rFonts w:ascii="ˎ̥" w:hAnsi="ˎ̥" w:cs="Arial"/>
          <w:color w:val="000000"/>
        </w:rPr>
        <w:t>%</w:t>
      </w:r>
      <w:r>
        <w:rPr>
          <w:rFonts w:hint="eastAsia" w:ascii="ˎ̥" w:hAnsi="ˎ̥" w:cs="Arial"/>
          <w:color w:val="000000"/>
        </w:rPr>
        <w:t>；专项支出20万元，占比7.8%</w:t>
      </w:r>
      <w:r>
        <w:rPr>
          <w:rFonts w:hint="eastAsia" w:ascii="ˎ̥" w:hAnsi="ˎ̥" w:cs="Arial"/>
          <w:color w:val="000000"/>
          <w:lang w:eastAsia="zh-CN"/>
        </w:rPr>
        <w:t>。</w:t>
      </w:r>
    </w:p>
    <w:p>
      <w:pPr>
        <w:pStyle w:val="4"/>
        <w:spacing w:line="360" w:lineRule="auto"/>
        <w:ind w:firstLine="482" w:firstLineChars="200"/>
        <w:rPr>
          <w:rStyle w:val="7"/>
          <w:rFonts w:hint="eastAsia"/>
          <w:color w:val="000000"/>
        </w:rPr>
      </w:pPr>
    </w:p>
    <w:p>
      <w:pPr>
        <w:pStyle w:val="4"/>
        <w:spacing w:line="360" w:lineRule="auto"/>
        <w:ind w:firstLine="482" w:firstLineChars="200"/>
        <w:rPr>
          <w:rStyle w:val="7"/>
          <w:color w:val="000000"/>
        </w:rPr>
      </w:pPr>
      <w:r>
        <w:rPr>
          <w:rStyle w:val="7"/>
          <w:rFonts w:hint="eastAsia"/>
          <w:color w:val="000000"/>
        </w:rPr>
        <w:t>六、一般公共预算基本支出预算情况说明</w:t>
      </w:r>
    </w:p>
    <w:p>
      <w:pPr>
        <w:pStyle w:val="4"/>
        <w:spacing w:line="360" w:lineRule="auto"/>
        <w:ind w:firstLine="480" w:firstLineChars="200"/>
        <w:rPr>
          <w:rStyle w:val="7"/>
          <w:rFonts w:hint="eastAsia"/>
          <w:b w:val="0"/>
          <w:color w:val="000000"/>
        </w:rPr>
      </w:pP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hint="eastAsia"/>
          <w:color w:val="000000"/>
        </w:rPr>
        <w:t>2022年一般公共预算基本支出</w:t>
      </w:r>
      <w:r>
        <w:rPr>
          <w:rFonts w:hint="eastAsia"/>
          <w:color w:val="000000"/>
          <w:lang w:eastAsia="zh-CN"/>
        </w:rPr>
        <w:t>236.10</w:t>
      </w:r>
      <w:r>
        <w:rPr>
          <w:rFonts w:hint="eastAsia"/>
          <w:color w:val="000000"/>
        </w:rPr>
        <w:t>万元，其中：人员经费207.00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29.10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pStyle w:val="4"/>
        <w:spacing w:line="360" w:lineRule="auto"/>
        <w:ind w:firstLine="472" w:firstLineChars="196"/>
        <w:rPr>
          <w:rStyle w:val="7"/>
          <w:rFonts w:hint="eastAsia" w:ascii="ˎ̥" w:hAnsi="ˎ̥" w:cs="Arial"/>
          <w:color w:val="000000"/>
          <w:lang w:val="en-US" w:eastAsia="zh-CN"/>
        </w:rPr>
      </w:pPr>
    </w:p>
    <w:p>
      <w:pPr>
        <w:pStyle w:val="4"/>
        <w:spacing w:line="360" w:lineRule="auto"/>
        <w:ind w:firstLine="472" w:firstLineChars="196"/>
        <w:rPr>
          <w:rFonts w:ascii="ˎ̥" w:hAnsi="ˎ̥" w:cs="Arial"/>
          <w:color w:val="000000"/>
        </w:rPr>
      </w:pPr>
      <w:r>
        <w:rPr>
          <w:rStyle w:val="7"/>
          <w:rFonts w:hint="eastAsia" w:ascii="ˎ̥" w:hAnsi="ˎ̥" w:cs="Arial"/>
          <w:color w:val="000000"/>
          <w:lang w:val="en-US" w:eastAsia="zh-CN"/>
        </w:rPr>
        <w:t>七</w:t>
      </w:r>
      <w:r>
        <w:rPr>
          <w:rStyle w:val="7"/>
          <w:rFonts w:ascii="ˎ̥" w:hAnsi="ˎ̥" w:cs="Arial"/>
          <w:color w:val="000000"/>
        </w:rPr>
        <w:t>、支出预算经济分类情况说明</w:t>
      </w:r>
    </w:p>
    <w:p>
      <w:pPr>
        <w:pStyle w:val="4"/>
        <w:spacing w:line="360" w:lineRule="auto"/>
        <w:rPr>
          <w:rStyle w:val="7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按照《财政部关于印发&lt;支出经济分类科目改革方案&gt;的通知》(财预〔2017〕98号)要求，从201</w:t>
      </w:r>
      <w:r>
        <w:rPr>
          <w:rFonts w:hint="eastAsia" w:ascii="ˎ̥" w:hAnsi="ˎ̥" w:cs="Arial"/>
          <w:color w:val="000000"/>
        </w:rPr>
        <w:t>9</w:t>
      </w:r>
      <w:r>
        <w:rPr>
          <w:rFonts w:ascii="ˎ̥" w:hAnsi="ˎ̥" w:cs="Arial"/>
          <w:color w:val="000000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</w:t>
      </w:r>
      <w:r>
        <w:rPr>
          <w:rFonts w:hint="eastAsia" w:ascii="ˎ̥" w:hAnsi="ˎ̥" w:cs="Arial"/>
          <w:color w:val="000000"/>
        </w:rPr>
        <w:t>单位</w:t>
      </w:r>
      <w:r>
        <w:rPr>
          <w:rFonts w:ascii="ˎ̥" w:hAnsi="ˎ̥" w:cs="Arial"/>
          <w:color w:val="000000"/>
        </w:rPr>
        <w:t>《支出经济分类汇总表》由仅反映一般公共预算基本支出经济分类科目预算，调整为按两套经济分类科目分别反映不同资金来源的全部预算支出。</w:t>
      </w:r>
    </w:p>
    <w:p>
      <w:pPr>
        <w:pStyle w:val="4"/>
        <w:spacing w:line="360" w:lineRule="auto"/>
        <w:rPr>
          <w:rStyle w:val="7"/>
          <w:rFonts w:hint="eastAsia" w:ascii="ˎ̥" w:hAnsi="ˎ̥" w:cs="Arial"/>
          <w:color w:val="000000"/>
          <w:lang w:val="en-US" w:eastAsia="zh-CN"/>
        </w:rPr>
      </w:pPr>
      <w:r>
        <w:rPr>
          <w:rStyle w:val="7"/>
          <w:rFonts w:ascii="ˎ̥" w:hAnsi="ˎ̥" w:cs="Arial"/>
          <w:color w:val="000000"/>
        </w:rPr>
        <w:t>　</w:t>
      </w:r>
      <w:r>
        <w:rPr>
          <w:rStyle w:val="7"/>
          <w:rFonts w:hint="eastAsia" w:ascii="ˎ̥" w:hAnsi="ˎ̥" w:cs="Arial"/>
          <w:color w:val="000000"/>
          <w:lang w:val="en-US" w:eastAsia="zh-CN"/>
        </w:rPr>
        <w:t xml:space="preserve"> </w:t>
      </w:r>
    </w:p>
    <w:p>
      <w:pPr>
        <w:pStyle w:val="4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7"/>
          <w:rFonts w:hint="eastAsia" w:ascii="ˎ̥" w:hAnsi="ˎ̥" w:cs="Arial"/>
          <w:color w:val="000000"/>
          <w:lang w:val="en-US" w:eastAsia="zh-CN"/>
        </w:rPr>
        <w:t xml:space="preserve"> </w:t>
      </w:r>
      <w:r>
        <w:rPr>
          <w:rStyle w:val="7"/>
          <w:rFonts w:hint="eastAsia" w:ascii="ˎ̥" w:hAnsi="ˎ̥" w:cs="Arial"/>
          <w:color w:val="000000"/>
        </w:rPr>
        <w:t>八</w:t>
      </w:r>
      <w:r>
        <w:rPr>
          <w:rStyle w:val="7"/>
          <w:rFonts w:ascii="ˎ̥" w:hAnsi="ˎ̥" w:cs="Arial"/>
          <w:color w:val="000000"/>
        </w:rPr>
        <w:t>、 “三公”经费支出预算情况说明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年“三公”经费预算为</w:t>
      </w:r>
      <w:r>
        <w:rPr>
          <w:rFonts w:hint="eastAsia" w:ascii="ˎ̥" w:hAnsi="ˎ̥" w:cs="Arial"/>
          <w:color w:val="000000"/>
        </w:rPr>
        <w:t>0</w:t>
      </w:r>
      <w:r>
        <w:rPr>
          <w:rFonts w:ascii="ˎ̥" w:hAnsi="ˎ̥" w:cs="Arial"/>
          <w:color w:val="000000"/>
        </w:rPr>
        <w:t>万元。20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年“三公”经费支出预算数比</w:t>
      </w:r>
      <w:r>
        <w:rPr>
          <w:rFonts w:hint="eastAsia" w:ascii="ˎ̥" w:hAnsi="ˎ̥" w:cs="Arial"/>
          <w:color w:val="000000"/>
        </w:rPr>
        <w:t>2021</w:t>
      </w:r>
      <w:r>
        <w:rPr>
          <w:rFonts w:ascii="ˎ̥" w:hAnsi="ˎ̥" w:cs="Arial"/>
          <w:color w:val="000000"/>
        </w:rPr>
        <w:t>年预算相比</w:t>
      </w:r>
      <w:r>
        <w:rPr>
          <w:rFonts w:hint="eastAsia" w:ascii="ˎ̥" w:hAnsi="ˎ̥" w:cs="Arial"/>
          <w:color w:val="000000"/>
        </w:rPr>
        <w:t>增减0万元，减少的原因是例行八项规定，勤俭节约</w:t>
      </w:r>
      <w:r>
        <w:rPr>
          <w:rFonts w:ascii="ˎ̥" w:hAnsi="ˎ̥" w:cs="Arial"/>
          <w:color w:val="000000"/>
        </w:rPr>
        <w:t>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具体支出情况如下：</w:t>
      </w: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公务接待费</w:t>
      </w:r>
      <w:r>
        <w:rPr>
          <w:rFonts w:hint="eastAsia" w:ascii="ˎ̥" w:hAnsi="ˎ̥" w:cs="Arial"/>
          <w:color w:val="000000"/>
        </w:rPr>
        <w:t>0</w:t>
      </w:r>
      <w:r>
        <w:rPr>
          <w:rFonts w:ascii="ˎ̥" w:hAnsi="ˎ̥" w:cs="Arial"/>
          <w:color w:val="000000"/>
        </w:rPr>
        <w:t>万元。预算数比</w:t>
      </w:r>
      <w:r>
        <w:rPr>
          <w:rFonts w:hint="eastAsia" w:ascii="ˎ̥" w:hAnsi="ˎ̥" w:cs="Arial"/>
          <w:color w:val="000000"/>
        </w:rPr>
        <w:t>2021</w:t>
      </w:r>
      <w:r>
        <w:rPr>
          <w:rFonts w:ascii="ˎ̥" w:hAnsi="ˎ̥" w:cs="Arial"/>
          <w:color w:val="000000"/>
        </w:rPr>
        <w:t>年</w:t>
      </w:r>
      <w:r>
        <w:rPr>
          <w:rFonts w:hint="eastAsia" w:ascii="ˎ̥" w:hAnsi="ˎ̥" w:cs="Arial"/>
          <w:color w:val="000000"/>
        </w:rPr>
        <w:t>无增减变动，原因是例行八项规定，勤俭节约</w:t>
      </w:r>
      <w:r>
        <w:rPr>
          <w:rFonts w:ascii="ˎ̥" w:hAnsi="ˎ̥" w:cs="Arial"/>
          <w:color w:val="000000"/>
        </w:rPr>
        <w:t>。</w:t>
      </w: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Fonts w:hint="eastAsia" w:ascii="ˎ̥" w:hAnsi="ˎ̥" w:cs="Arial"/>
          <w:color w:val="000000"/>
        </w:rPr>
        <w:t>公务用车运行和购置费0万元（其中，公务用车购置费0万元，公务用车运行维护费0万元），</w:t>
      </w:r>
      <w:r>
        <w:rPr>
          <w:rFonts w:ascii="ˎ̥" w:hAnsi="ˎ̥" w:cs="Arial"/>
          <w:color w:val="000000"/>
        </w:rPr>
        <w:t>预算数比</w:t>
      </w:r>
      <w:r>
        <w:rPr>
          <w:rFonts w:hint="eastAsia" w:ascii="ˎ̥" w:hAnsi="ˎ̥" w:cs="Arial"/>
          <w:color w:val="000000"/>
        </w:rPr>
        <w:t>2021</w:t>
      </w:r>
      <w:r>
        <w:rPr>
          <w:rFonts w:ascii="ˎ̥" w:hAnsi="ˎ̥" w:cs="Arial"/>
          <w:color w:val="000000"/>
        </w:rPr>
        <w:t>年无增长</w:t>
      </w:r>
      <w:r>
        <w:rPr>
          <w:rFonts w:hint="eastAsia" w:ascii="ˎ̥" w:hAnsi="ˎ̥" w:cs="Arial"/>
          <w:color w:val="000000"/>
        </w:rPr>
        <w:t>。</w:t>
      </w:r>
    </w:p>
    <w:p>
      <w:pPr>
        <w:pStyle w:val="4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Fonts w:hint="eastAsia" w:ascii="ˎ̥" w:hAnsi="ˎ̥" w:cs="Arial"/>
          <w:color w:val="000000"/>
        </w:rPr>
        <w:t>因公出国（境）费0万元，</w:t>
      </w:r>
      <w:r>
        <w:rPr>
          <w:rFonts w:ascii="ˎ̥" w:hAnsi="ˎ̥" w:cs="Arial"/>
          <w:color w:val="000000"/>
        </w:rPr>
        <w:t>预算数比</w:t>
      </w:r>
      <w:r>
        <w:rPr>
          <w:rFonts w:hint="eastAsia" w:ascii="ˎ̥" w:hAnsi="ˎ̥" w:cs="Arial"/>
          <w:color w:val="000000"/>
        </w:rPr>
        <w:t>2021</w:t>
      </w:r>
      <w:r>
        <w:rPr>
          <w:rFonts w:ascii="ˎ̥" w:hAnsi="ˎ̥" w:cs="Arial"/>
          <w:color w:val="000000"/>
        </w:rPr>
        <w:t>年无增长</w:t>
      </w:r>
      <w:r>
        <w:rPr>
          <w:rFonts w:hint="eastAsia" w:ascii="ˎ̥" w:hAnsi="ˎ̥" w:cs="Arial"/>
          <w:color w:val="000000"/>
        </w:rPr>
        <w:t>。</w:t>
      </w:r>
    </w:p>
    <w:p>
      <w:pPr>
        <w:pStyle w:val="4"/>
        <w:spacing w:line="360" w:lineRule="auto"/>
        <w:rPr>
          <w:rStyle w:val="7"/>
          <w:rFonts w:hint="eastAsia" w:ascii="ˎ̥" w:hAnsi="ˎ̥" w:cs="Arial"/>
          <w:color w:val="000000"/>
          <w:lang w:val="en-US" w:eastAsia="zh-CN"/>
        </w:rPr>
      </w:pPr>
      <w:r>
        <w:rPr>
          <w:rStyle w:val="7"/>
          <w:rFonts w:ascii="ˎ̥" w:hAnsi="ˎ̥" w:cs="Arial"/>
          <w:color w:val="000000"/>
        </w:rPr>
        <w:t>　</w:t>
      </w:r>
      <w:r>
        <w:rPr>
          <w:rStyle w:val="7"/>
          <w:rFonts w:hint="eastAsia" w:ascii="ˎ̥" w:hAnsi="ˎ̥" w:cs="Arial"/>
          <w:color w:val="000000"/>
          <w:lang w:val="en-US" w:eastAsia="zh-CN"/>
        </w:rPr>
        <w:t xml:space="preserve"> </w:t>
      </w:r>
    </w:p>
    <w:p>
      <w:pPr>
        <w:pStyle w:val="4"/>
        <w:spacing w:line="360" w:lineRule="auto"/>
        <w:ind w:firstLine="482" w:firstLineChars="200"/>
        <w:rPr>
          <w:rFonts w:ascii="ˎ̥" w:hAnsi="ˎ̥"/>
          <w:color w:val="000000"/>
        </w:rPr>
      </w:pPr>
      <w:r>
        <w:rPr>
          <w:rStyle w:val="7"/>
          <w:rFonts w:hint="eastAsia" w:ascii="ˎ̥" w:hAnsi="ˎ̥"/>
          <w:color w:val="000000"/>
          <w:lang w:val="en-US" w:eastAsia="zh-CN"/>
        </w:rPr>
        <w:t>九</w:t>
      </w:r>
      <w:r>
        <w:rPr>
          <w:rStyle w:val="7"/>
          <w:rFonts w:ascii="ˎ̥" w:hAnsi="ˎ̥"/>
          <w:color w:val="000000"/>
        </w:rPr>
        <w:t>、政府性基金预算支出情况说明</w:t>
      </w:r>
    </w:p>
    <w:p>
      <w:pPr>
        <w:pStyle w:val="4"/>
        <w:spacing w:line="360" w:lineRule="auto"/>
        <w:rPr>
          <w:rStyle w:val="7"/>
          <w:rFonts w:hint="eastAsia" w:ascii="ˎ̥" w:hAnsi="ˎ̥" w:cs="Arial"/>
          <w:color w:val="000000"/>
        </w:rPr>
      </w:pPr>
      <w:r>
        <w:rPr>
          <w:rFonts w:ascii="ˎ̥" w:hAnsi="ˎ̥"/>
          <w:color w:val="000000"/>
        </w:rPr>
        <w:t>　　我</w:t>
      </w:r>
      <w:r>
        <w:rPr>
          <w:rFonts w:hint="eastAsia" w:ascii="ˎ̥" w:hAnsi="ˎ̥"/>
          <w:color w:val="000000"/>
        </w:rPr>
        <w:t>局</w:t>
      </w:r>
      <w:r>
        <w:rPr>
          <w:rFonts w:ascii="ˎ̥" w:hAnsi="ˎ̥"/>
          <w:color w:val="000000"/>
        </w:rPr>
        <w:t>20</w:t>
      </w:r>
      <w:r>
        <w:rPr>
          <w:rFonts w:hint="eastAsia" w:ascii="ˎ̥" w:hAnsi="ˎ̥"/>
          <w:color w:val="000000"/>
        </w:rPr>
        <w:t>22</w:t>
      </w:r>
      <w:r>
        <w:rPr>
          <w:rFonts w:ascii="ˎ̥" w:hAnsi="ˎ̥"/>
          <w:color w:val="000000"/>
        </w:rPr>
        <w:t>年没有使用政府性基金预算拨款安排的支出。</w:t>
      </w:r>
    </w:p>
    <w:p>
      <w:pPr>
        <w:pStyle w:val="4"/>
        <w:spacing w:line="360" w:lineRule="auto"/>
        <w:rPr>
          <w:rFonts w:hint="eastAsia" w:ascii="ˎ̥" w:hAnsi="ˎ̥" w:cs="Arial"/>
          <w:color w:val="000000"/>
          <w:lang w:val="en-US" w:eastAsia="zh-CN"/>
        </w:rPr>
      </w:pPr>
      <w:r>
        <w:rPr>
          <w:rFonts w:ascii="ˎ̥" w:hAnsi="ˎ̥" w:cs="Arial"/>
          <w:color w:val="000000"/>
        </w:rPr>
        <w:t>　</w:t>
      </w:r>
      <w:r>
        <w:rPr>
          <w:rFonts w:hint="eastAsia" w:ascii="ˎ̥" w:hAnsi="ˎ̥" w:cs="Arial"/>
          <w:color w:val="000000"/>
          <w:lang w:val="en-US" w:eastAsia="zh-CN"/>
        </w:rPr>
        <w:t xml:space="preserve"> </w:t>
      </w:r>
    </w:p>
    <w:p>
      <w:pPr>
        <w:pStyle w:val="4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7"/>
          <w:rFonts w:hint="eastAsia" w:ascii="ˎ̥" w:hAnsi="ˎ̥" w:cs="Arial"/>
          <w:color w:val="000000"/>
        </w:rPr>
        <w:t>十</w:t>
      </w:r>
      <w:r>
        <w:rPr>
          <w:rStyle w:val="7"/>
          <w:rFonts w:ascii="ˎ̥" w:hAnsi="ˎ̥" w:cs="Arial"/>
          <w:color w:val="000000"/>
        </w:rPr>
        <w:t>、其他重要事项的情况说明</w:t>
      </w:r>
    </w:p>
    <w:p>
      <w:pPr>
        <w:pStyle w:val="4"/>
        <w:spacing w:line="360" w:lineRule="auto"/>
        <w:rPr>
          <w:rFonts w:ascii="ˎ̥" w:hAnsi="ˎ̥" w:cs="Arial"/>
          <w:b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ascii="ˎ̥" w:hAnsi="ˎ̥" w:cs="Arial"/>
          <w:b/>
          <w:color w:val="000000"/>
        </w:rPr>
        <w:t>(一)机关运行经费支出情况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</w:rPr>
        <w:t>信阳市平桥区</w:t>
      </w:r>
      <w:r>
        <w:rPr>
          <w:rFonts w:hint="eastAsia" w:asciiTheme="minorEastAsia" w:hAnsiTheme="minorEastAsia"/>
          <w:bCs/>
        </w:rPr>
        <w:t>乡村振兴局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22</w:t>
      </w:r>
      <w:r>
        <w:rPr>
          <w:rFonts w:ascii="ˎ̥" w:hAnsi="ˎ̥" w:cs="Arial"/>
          <w:color w:val="000000"/>
        </w:rPr>
        <w:t>年机关运行经费支出预算</w:t>
      </w:r>
      <w:r>
        <w:rPr>
          <w:rFonts w:hint="eastAsia" w:ascii="ˎ̥" w:hAnsi="ˎ̥" w:cs="Arial"/>
          <w:color w:val="000000"/>
        </w:rPr>
        <w:t>29.10</w:t>
      </w:r>
      <w:r>
        <w:rPr>
          <w:rFonts w:ascii="ˎ̥" w:hAnsi="ˎ̥" w:cs="Arial"/>
          <w:color w:val="000000"/>
        </w:rPr>
        <w:t>万元，主要保障机构正常运转及正常履职需要。</w:t>
      </w:r>
    </w:p>
    <w:p>
      <w:pPr>
        <w:pStyle w:val="4"/>
        <w:spacing w:line="360" w:lineRule="auto"/>
        <w:rPr>
          <w:rFonts w:ascii="ˎ̥" w:hAnsi="ˎ̥" w:cs="Arial"/>
          <w:b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Fonts w:ascii="ˎ̥" w:hAnsi="ˎ̥" w:cs="Arial"/>
          <w:b/>
          <w:color w:val="000000"/>
        </w:rPr>
        <w:t>　(二)政府采购支出情况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480" w:firstLineChars="200"/>
        <w:rPr>
          <w:rFonts w:ascii="ˎ̥" w:hAnsi="ˎ̥" w:cs="Arial"/>
          <w:b/>
          <w:color w:val="000000"/>
        </w:rPr>
      </w:pPr>
      <w:r>
        <w:rPr>
          <w:rFonts w:ascii="ˎ̥" w:hAnsi="ˎ̥" w:cs="Arial"/>
          <w:color w:val="000000"/>
          <w:sz w:val="24"/>
          <w:szCs w:val="24"/>
        </w:rPr>
        <w:t>　</w:t>
      </w:r>
      <w:r>
        <w:rPr>
          <w:rFonts w:hint="eastAsia" w:asciiTheme="minorEastAsia" w:hAnsiTheme="minorEastAsia" w:cstheme="minorEastAsia"/>
          <w:sz w:val="24"/>
          <w:szCs w:val="24"/>
        </w:rPr>
        <w:t>2022年政府采购预算安排0万元，其中：政府采购货物预算0万元、政府采购工程预算0万元、政府采购服务预算0万元。</w:t>
      </w:r>
    </w:p>
    <w:p>
      <w:pPr>
        <w:pStyle w:val="4"/>
        <w:spacing w:line="360" w:lineRule="auto"/>
        <w:ind w:firstLine="482" w:firstLineChars="200"/>
        <w:rPr>
          <w:rFonts w:ascii="ˎ̥" w:hAnsi="ˎ̥" w:cs="Arial"/>
          <w:b/>
          <w:color w:val="000000"/>
        </w:rPr>
      </w:pPr>
      <w:r>
        <w:rPr>
          <w:rFonts w:ascii="ˎ̥" w:hAnsi="ˎ̥" w:cs="Arial"/>
          <w:b/>
          <w:color w:val="000000"/>
        </w:rPr>
        <w:t>（三）</w:t>
      </w:r>
      <w:r>
        <w:rPr>
          <w:rFonts w:hint="eastAsia" w:ascii="ˎ̥" w:hAnsi="ˎ̥" w:cs="Arial"/>
          <w:b/>
          <w:color w:val="000000"/>
        </w:rPr>
        <w:t>绩效目标设置情况</w:t>
      </w:r>
    </w:p>
    <w:p>
      <w:pPr>
        <w:pStyle w:val="4"/>
        <w:spacing w:line="360" w:lineRule="auto"/>
        <w:ind w:firstLine="480" w:firstLineChars="200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我</w:t>
      </w:r>
      <w:r>
        <w:rPr>
          <w:rFonts w:hint="eastAsia" w:ascii="ˎ̥" w:hAnsi="ˎ̥" w:cs="Arial"/>
          <w:color w:val="000000"/>
        </w:rPr>
        <w:t>单位</w:t>
      </w:r>
      <w:r>
        <w:rPr>
          <w:rFonts w:hint="eastAsia" w:ascii="ˎ̥" w:hAnsi="ˎ̥" w:cs="Arial"/>
          <w:color w:val="000000"/>
          <w:lang w:eastAsia="zh-CN"/>
        </w:rPr>
        <w:t>2022年</w:t>
      </w:r>
      <w:r>
        <w:rPr>
          <w:rFonts w:hint="eastAsia" w:ascii="ˎ̥" w:hAnsi="ˎ̥" w:cs="Arial"/>
          <w:color w:val="000000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ˎ̥" w:hAnsi="ˎ̥" w:cs="Arial"/>
          <w:color w:val="000000"/>
        </w:rPr>
        <w:t>。</w:t>
      </w:r>
    </w:p>
    <w:p>
      <w:pPr>
        <w:pStyle w:val="4"/>
        <w:spacing w:line="360" w:lineRule="auto"/>
        <w:rPr>
          <w:rFonts w:ascii="ˎ̥" w:hAnsi="ˎ̥" w:cs="Arial"/>
          <w:b/>
          <w:color w:val="000000"/>
        </w:rPr>
      </w:pPr>
      <w:r>
        <w:rPr>
          <w:rFonts w:ascii="ˎ̥" w:hAnsi="ˎ̥" w:cs="Arial"/>
          <w:b/>
          <w:color w:val="000000"/>
        </w:rPr>
        <w:t>　　(四)国有资产占用情况。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</w:rPr>
        <w:t>我单位无保留公务车辆</w:t>
      </w:r>
      <w:r>
        <w:rPr>
          <w:rFonts w:ascii="ˎ̥" w:hAnsi="ˎ̥" w:cs="Arial"/>
          <w:color w:val="000000"/>
        </w:rPr>
        <w:t>。</w:t>
      </w:r>
      <w:r>
        <w:rPr>
          <w:rFonts w:hint="eastAsia" w:ascii="ˎ̥" w:hAnsi="ˎ̥" w:cs="Arial"/>
          <w:color w:val="000000"/>
        </w:rPr>
        <w:t>2021年底，我单位共有公车0辆，单价50万元以上的通用设备0台（套），单位价值100万以上的专业设备0台（套）。</w:t>
      </w:r>
    </w:p>
    <w:p>
      <w:pPr>
        <w:pStyle w:val="4"/>
        <w:spacing w:line="360" w:lineRule="auto"/>
        <w:rPr>
          <w:rFonts w:ascii="ˎ̥" w:hAnsi="ˎ̥" w:cs="Arial"/>
          <w:b/>
          <w:color w:val="000000"/>
        </w:rPr>
      </w:pPr>
      <w:r>
        <w:rPr>
          <w:rFonts w:ascii="ˎ̥" w:hAnsi="ˎ̥" w:cs="Arial"/>
          <w:b/>
          <w:color w:val="000000"/>
        </w:rPr>
        <w:t>　　(五)专项转移支付项目情况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我单位没有负责管理的专项转移支付项目。</w:t>
      </w: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7"/>
          <w:rFonts w:ascii="ˎ̥" w:hAnsi="ˎ̥" w:cs="Arial"/>
          <w:color w:val="000000"/>
        </w:rPr>
        <w:t>　</w:t>
      </w: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Style w:val="7"/>
          <w:rFonts w:ascii="ˎ̥" w:hAnsi="ˎ̥" w:cs="Arial"/>
          <w:color w:val="000000"/>
        </w:rPr>
      </w:pPr>
    </w:p>
    <w:p>
      <w:pPr>
        <w:pStyle w:val="4"/>
        <w:spacing w:line="360" w:lineRule="auto"/>
        <w:jc w:val="center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第三部分</w:t>
      </w:r>
    </w:p>
    <w:p>
      <w:pPr>
        <w:pStyle w:val="4"/>
        <w:spacing w:line="360" w:lineRule="auto"/>
        <w:jc w:val="center"/>
        <w:rPr>
          <w:rFonts w:ascii="ˎ̥" w:hAnsi="ˎ̥" w:cs="Arial"/>
          <w:color w:val="000000"/>
        </w:rPr>
      </w:pPr>
      <w:r>
        <w:rPr>
          <w:rStyle w:val="7"/>
          <w:rFonts w:ascii="ˎ̥" w:hAnsi="ˎ̥" w:cs="Arial"/>
          <w:color w:val="000000"/>
        </w:rPr>
        <w:t>名词解释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一、财政拨款收入：是指省级财政当年拨付的资金。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二、事业收入：是指事业单位开展专业活动及辅助活动所取得的收入。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三、其他收入：是指部门取得的除“财政拨款”、“事业收入”、“事业单位经营收入”等以外的收入。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五、基本支出：是指为保障机构正常运转、完成日常工作任务所必需的开支，其内容包括人员经费和日常公用经费两部分。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六、项目支出：是指在基本支出之外，为完成特定的行政工作任务或事业发展目标所发生的支出。</w:t>
      </w:r>
    </w:p>
    <w:p>
      <w:pPr>
        <w:pStyle w:val="4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七、“三公”经费：是指纳入省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pStyle w:val="4"/>
        <w:spacing w:line="360" w:lineRule="auto"/>
      </w:pPr>
      <w:r>
        <w:rPr>
          <w:rFonts w:ascii="ˎ̥" w:hAnsi="ˎ̥" w:cs="Arial"/>
          <w:color w:val="000000"/>
        </w:rPr>
        <w:t>　　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7702DD"/>
    <w:rsid w:val="00002F35"/>
    <w:rsid w:val="0005446B"/>
    <w:rsid w:val="000B1501"/>
    <w:rsid w:val="00123D12"/>
    <w:rsid w:val="00153D87"/>
    <w:rsid w:val="0015682A"/>
    <w:rsid w:val="00164240"/>
    <w:rsid w:val="001A166E"/>
    <w:rsid w:val="001F23DD"/>
    <w:rsid w:val="0021657A"/>
    <w:rsid w:val="00276FE5"/>
    <w:rsid w:val="002B6DE2"/>
    <w:rsid w:val="0030003B"/>
    <w:rsid w:val="003757FF"/>
    <w:rsid w:val="004E1079"/>
    <w:rsid w:val="00522505"/>
    <w:rsid w:val="005A43E4"/>
    <w:rsid w:val="005E7632"/>
    <w:rsid w:val="005F18F3"/>
    <w:rsid w:val="00680E0C"/>
    <w:rsid w:val="006A250D"/>
    <w:rsid w:val="007217D9"/>
    <w:rsid w:val="0072669D"/>
    <w:rsid w:val="0074237E"/>
    <w:rsid w:val="007702DD"/>
    <w:rsid w:val="00790D93"/>
    <w:rsid w:val="00805001"/>
    <w:rsid w:val="00846A7C"/>
    <w:rsid w:val="00855987"/>
    <w:rsid w:val="00914B2E"/>
    <w:rsid w:val="0095332E"/>
    <w:rsid w:val="00967FE8"/>
    <w:rsid w:val="00980701"/>
    <w:rsid w:val="009A676F"/>
    <w:rsid w:val="009B2354"/>
    <w:rsid w:val="009D1689"/>
    <w:rsid w:val="00A32B77"/>
    <w:rsid w:val="00BC742B"/>
    <w:rsid w:val="00C156D1"/>
    <w:rsid w:val="00C432DC"/>
    <w:rsid w:val="00CF1ADA"/>
    <w:rsid w:val="00D24C39"/>
    <w:rsid w:val="00DD16D5"/>
    <w:rsid w:val="00E014BD"/>
    <w:rsid w:val="00E158F8"/>
    <w:rsid w:val="00E2056A"/>
    <w:rsid w:val="00E4301A"/>
    <w:rsid w:val="00E87068"/>
    <w:rsid w:val="00ED64C6"/>
    <w:rsid w:val="00EE35B8"/>
    <w:rsid w:val="00EF02BB"/>
    <w:rsid w:val="00F3756F"/>
    <w:rsid w:val="00F70686"/>
    <w:rsid w:val="00FB5F8E"/>
    <w:rsid w:val="00FD7E0E"/>
    <w:rsid w:val="05391B3D"/>
    <w:rsid w:val="05C3315A"/>
    <w:rsid w:val="0775396D"/>
    <w:rsid w:val="080C1C40"/>
    <w:rsid w:val="0AFF3555"/>
    <w:rsid w:val="0BDD5BE3"/>
    <w:rsid w:val="0C2069C7"/>
    <w:rsid w:val="10825BE7"/>
    <w:rsid w:val="12F164BE"/>
    <w:rsid w:val="13F91BD4"/>
    <w:rsid w:val="14465682"/>
    <w:rsid w:val="15075914"/>
    <w:rsid w:val="15BD469A"/>
    <w:rsid w:val="18D04D46"/>
    <w:rsid w:val="1B3363CB"/>
    <w:rsid w:val="1B90113A"/>
    <w:rsid w:val="23614E2A"/>
    <w:rsid w:val="23A26AE8"/>
    <w:rsid w:val="27FA18C3"/>
    <w:rsid w:val="29D04D60"/>
    <w:rsid w:val="2A8F3FF9"/>
    <w:rsid w:val="31371876"/>
    <w:rsid w:val="34977E30"/>
    <w:rsid w:val="38ED3A6E"/>
    <w:rsid w:val="3B765F9D"/>
    <w:rsid w:val="3B8F1EB6"/>
    <w:rsid w:val="3BB13244"/>
    <w:rsid w:val="3BFD221A"/>
    <w:rsid w:val="3D536596"/>
    <w:rsid w:val="402B32BA"/>
    <w:rsid w:val="433F56BC"/>
    <w:rsid w:val="44822873"/>
    <w:rsid w:val="48D86AE9"/>
    <w:rsid w:val="4AAA033A"/>
    <w:rsid w:val="57B72232"/>
    <w:rsid w:val="5BAA4A84"/>
    <w:rsid w:val="63B308D1"/>
    <w:rsid w:val="688B2CB8"/>
    <w:rsid w:val="71E42AE0"/>
    <w:rsid w:val="736F0222"/>
    <w:rsid w:val="75802D08"/>
    <w:rsid w:val="795E04A6"/>
    <w:rsid w:val="7A7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3778</Words>
  <Characters>3964</Characters>
  <Lines>23</Lines>
  <Paragraphs>6</Paragraphs>
  <TotalTime>2</TotalTime>
  <ScaleCrop>false</ScaleCrop>
  <LinksUpToDate>false</LinksUpToDate>
  <CharactersWithSpaces>4041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2018-05-03T09:56:00Z</dcterms:created>
  <dc:creator>larry</dc:creator>
  <cp:lastModifiedBy>付小倩</cp:lastModifiedBy>
  <dcterms:modified xsi:type="dcterms:W3CDTF">2023-04-28T09:59:11Z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8CFFBD344B3848B98C86E0A3435AE6CE</vt:lpwstr>
  </property>
</Properties>
</file>