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信阳市平桥区洪山水库管理所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一、主要职能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二、机构设置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kern w:val="0"/>
          <w:sz w:val="32"/>
          <w:szCs w:val="32"/>
        </w:rPr>
        <w:t>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预算项目绩效目标表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水库及库区工程管理。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水利工程运行管理。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水库供水及管理。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水产工程养殖库区渔政管理。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防汛抗旱管理。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二、信阳市平桥区洪山水库管理所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洪山水库管理所下设置办公室、财务室等。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纳入信阳市平桥区洪山水库管理所2022年度预算编制范围的单位共1个，包括信阳市洪山水库管理所1个事业单位。</w:t>
      </w: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第二部分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pStyle w:val="7"/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232.85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232.85</w:t>
      </w:r>
      <w:r>
        <w:rPr>
          <w:rFonts w:ascii="仿宋" w:hAnsi="仿宋" w:eastAsia="仿宋" w:cs="宋体"/>
          <w:kern w:val="0"/>
          <w:sz w:val="32"/>
          <w:szCs w:val="32"/>
        </w:rPr>
        <w:t>万元，与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相比，收、支总计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29.6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下降11.27</w:t>
      </w:r>
      <w:r>
        <w:rPr>
          <w:rFonts w:ascii="仿宋" w:hAnsi="仿宋" w:eastAsia="仿宋" w:cs="宋体"/>
          <w:kern w:val="0"/>
          <w:sz w:val="32"/>
          <w:szCs w:val="32"/>
        </w:rPr>
        <w:t>%。主要原因：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单位部分人员退休。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232.85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232.85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232.85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232.85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信阳市平桥区洪山水库管理所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232.85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29.6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11.27</w:t>
      </w:r>
      <w:r>
        <w:rPr>
          <w:rFonts w:ascii="仿宋" w:hAnsi="仿宋" w:eastAsia="仿宋" w:cs="宋体"/>
          <w:kern w:val="0"/>
          <w:sz w:val="32"/>
          <w:szCs w:val="32"/>
        </w:rPr>
        <w:t>%，主要原因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单位部分人员退休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信阳市平桥区洪山水库管理所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232.85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万元。主要用于以下方面：社会保障和就业（类）支出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21.3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9.15</w:t>
      </w:r>
      <w:r>
        <w:rPr>
          <w:rFonts w:ascii="仿宋" w:hAnsi="仿宋" w:eastAsia="仿宋" w:cs="宋体"/>
          <w:kern w:val="0"/>
          <w:sz w:val="32"/>
          <w:szCs w:val="32"/>
        </w:rPr>
        <w:t>%；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卫生健康</w:t>
      </w:r>
      <w:r>
        <w:rPr>
          <w:rFonts w:ascii="仿宋" w:hAnsi="仿宋" w:eastAsia="仿宋" w:cs="宋体"/>
          <w:kern w:val="0"/>
          <w:sz w:val="32"/>
          <w:szCs w:val="32"/>
        </w:rPr>
        <w:t>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11.05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4.75</w:t>
      </w:r>
      <w:r>
        <w:rPr>
          <w:rFonts w:ascii="仿宋" w:hAnsi="仿宋" w:eastAsia="仿宋" w:cs="宋体"/>
          <w:kern w:val="0"/>
          <w:sz w:val="32"/>
          <w:szCs w:val="32"/>
        </w:rPr>
        <w:t>%；农林水（类）支出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184.52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79.24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ascii="仿宋" w:hAnsi="仿宋" w:eastAsia="仿宋" w:cs="宋体"/>
          <w:kern w:val="0"/>
          <w:sz w:val="32"/>
          <w:szCs w:val="32"/>
        </w:rPr>
        <w:t>；住房保障（类）支出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15.98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6.85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一般公共预算基本支出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232.85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万元，其中：人员经费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219.51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13.34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信阳市平桥区洪山水库管理所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“三公”经费支出预算数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持平，均为0万元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主要用于国际旅费、国外城市间交通费、住宿费、伙食费、公杂费和其他费用。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3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主要用于执行公务、开展业务活动的交通费、住宿费、用餐费等。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主要用于开展工作所需公务用车的燃料费、维修费、过路过桥费、保险费、安全奖励费用等支出，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公务用车购置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公务用车购置。公务用车购置费预算数和公务用车运行维护费预算数与2021年持平，均为0万元。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我单位2022年无政府性基金预算支出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本单位为事业单位。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我单位2022年无预算项目，因此不涉及绩效目标设置情况。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信阳市平桥区洪山水库管理所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</w:t>
      </w:r>
      <w:r>
        <w:rPr>
          <w:rFonts w:ascii="仿宋" w:hAnsi="仿宋" w:eastAsia="仿宋" w:cs="宋体"/>
          <w:kern w:val="0"/>
          <w:sz w:val="32"/>
          <w:szCs w:val="32"/>
        </w:rPr>
        <w:t>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sz w:val="30"/>
          <w:szCs w:val="30"/>
        </w:rPr>
        <w:t>我单位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22年度没有</w:t>
      </w:r>
      <w:r>
        <w:rPr>
          <w:rFonts w:hint="eastAsia" w:ascii="仿宋" w:hAnsi="仿宋" w:eastAsia="仿宋" w:cs="仿宋_GB2312"/>
          <w:sz w:val="30"/>
          <w:szCs w:val="30"/>
        </w:rPr>
        <w:t>专项转移支付项目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平桥区洪山水库管理所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年预算表</w:t>
      </w:r>
      <w: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10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3415E"/>
    <w:multiLevelType w:val="singleLevel"/>
    <w:tmpl w:val="297341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zE3OWE5ZDg5NDI4MGQ2N2M0YzlmNTQ4NDVlZmEifQ=="/>
  </w:docVars>
  <w:rsids>
    <w:rsidRoot w:val="00000000"/>
    <w:rsid w:val="00207852"/>
    <w:rsid w:val="02445A7A"/>
    <w:rsid w:val="02463B10"/>
    <w:rsid w:val="067526A6"/>
    <w:rsid w:val="09364543"/>
    <w:rsid w:val="0A6F1B02"/>
    <w:rsid w:val="0C587660"/>
    <w:rsid w:val="0F0461E6"/>
    <w:rsid w:val="129F51E6"/>
    <w:rsid w:val="144153E7"/>
    <w:rsid w:val="14AB0A58"/>
    <w:rsid w:val="14C36CD2"/>
    <w:rsid w:val="17AD5A18"/>
    <w:rsid w:val="19950897"/>
    <w:rsid w:val="1BD12DCA"/>
    <w:rsid w:val="1C34759A"/>
    <w:rsid w:val="1D9C09E6"/>
    <w:rsid w:val="1E940EEE"/>
    <w:rsid w:val="1F310DAE"/>
    <w:rsid w:val="2069348A"/>
    <w:rsid w:val="24133DF1"/>
    <w:rsid w:val="247D7719"/>
    <w:rsid w:val="2501467F"/>
    <w:rsid w:val="25873D4C"/>
    <w:rsid w:val="26076CBD"/>
    <w:rsid w:val="26B86B17"/>
    <w:rsid w:val="288C45F1"/>
    <w:rsid w:val="29C8276C"/>
    <w:rsid w:val="2A9F38E6"/>
    <w:rsid w:val="2BCB7B04"/>
    <w:rsid w:val="2D184F94"/>
    <w:rsid w:val="30DF65F0"/>
    <w:rsid w:val="32EB6CD2"/>
    <w:rsid w:val="33154745"/>
    <w:rsid w:val="3663227D"/>
    <w:rsid w:val="3ED656D0"/>
    <w:rsid w:val="3F095A68"/>
    <w:rsid w:val="40624D42"/>
    <w:rsid w:val="424119A9"/>
    <w:rsid w:val="4521341D"/>
    <w:rsid w:val="456652D4"/>
    <w:rsid w:val="46FC6FF6"/>
    <w:rsid w:val="478A7058"/>
    <w:rsid w:val="49186ABF"/>
    <w:rsid w:val="49423962"/>
    <w:rsid w:val="49F61DEB"/>
    <w:rsid w:val="4A4A5CF9"/>
    <w:rsid w:val="4AE845E7"/>
    <w:rsid w:val="4E7760C6"/>
    <w:rsid w:val="4F4E59AC"/>
    <w:rsid w:val="506D0E6D"/>
    <w:rsid w:val="50AD2EA7"/>
    <w:rsid w:val="51383FC9"/>
    <w:rsid w:val="5160707C"/>
    <w:rsid w:val="51B074A6"/>
    <w:rsid w:val="51BB02B5"/>
    <w:rsid w:val="536E6D51"/>
    <w:rsid w:val="58BB5811"/>
    <w:rsid w:val="5976568E"/>
    <w:rsid w:val="5D086D5A"/>
    <w:rsid w:val="5DAD189A"/>
    <w:rsid w:val="5F552F7D"/>
    <w:rsid w:val="5FD90725"/>
    <w:rsid w:val="659770B8"/>
    <w:rsid w:val="67C0189B"/>
    <w:rsid w:val="68103152"/>
    <w:rsid w:val="68707874"/>
    <w:rsid w:val="69C93894"/>
    <w:rsid w:val="6A014E5B"/>
    <w:rsid w:val="6C9854C4"/>
    <w:rsid w:val="6D17608D"/>
    <w:rsid w:val="6D260D22"/>
    <w:rsid w:val="6E1805FE"/>
    <w:rsid w:val="6E361438"/>
    <w:rsid w:val="71786C7C"/>
    <w:rsid w:val="71DA004A"/>
    <w:rsid w:val="751017BA"/>
    <w:rsid w:val="785C31E9"/>
    <w:rsid w:val="787E1A12"/>
    <w:rsid w:val="78DD0595"/>
    <w:rsid w:val="7994240D"/>
    <w:rsid w:val="7B633C51"/>
    <w:rsid w:val="7D833AD7"/>
    <w:rsid w:val="7DA34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 Char"/>
    <w:link w:val="6"/>
    <w:qFormat/>
    <w:uiPriority w:val="99"/>
    <w:rPr>
      <w:sz w:val="18"/>
      <w:szCs w:val="18"/>
    </w:rPr>
  </w:style>
  <w:style w:type="character" w:customStyle="1" w:styleId="13">
    <w:name w:val="页脚 Char Char"/>
    <w:link w:val="5"/>
    <w:qFormat/>
    <w:uiPriority w:val="99"/>
    <w:rPr>
      <w:sz w:val="18"/>
      <w:szCs w:val="18"/>
    </w:rPr>
  </w:style>
  <w:style w:type="character" w:customStyle="1" w:styleId="14">
    <w:name w:val="批注框文本 Char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日期 Char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2859</Words>
  <Characters>3053</Characters>
  <Lines>29</Lines>
  <Paragraphs>8</Paragraphs>
  <TotalTime>0</TotalTime>
  <ScaleCrop>false</ScaleCrop>
  <LinksUpToDate>false</LinksUpToDate>
  <CharactersWithSpaces>3072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2018-03-19T07:31:00Z</dcterms:created>
  <dc:creator>预算</dc:creator>
  <cp:lastModifiedBy>yuxin</cp:lastModifiedBy>
  <cp:lastPrinted>2020-06-04T09:09:00Z</cp:lastPrinted>
  <dcterms:modified xsi:type="dcterms:W3CDTF">2023-04-28T03:26:53Z</dcterms:modified>
  <dc:title>看过后删除的备注：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1329B1ECB7B1419B814C1CE4D4A5EBBB</vt:lpwstr>
  </property>
</Properties>
</file>