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364"/>
        </w:tabs>
        <w:kinsoku w:val="0"/>
        <w:overflowPunct w:val="0"/>
        <w:adjustRightInd w:val="0"/>
        <w:snapToGrid w:val="0"/>
        <w:spacing w:line="560" w:lineRule="exact"/>
        <w:ind w:right="42"/>
        <w:jc w:val="center"/>
        <w:rPr>
          <w:rFonts w:hint="eastAsia" w:ascii="黑体" w:hAnsi="黑体" w:eastAsia="黑体" w:cs="Times New Roman"/>
          <w:sz w:val="48"/>
          <w:szCs w:val="48"/>
        </w:rPr>
      </w:pPr>
    </w:p>
    <w:p>
      <w:pPr>
        <w:tabs>
          <w:tab w:val="left" w:pos="8364"/>
        </w:tabs>
        <w:kinsoku w:val="0"/>
        <w:overflowPunct w:val="0"/>
        <w:adjustRightInd w:val="0"/>
        <w:snapToGrid w:val="0"/>
        <w:spacing w:line="560" w:lineRule="exact"/>
        <w:ind w:right="42"/>
        <w:jc w:val="center"/>
        <w:rPr>
          <w:rFonts w:hint="eastAsia" w:ascii="黑体" w:hAnsi="黑体" w:eastAsia="黑体" w:cs="Times New Roman"/>
          <w:sz w:val="48"/>
          <w:szCs w:val="48"/>
        </w:rPr>
      </w:pPr>
    </w:p>
    <w:p>
      <w:pPr>
        <w:tabs>
          <w:tab w:val="left" w:pos="8364"/>
        </w:tabs>
        <w:kinsoku w:val="0"/>
        <w:overflowPunct w:val="0"/>
        <w:adjustRightInd w:val="0"/>
        <w:snapToGrid w:val="0"/>
        <w:spacing w:line="560" w:lineRule="exact"/>
        <w:ind w:right="42"/>
        <w:jc w:val="center"/>
        <w:rPr>
          <w:rFonts w:hint="eastAsia" w:ascii="黑体" w:hAnsi="黑体" w:eastAsia="黑体" w:cs="Times New Roman"/>
          <w:sz w:val="48"/>
          <w:szCs w:val="48"/>
        </w:rPr>
      </w:pPr>
    </w:p>
    <w:p>
      <w:pPr>
        <w:tabs>
          <w:tab w:val="left" w:pos="8364"/>
        </w:tabs>
        <w:kinsoku w:val="0"/>
        <w:overflowPunct w:val="0"/>
        <w:adjustRightInd w:val="0"/>
        <w:snapToGrid w:val="0"/>
        <w:spacing w:line="560" w:lineRule="exact"/>
        <w:ind w:right="42"/>
        <w:jc w:val="center"/>
        <w:rPr>
          <w:rFonts w:hint="eastAsia" w:ascii="黑体" w:hAnsi="黑体" w:eastAsia="黑体" w:cs="Times New Roman"/>
          <w:sz w:val="48"/>
          <w:szCs w:val="48"/>
        </w:rPr>
      </w:pPr>
    </w:p>
    <w:p>
      <w:pPr>
        <w:tabs>
          <w:tab w:val="left" w:pos="8364"/>
        </w:tabs>
        <w:kinsoku w:val="0"/>
        <w:overflowPunct w:val="0"/>
        <w:adjustRightInd w:val="0"/>
        <w:snapToGrid w:val="0"/>
        <w:spacing w:line="560" w:lineRule="exact"/>
        <w:ind w:right="42"/>
        <w:jc w:val="center"/>
        <w:rPr>
          <w:rFonts w:hint="eastAsia" w:ascii="黑体" w:hAnsi="黑体" w:eastAsia="黑体" w:cs="Times New Roman"/>
          <w:sz w:val="48"/>
          <w:szCs w:val="48"/>
        </w:rPr>
      </w:pPr>
    </w:p>
    <w:p>
      <w:pPr>
        <w:tabs>
          <w:tab w:val="left" w:pos="8364"/>
        </w:tabs>
        <w:kinsoku w:val="0"/>
        <w:overflowPunct w:val="0"/>
        <w:adjustRightInd w:val="0"/>
        <w:snapToGrid w:val="0"/>
        <w:spacing w:line="560" w:lineRule="exact"/>
        <w:ind w:right="42"/>
        <w:jc w:val="center"/>
        <w:rPr>
          <w:rFonts w:hint="eastAsia" w:ascii="黑体" w:hAnsi="黑体" w:eastAsia="黑体" w:cs="Times New Roman"/>
          <w:sz w:val="48"/>
          <w:szCs w:val="48"/>
        </w:rPr>
      </w:pPr>
    </w:p>
    <w:p>
      <w:pPr>
        <w:tabs>
          <w:tab w:val="left" w:pos="8364"/>
        </w:tabs>
        <w:kinsoku w:val="0"/>
        <w:overflowPunct w:val="0"/>
        <w:adjustRightInd w:val="0"/>
        <w:snapToGrid w:val="0"/>
        <w:spacing w:line="560" w:lineRule="exact"/>
        <w:ind w:right="42"/>
        <w:jc w:val="center"/>
        <w:rPr>
          <w:rFonts w:hint="eastAsia" w:ascii="黑体" w:hAnsi="黑体" w:eastAsia="黑体" w:cs="Times New Roman"/>
          <w:sz w:val="48"/>
          <w:szCs w:val="48"/>
        </w:rPr>
      </w:pPr>
    </w:p>
    <w:p>
      <w:pPr>
        <w:tabs>
          <w:tab w:val="left" w:pos="8364"/>
        </w:tabs>
        <w:kinsoku w:val="0"/>
        <w:overflowPunct w:val="0"/>
        <w:adjustRightInd w:val="0"/>
        <w:snapToGrid w:val="0"/>
        <w:spacing w:line="560" w:lineRule="exact"/>
        <w:ind w:right="42"/>
        <w:jc w:val="center"/>
        <w:rPr>
          <w:rFonts w:hint="eastAsia" w:ascii="黑体" w:hAnsi="黑体" w:eastAsia="黑体" w:cs="Times New Roman"/>
          <w:sz w:val="48"/>
          <w:szCs w:val="48"/>
        </w:rPr>
      </w:pPr>
    </w:p>
    <w:p>
      <w:pPr>
        <w:tabs>
          <w:tab w:val="left" w:pos="8364"/>
        </w:tabs>
        <w:kinsoku w:val="0"/>
        <w:overflowPunct w:val="0"/>
        <w:adjustRightInd w:val="0"/>
        <w:snapToGrid w:val="0"/>
        <w:spacing w:line="560" w:lineRule="exact"/>
        <w:ind w:right="42"/>
        <w:jc w:val="center"/>
        <w:rPr>
          <w:rFonts w:hint="eastAsia" w:ascii="黑体" w:hAnsi="黑体" w:eastAsia="黑体" w:cs="Times New Roman"/>
          <w:sz w:val="48"/>
          <w:szCs w:val="48"/>
        </w:rPr>
      </w:pPr>
    </w:p>
    <w:p>
      <w:pPr>
        <w:tabs>
          <w:tab w:val="left" w:pos="8364"/>
        </w:tabs>
        <w:kinsoku w:val="0"/>
        <w:overflowPunct w:val="0"/>
        <w:adjustRightInd w:val="0"/>
        <w:snapToGrid w:val="0"/>
        <w:spacing w:line="560" w:lineRule="exact"/>
        <w:ind w:right="42"/>
        <w:jc w:val="center"/>
        <w:rPr>
          <w:rFonts w:hint="eastAsia" w:ascii="黑体" w:hAnsi="黑体" w:eastAsia="黑体" w:cs="Times New Roman"/>
          <w:sz w:val="48"/>
          <w:szCs w:val="48"/>
        </w:rPr>
      </w:pPr>
    </w:p>
    <w:p>
      <w:pPr>
        <w:tabs>
          <w:tab w:val="left" w:pos="8364"/>
        </w:tabs>
        <w:kinsoku w:val="0"/>
        <w:overflowPunct w:val="0"/>
        <w:adjustRightInd w:val="0"/>
        <w:snapToGrid w:val="0"/>
        <w:spacing w:line="560" w:lineRule="exact"/>
        <w:ind w:right="42"/>
        <w:jc w:val="center"/>
        <w:rPr>
          <w:rFonts w:hint="eastAsia" w:ascii="黑体" w:hAnsi="黑体" w:eastAsia="黑体" w:cs="Times New Roman"/>
          <w:sz w:val="48"/>
          <w:szCs w:val="48"/>
        </w:rPr>
      </w:pPr>
    </w:p>
    <w:p>
      <w:pPr>
        <w:tabs>
          <w:tab w:val="left" w:pos="8364"/>
        </w:tabs>
        <w:kinsoku w:val="0"/>
        <w:overflowPunct w:val="0"/>
        <w:adjustRightInd w:val="0"/>
        <w:snapToGrid w:val="0"/>
        <w:spacing w:line="560" w:lineRule="exact"/>
        <w:ind w:right="42"/>
        <w:jc w:val="center"/>
        <w:rPr>
          <w:rFonts w:hint="eastAsia" w:ascii="黑体" w:hAnsi="黑体" w:eastAsia="黑体" w:cs="Times New Roman"/>
          <w:sz w:val="48"/>
          <w:szCs w:val="48"/>
        </w:rPr>
      </w:pPr>
      <w:r>
        <w:rPr>
          <w:rFonts w:hint="eastAsia" w:ascii="黑体" w:hAnsi="黑体" w:eastAsia="黑体" w:cs="Times New Roman"/>
          <w:sz w:val="48"/>
          <w:szCs w:val="48"/>
        </w:rPr>
        <w:t>信阳市平桥区水产技术研究推广中心</w:t>
      </w:r>
    </w:p>
    <w:p>
      <w:pPr>
        <w:tabs>
          <w:tab w:val="left" w:pos="8364"/>
        </w:tabs>
        <w:kinsoku w:val="0"/>
        <w:overflowPunct w:val="0"/>
        <w:adjustRightInd w:val="0"/>
        <w:snapToGrid w:val="0"/>
        <w:spacing w:line="560" w:lineRule="exact"/>
        <w:ind w:right="42"/>
        <w:jc w:val="center"/>
        <w:rPr>
          <w:rFonts w:hint="eastAsia" w:ascii="黑体" w:hAnsi="黑体" w:eastAsia="黑体" w:cs="Times New Roman"/>
          <w:sz w:val="48"/>
          <w:szCs w:val="48"/>
          <w:lang w:val="en-US" w:eastAsia="zh-CN"/>
        </w:rPr>
      </w:pPr>
      <w:r>
        <w:rPr>
          <w:rFonts w:hint="eastAsia" w:ascii="黑体" w:hAnsi="黑体" w:eastAsia="黑体" w:cs="Times New Roman"/>
          <w:sz w:val="48"/>
          <w:szCs w:val="48"/>
          <w:lang w:val="en-US" w:eastAsia="zh-CN"/>
        </w:rPr>
        <w:t>2022年度</w:t>
      </w:r>
      <w:r>
        <w:rPr>
          <w:rFonts w:hint="eastAsia" w:ascii="黑体" w:hAnsi="黑体" w:eastAsia="黑体" w:cs="Times New Roman"/>
          <w:sz w:val="48"/>
          <w:szCs w:val="48"/>
        </w:rPr>
        <w:t>预算</w:t>
      </w:r>
      <w:r>
        <w:rPr>
          <w:rFonts w:hint="eastAsia" w:ascii="黑体" w:hAnsi="黑体" w:eastAsia="黑体" w:cs="Times New Roman"/>
          <w:sz w:val="48"/>
          <w:szCs w:val="48"/>
          <w:lang w:val="en-US" w:eastAsia="zh-CN"/>
        </w:rPr>
        <w:t>说明</w:t>
      </w:r>
    </w:p>
    <w:p>
      <w:pPr>
        <w:pStyle w:val="4"/>
        <w:spacing w:line="360" w:lineRule="auto"/>
        <w:ind w:firstLine="472" w:firstLineChars="196"/>
        <w:rPr>
          <w:rStyle w:val="7"/>
          <w:rFonts w:ascii="ˎ̥" w:hAnsi="ˎ̥"/>
          <w:color w:val="auto"/>
        </w:rPr>
      </w:pPr>
    </w:p>
    <w:p>
      <w:pPr>
        <w:pStyle w:val="4"/>
        <w:spacing w:line="360" w:lineRule="auto"/>
        <w:ind w:firstLine="472" w:firstLineChars="196"/>
        <w:rPr>
          <w:rStyle w:val="7"/>
          <w:rFonts w:ascii="ˎ̥" w:hAnsi="ˎ̥"/>
          <w:color w:val="auto"/>
        </w:rPr>
      </w:pPr>
    </w:p>
    <w:p>
      <w:pPr>
        <w:pStyle w:val="4"/>
        <w:spacing w:line="360" w:lineRule="auto"/>
        <w:ind w:firstLine="472" w:firstLineChars="196"/>
        <w:rPr>
          <w:rStyle w:val="7"/>
          <w:rFonts w:ascii="ˎ̥" w:hAnsi="ˎ̥"/>
          <w:color w:val="auto"/>
        </w:rPr>
      </w:pPr>
    </w:p>
    <w:p>
      <w:pPr>
        <w:pStyle w:val="4"/>
        <w:spacing w:line="360" w:lineRule="auto"/>
        <w:ind w:firstLine="472" w:firstLineChars="196"/>
        <w:rPr>
          <w:rStyle w:val="7"/>
          <w:rFonts w:ascii="ˎ̥" w:hAnsi="ˎ̥"/>
          <w:color w:val="auto"/>
        </w:rPr>
      </w:pPr>
    </w:p>
    <w:p>
      <w:pPr>
        <w:pStyle w:val="4"/>
        <w:spacing w:line="360" w:lineRule="auto"/>
        <w:ind w:firstLine="472" w:firstLineChars="196"/>
        <w:rPr>
          <w:rStyle w:val="7"/>
          <w:rFonts w:ascii="ˎ̥" w:hAnsi="ˎ̥"/>
          <w:color w:val="auto"/>
        </w:rPr>
      </w:pPr>
    </w:p>
    <w:p>
      <w:pPr>
        <w:pStyle w:val="4"/>
        <w:spacing w:line="360" w:lineRule="auto"/>
        <w:ind w:firstLine="472" w:firstLineChars="196"/>
        <w:rPr>
          <w:rStyle w:val="7"/>
          <w:rFonts w:ascii="ˎ̥" w:hAnsi="ˎ̥"/>
          <w:color w:val="auto"/>
        </w:rPr>
      </w:pPr>
    </w:p>
    <w:p>
      <w:pPr>
        <w:pStyle w:val="4"/>
        <w:spacing w:line="360" w:lineRule="auto"/>
        <w:ind w:firstLine="472" w:firstLineChars="196"/>
        <w:rPr>
          <w:rStyle w:val="7"/>
          <w:rFonts w:ascii="ˎ̥" w:hAnsi="ˎ̥"/>
          <w:color w:val="auto"/>
        </w:rPr>
      </w:pPr>
    </w:p>
    <w:p>
      <w:pPr>
        <w:pStyle w:val="4"/>
        <w:spacing w:line="360" w:lineRule="auto"/>
        <w:ind w:firstLine="472" w:firstLineChars="196"/>
        <w:rPr>
          <w:rStyle w:val="7"/>
          <w:rFonts w:ascii="ˎ̥" w:hAnsi="ˎ̥"/>
          <w:color w:val="auto"/>
        </w:rPr>
      </w:pPr>
    </w:p>
    <w:p>
      <w:pPr>
        <w:pStyle w:val="4"/>
        <w:spacing w:line="360" w:lineRule="auto"/>
        <w:ind w:firstLine="472" w:firstLineChars="196"/>
        <w:rPr>
          <w:rStyle w:val="7"/>
          <w:rFonts w:ascii="ˎ̥" w:hAnsi="ˎ̥"/>
          <w:color w:val="auto"/>
        </w:rPr>
      </w:pPr>
    </w:p>
    <w:p>
      <w:pPr>
        <w:spacing w:after="240" w:line="600" w:lineRule="exact"/>
        <w:jc w:val="center"/>
        <w:rPr>
          <w:rFonts w:ascii="新宋体" w:hAnsi="新宋体" w:eastAsia="新宋体" w:cs="宋体"/>
          <w:kern w:val="0"/>
          <w:sz w:val="44"/>
          <w:szCs w:val="44"/>
        </w:rPr>
      </w:pPr>
      <w:r>
        <w:rPr>
          <w:rFonts w:ascii="新宋体" w:hAnsi="新宋体" w:eastAsia="新宋体" w:cs="宋体"/>
          <w:b/>
          <w:bCs/>
          <w:kern w:val="0"/>
          <w:sz w:val="44"/>
          <w:szCs w:val="44"/>
        </w:rPr>
        <w:t>　　目</w:t>
      </w:r>
      <w:r>
        <w:rPr>
          <w:rFonts w:hint="eastAsia" w:ascii="新宋体" w:hAnsi="新宋体" w:eastAsia="新宋体" w:cs="宋体"/>
          <w:b/>
          <w:bCs/>
          <w:kern w:val="0"/>
          <w:sz w:val="44"/>
          <w:szCs w:val="44"/>
        </w:rPr>
        <w:t> </w:t>
      </w:r>
      <w:r>
        <w:rPr>
          <w:rFonts w:ascii="新宋体" w:hAnsi="新宋体" w:eastAsia="新宋体" w:cs="宋体"/>
          <w:b/>
          <w:bCs/>
          <w:kern w:val="0"/>
          <w:sz w:val="44"/>
          <w:szCs w:val="44"/>
        </w:rPr>
        <w:t>录</w:t>
      </w:r>
    </w:p>
    <w:p>
      <w:pPr>
        <w:rPr>
          <w:rFonts w:ascii="黑体" w:hAnsi="黑体" w:eastAsia="黑体" w:cs="宋体"/>
          <w:kern w:val="0"/>
          <w:sz w:val="32"/>
          <w:szCs w:val="32"/>
        </w:rPr>
      </w:pPr>
      <w:r>
        <w:rPr>
          <w:rFonts w:ascii="宋体" w:hAnsi="宋体" w:cs="宋体"/>
          <w:bCs/>
          <w:kern w:val="0"/>
          <w:sz w:val="32"/>
          <w:szCs w:val="32"/>
        </w:rPr>
        <w:t>　　</w:t>
      </w:r>
      <w:r>
        <w:rPr>
          <w:rFonts w:ascii="黑体" w:hAnsi="黑体" w:eastAsia="黑体" w:cs="宋体"/>
          <w:bCs/>
          <w:kern w:val="0"/>
          <w:sz w:val="32"/>
          <w:szCs w:val="32"/>
        </w:rPr>
        <w:t xml:space="preserve">第一部分 </w:t>
      </w:r>
      <w:r>
        <w:rPr>
          <w:rFonts w:hint="eastAsia" w:ascii="黑体" w:hAnsi="黑体" w:eastAsia="黑体" w:cs="宋体"/>
          <w:bCs/>
          <w:kern w:val="0"/>
          <w:sz w:val="32"/>
          <w:szCs w:val="32"/>
          <w:lang w:eastAsia="zh-CN"/>
        </w:rPr>
        <w:t>信阳市平桥区水产技术研究推广中心</w:t>
      </w:r>
      <w:r>
        <w:rPr>
          <w:rFonts w:ascii="黑体" w:hAnsi="黑体" w:eastAsia="黑体" w:cs="宋体"/>
          <w:bCs/>
          <w:kern w:val="0"/>
          <w:sz w:val="32"/>
          <w:szCs w:val="32"/>
        </w:rPr>
        <w:t>概况</w:t>
      </w:r>
    </w:p>
    <w:p>
      <w:pPr>
        <w:widowControl/>
        <w:shd w:val="clear" w:color="auto" w:fill="FFFFFF"/>
        <w:ind w:left="45" w:right="45" w:firstLine="645"/>
        <w:jc w:val="left"/>
        <w:rPr>
          <w:rFonts w:hint="eastAsia" w:ascii="仿宋" w:hAnsi="仿宋" w:eastAsia="仿宋" w:cs="Arial"/>
          <w:color w:val="313131"/>
          <w:kern w:val="0"/>
          <w:sz w:val="32"/>
          <w:szCs w:val="32"/>
        </w:rPr>
      </w:pPr>
      <w:r>
        <w:rPr>
          <w:rFonts w:hint="eastAsia" w:ascii="仿宋" w:hAnsi="仿宋" w:eastAsia="仿宋" w:cs="Arial"/>
          <w:color w:val="313131"/>
          <w:kern w:val="0"/>
          <w:sz w:val="32"/>
          <w:szCs w:val="32"/>
        </w:rPr>
        <w:t>一、主要职能</w:t>
      </w:r>
    </w:p>
    <w:p>
      <w:pPr>
        <w:widowControl/>
        <w:shd w:val="clear" w:color="auto" w:fill="FFFFFF"/>
        <w:ind w:left="45" w:right="45" w:firstLine="645"/>
        <w:jc w:val="left"/>
        <w:rPr>
          <w:rFonts w:hint="eastAsia" w:ascii="仿宋" w:hAnsi="仿宋" w:eastAsia="仿宋" w:cs="Arial"/>
          <w:color w:val="313131"/>
          <w:kern w:val="0"/>
          <w:sz w:val="32"/>
          <w:szCs w:val="32"/>
        </w:rPr>
      </w:pPr>
      <w:r>
        <w:rPr>
          <w:rFonts w:hint="eastAsia" w:ascii="仿宋" w:hAnsi="仿宋" w:eastAsia="仿宋" w:cs="Arial"/>
          <w:color w:val="313131"/>
          <w:kern w:val="0"/>
          <w:sz w:val="32"/>
          <w:szCs w:val="32"/>
        </w:rPr>
        <w:t>二、机构设置</w:t>
      </w:r>
    </w:p>
    <w:p>
      <w:pPr>
        <w:widowControl/>
        <w:shd w:val="clear" w:color="auto" w:fill="FFFFFF"/>
        <w:ind w:left="45" w:right="45" w:firstLine="645"/>
        <w:jc w:val="left"/>
        <w:rPr>
          <w:rFonts w:hint="eastAsia" w:ascii="仿宋" w:hAnsi="仿宋" w:eastAsia="仿宋" w:cs="Arial"/>
          <w:color w:val="313131"/>
          <w:kern w:val="0"/>
          <w:sz w:val="32"/>
          <w:szCs w:val="32"/>
        </w:rPr>
      </w:pPr>
      <w:r>
        <w:rPr>
          <w:rFonts w:hint="eastAsia" w:ascii="仿宋" w:hAnsi="仿宋" w:eastAsia="仿宋" w:cs="Arial"/>
          <w:color w:val="313131"/>
          <w:kern w:val="0"/>
          <w:sz w:val="32"/>
          <w:szCs w:val="32"/>
          <w:lang w:val="en-US" w:eastAsia="zh-CN"/>
        </w:rPr>
        <w:t>三</w:t>
      </w:r>
      <w:r>
        <w:rPr>
          <w:rFonts w:hint="eastAsia" w:ascii="仿宋" w:hAnsi="仿宋" w:eastAsia="仿宋" w:cs="Arial"/>
          <w:color w:val="313131"/>
          <w:kern w:val="0"/>
          <w:sz w:val="32"/>
          <w:szCs w:val="32"/>
        </w:rPr>
        <w:t>、预算单位构成</w:t>
      </w:r>
    </w:p>
    <w:p>
      <w:pPr>
        <w:rPr>
          <w:rFonts w:ascii="黑体" w:hAnsi="黑体" w:eastAsia="黑体" w:cs="宋体"/>
          <w:bCs/>
          <w:kern w:val="0"/>
          <w:sz w:val="32"/>
          <w:szCs w:val="32"/>
        </w:rPr>
      </w:pPr>
      <w:r>
        <w:rPr>
          <w:rFonts w:ascii="黑体" w:hAnsi="黑体" w:eastAsia="黑体" w:cs="宋体"/>
          <w:b/>
          <w:bCs/>
          <w:kern w:val="0"/>
          <w:sz w:val="24"/>
          <w:szCs w:val="24"/>
        </w:rPr>
        <w:t>　　</w:t>
      </w:r>
      <w:r>
        <w:rPr>
          <w:rFonts w:hint="eastAsia" w:ascii="黑体" w:hAnsi="黑体" w:eastAsia="黑体" w:cs="宋体"/>
          <w:b/>
          <w:bCs/>
          <w:kern w:val="0"/>
          <w:sz w:val="24"/>
          <w:szCs w:val="24"/>
        </w:rPr>
        <w:t xml:space="preserve"> </w:t>
      </w:r>
      <w:r>
        <w:rPr>
          <w:rFonts w:ascii="黑体" w:hAnsi="黑体" w:eastAsia="黑体" w:cs="宋体"/>
          <w:bCs/>
          <w:kern w:val="0"/>
          <w:sz w:val="32"/>
          <w:szCs w:val="32"/>
        </w:rPr>
        <w:t xml:space="preserve">第二部分 </w:t>
      </w:r>
      <w:r>
        <w:rPr>
          <w:rFonts w:hint="eastAsia" w:ascii="黑体" w:hAnsi="黑体" w:eastAsia="黑体" w:cs="宋体"/>
          <w:bCs/>
          <w:kern w:val="0"/>
          <w:sz w:val="32"/>
          <w:szCs w:val="32"/>
          <w:lang w:eastAsia="zh-CN"/>
        </w:rPr>
        <w:t>信阳市平桥区水产技术研究推广中心2022年度</w:t>
      </w:r>
      <w:r>
        <w:rPr>
          <w:rFonts w:ascii="黑体" w:hAnsi="黑体" w:eastAsia="黑体" w:cs="宋体"/>
          <w:bCs/>
          <w:kern w:val="0"/>
          <w:sz w:val="32"/>
          <w:szCs w:val="32"/>
        </w:rPr>
        <w:t>预算情况说明</w:t>
      </w:r>
    </w:p>
    <w:p>
      <w:pPr>
        <w:rPr>
          <w:rFonts w:ascii="黑体" w:hAnsi="黑体" w:eastAsia="黑体" w:cs="宋体"/>
          <w:bCs/>
          <w:kern w:val="0"/>
          <w:sz w:val="32"/>
          <w:szCs w:val="32"/>
        </w:rPr>
      </w:pPr>
      <w:r>
        <w:rPr>
          <w:rFonts w:ascii="黑体" w:hAnsi="黑体" w:eastAsia="黑体" w:cs="宋体"/>
          <w:bCs/>
          <w:kern w:val="0"/>
          <w:sz w:val="32"/>
          <w:szCs w:val="32"/>
        </w:rPr>
        <w:t>　　第三部分 名词解释</w:t>
      </w:r>
    </w:p>
    <w:p>
      <w:pPr>
        <w:rPr>
          <w:rFonts w:ascii="黑体" w:hAnsi="黑体" w:eastAsia="黑体" w:cs="宋体"/>
          <w:bCs/>
          <w:kern w:val="0"/>
          <w:sz w:val="32"/>
          <w:szCs w:val="32"/>
        </w:rPr>
      </w:pPr>
      <w:r>
        <w:rPr>
          <w:rFonts w:ascii="黑体" w:hAnsi="黑体" w:eastAsia="黑体" w:cs="宋体"/>
          <w:bCs/>
          <w:kern w:val="0"/>
          <w:sz w:val="32"/>
          <w:szCs w:val="32"/>
        </w:rPr>
        <w:t>　　附件：</w:t>
      </w:r>
      <w:r>
        <w:rPr>
          <w:rFonts w:hint="eastAsia" w:ascii="黑体" w:hAnsi="黑体" w:eastAsia="黑体" w:cs="宋体"/>
          <w:bCs/>
          <w:kern w:val="0"/>
          <w:sz w:val="32"/>
          <w:szCs w:val="32"/>
          <w:lang w:eastAsia="zh-CN"/>
        </w:rPr>
        <w:t>信阳市平桥区水产技术研究推广中心2022年度</w:t>
      </w:r>
      <w:r>
        <w:rPr>
          <w:rFonts w:ascii="黑体" w:hAnsi="黑体" w:eastAsia="黑体" w:cs="宋体"/>
          <w:bCs/>
          <w:kern w:val="0"/>
          <w:sz w:val="32"/>
          <w:szCs w:val="32"/>
        </w:rPr>
        <w:t>预算</w:t>
      </w:r>
      <w:r>
        <w:rPr>
          <w:rFonts w:hint="eastAsia" w:ascii="黑体" w:hAnsi="黑体" w:eastAsia="黑体" w:cs="宋体"/>
          <w:bCs/>
          <w:kern w:val="0"/>
          <w:sz w:val="32"/>
          <w:szCs w:val="32"/>
        </w:rPr>
        <w:t>表</w:t>
      </w:r>
    </w:p>
    <w:p>
      <w:pPr>
        <w:adjustRightInd w:val="0"/>
        <w:snapToGrid w:val="0"/>
        <w:spacing w:line="560" w:lineRule="exact"/>
        <w:ind w:firstLine="640" w:firstLineChars="200"/>
        <w:rPr>
          <w:rFonts w:ascii="仿宋" w:hAnsi="仿宋" w:eastAsia="仿宋" w:cs="宋体"/>
          <w:kern w:val="0"/>
          <w:sz w:val="32"/>
          <w:szCs w:val="32"/>
        </w:rPr>
      </w:pPr>
      <w:r>
        <w:rPr>
          <w:rFonts w:ascii="仿宋" w:hAnsi="仿宋" w:eastAsia="仿宋" w:cs="宋体"/>
          <w:kern w:val="0"/>
          <w:sz w:val="32"/>
          <w:szCs w:val="32"/>
        </w:rPr>
        <w:t>一、收支总体情况表</w:t>
      </w:r>
    </w:p>
    <w:p>
      <w:pPr>
        <w:adjustRightInd w:val="0"/>
        <w:snapToGrid w:val="0"/>
        <w:spacing w:line="560" w:lineRule="exact"/>
        <w:ind w:firstLine="640" w:firstLineChars="200"/>
        <w:rPr>
          <w:rFonts w:ascii="仿宋" w:hAnsi="仿宋" w:eastAsia="仿宋" w:cs="宋体"/>
          <w:kern w:val="0"/>
          <w:sz w:val="32"/>
          <w:szCs w:val="32"/>
        </w:rPr>
      </w:pPr>
      <w:r>
        <w:rPr>
          <w:rFonts w:ascii="仿宋" w:hAnsi="仿宋" w:eastAsia="仿宋" w:cs="宋体"/>
          <w:kern w:val="0"/>
          <w:sz w:val="32"/>
          <w:szCs w:val="32"/>
        </w:rPr>
        <w:t>二、收入总体情况表</w:t>
      </w:r>
    </w:p>
    <w:p>
      <w:pPr>
        <w:adjustRightInd w:val="0"/>
        <w:snapToGrid w:val="0"/>
        <w:spacing w:line="560" w:lineRule="exact"/>
        <w:ind w:firstLine="640" w:firstLineChars="200"/>
        <w:rPr>
          <w:rFonts w:ascii="仿宋" w:hAnsi="仿宋" w:eastAsia="仿宋" w:cs="宋体"/>
          <w:kern w:val="0"/>
          <w:sz w:val="32"/>
          <w:szCs w:val="32"/>
        </w:rPr>
      </w:pPr>
      <w:r>
        <w:rPr>
          <w:rFonts w:ascii="仿宋" w:hAnsi="仿宋" w:eastAsia="仿宋" w:cs="宋体"/>
          <w:kern w:val="0"/>
          <w:sz w:val="32"/>
          <w:szCs w:val="32"/>
        </w:rPr>
        <w:t>三、支出总体情况表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四</w:t>
      </w:r>
      <w:r>
        <w:rPr>
          <w:rFonts w:ascii="仿宋" w:hAnsi="仿宋" w:eastAsia="仿宋" w:cs="宋体"/>
          <w:kern w:val="0"/>
          <w:sz w:val="32"/>
          <w:szCs w:val="32"/>
        </w:rPr>
        <w:t>、财政拨款收支总体情况表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五</w:t>
      </w:r>
      <w:r>
        <w:rPr>
          <w:rFonts w:ascii="仿宋" w:hAnsi="仿宋" w:eastAsia="仿宋" w:cs="宋体"/>
          <w:kern w:val="0"/>
          <w:sz w:val="32"/>
          <w:szCs w:val="32"/>
        </w:rPr>
        <w:t>、一般公共预算支出情况表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lang w:val="en-US" w:eastAsia="zh-CN"/>
        </w:rPr>
        <w:t>六</w:t>
      </w:r>
      <w:r>
        <w:rPr>
          <w:rFonts w:ascii="仿宋" w:hAnsi="仿宋" w:eastAsia="仿宋" w:cs="宋体"/>
          <w:kern w:val="0"/>
          <w:sz w:val="32"/>
          <w:szCs w:val="32"/>
        </w:rPr>
        <w:t>、</w:t>
      </w:r>
      <w:r>
        <w:rPr>
          <w:rFonts w:hint="eastAsia" w:ascii="仿宋" w:hAnsi="仿宋" w:eastAsia="仿宋" w:cs="宋体"/>
          <w:kern w:val="0"/>
          <w:sz w:val="32"/>
          <w:szCs w:val="32"/>
        </w:rPr>
        <w:t>一般公共预算基本支出情况表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lang w:val="en-US" w:eastAsia="zh-CN"/>
        </w:rPr>
        <w:t>七</w:t>
      </w:r>
      <w:r>
        <w:rPr>
          <w:rFonts w:hint="eastAsia" w:ascii="仿宋" w:hAnsi="仿宋" w:eastAsia="仿宋" w:cs="宋体"/>
          <w:kern w:val="0"/>
          <w:sz w:val="32"/>
          <w:szCs w:val="32"/>
        </w:rPr>
        <w:t>、支出经济分类汇总表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八</w:t>
      </w:r>
      <w:r>
        <w:rPr>
          <w:rFonts w:ascii="仿宋" w:hAnsi="仿宋" w:eastAsia="仿宋" w:cs="宋体"/>
          <w:kern w:val="0"/>
          <w:sz w:val="32"/>
          <w:szCs w:val="32"/>
        </w:rPr>
        <w:t>、一般公共预算“三公”经费支出情况表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九、项目支出表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lang w:val="en-US" w:eastAsia="zh-CN"/>
        </w:rPr>
        <w:t>十</w:t>
      </w:r>
      <w:r>
        <w:rPr>
          <w:rFonts w:ascii="仿宋" w:hAnsi="仿宋" w:eastAsia="仿宋" w:cs="宋体"/>
          <w:kern w:val="0"/>
          <w:sz w:val="32"/>
          <w:szCs w:val="32"/>
        </w:rPr>
        <w:t>、政府性基金预算支出情况表</w:t>
      </w:r>
    </w:p>
    <w:p>
      <w:pPr>
        <w:adjustRightInd w:val="0"/>
        <w:snapToGrid w:val="0"/>
        <w:spacing w:line="560" w:lineRule="exact"/>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十</w:t>
      </w:r>
      <w:r>
        <w:rPr>
          <w:rFonts w:hint="eastAsia" w:ascii="仿宋" w:hAnsi="仿宋" w:eastAsia="仿宋" w:cs="宋体"/>
          <w:kern w:val="0"/>
          <w:sz w:val="32"/>
          <w:szCs w:val="32"/>
          <w:lang w:val="en-US" w:eastAsia="zh-CN"/>
        </w:rPr>
        <w:t>一</w:t>
      </w:r>
      <w:r>
        <w:rPr>
          <w:rFonts w:hint="eastAsia" w:ascii="仿宋" w:hAnsi="仿宋" w:eastAsia="仿宋" w:cs="宋体"/>
          <w:kern w:val="0"/>
          <w:sz w:val="32"/>
          <w:szCs w:val="32"/>
        </w:rPr>
        <w:t>、财政支出绩效目标表</w:t>
      </w:r>
    </w:p>
    <w:p>
      <w:pPr>
        <w:adjustRightInd w:val="0"/>
        <w:snapToGrid w:val="0"/>
        <w:spacing w:line="560" w:lineRule="exact"/>
        <w:ind w:firstLine="640" w:firstLineChars="200"/>
        <w:rPr>
          <w:rFonts w:hint="eastAsia" w:ascii="仿宋" w:hAnsi="仿宋" w:eastAsia="仿宋" w:cs="宋体"/>
          <w:kern w:val="0"/>
          <w:sz w:val="32"/>
          <w:szCs w:val="32"/>
        </w:rPr>
      </w:pPr>
    </w:p>
    <w:p>
      <w:pPr>
        <w:pStyle w:val="4"/>
        <w:spacing w:line="360" w:lineRule="auto"/>
        <w:jc w:val="center"/>
        <w:rPr>
          <w:rFonts w:ascii="ˎ̥" w:hAnsi="ˎ̥"/>
          <w:color w:val="000000"/>
          <w:sz w:val="36"/>
          <w:szCs w:val="36"/>
        </w:rPr>
      </w:pPr>
      <w:r>
        <w:rPr>
          <w:rFonts w:ascii="ˎ̥" w:hAnsi="ˎ̥"/>
          <w:color w:val="000000"/>
          <w:sz w:val="36"/>
          <w:szCs w:val="36"/>
        </w:rPr>
        <w:t>　</w:t>
      </w:r>
      <w:r>
        <w:rPr>
          <w:rStyle w:val="7"/>
          <w:rFonts w:ascii="ˎ̥" w:hAnsi="ˎ̥"/>
          <w:color w:val="000000"/>
          <w:sz w:val="36"/>
          <w:szCs w:val="36"/>
        </w:rPr>
        <w:t>　第一部分</w:t>
      </w:r>
    </w:p>
    <w:p>
      <w:pPr>
        <w:pStyle w:val="4"/>
        <w:spacing w:line="360" w:lineRule="auto"/>
        <w:jc w:val="center"/>
        <w:rPr>
          <w:rStyle w:val="7"/>
          <w:rFonts w:hint="eastAsia" w:ascii="ˎ̥" w:hAnsi="ˎ̥"/>
          <w:color w:val="000000"/>
          <w:sz w:val="30"/>
          <w:szCs w:val="30"/>
          <w:lang w:val="en-US" w:eastAsia="zh-CN"/>
        </w:rPr>
      </w:pPr>
      <w:r>
        <w:rPr>
          <w:rStyle w:val="7"/>
          <w:rFonts w:ascii="ˎ̥" w:hAnsi="ˎ̥"/>
          <w:color w:val="000000"/>
          <w:sz w:val="36"/>
          <w:szCs w:val="36"/>
        </w:rPr>
        <w:t>　　</w:t>
      </w:r>
      <w:r>
        <w:rPr>
          <w:rStyle w:val="7"/>
          <w:rFonts w:hint="eastAsia" w:ascii="ˎ̥" w:hAnsi="ˎ̥"/>
          <w:color w:val="000000"/>
          <w:sz w:val="36"/>
          <w:szCs w:val="36"/>
        </w:rPr>
        <w:t>信阳市平桥区水产技术研究推广中心</w:t>
      </w:r>
      <w:r>
        <w:rPr>
          <w:rStyle w:val="7"/>
          <w:rFonts w:ascii="ˎ̥" w:hAnsi="ˎ̥"/>
          <w:color w:val="000000"/>
          <w:sz w:val="36"/>
          <w:szCs w:val="36"/>
        </w:rPr>
        <w:t>概况</w:t>
      </w:r>
    </w:p>
    <w:p>
      <w:pPr>
        <w:pStyle w:val="4"/>
        <w:spacing w:line="360" w:lineRule="auto"/>
        <w:rPr>
          <w:rFonts w:ascii="ˎ̥" w:hAnsi="ˎ̥"/>
          <w:color w:val="000000"/>
          <w:sz w:val="30"/>
          <w:szCs w:val="30"/>
        </w:rPr>
      </w:pPr>
      <w:r>
        <w:rPr>
          <w:rStyle w:val="7"/>
          <w:rFonts w:hint="eastAsia" w:ascii="ˎ̥" w:hAnsi="ˎ̥"/>
          <w:color w:val="000000"/>
          <w:sz w:val="30"/>
          <w:szCs w:val="30"/>
          <w:lang w:val="en-US" w:eastAsia="zh-CN"/>
        </w:rPr>
        <w:t>一</w:t>
      </w:r>
      <w:r>
        <w:rPr>
          <w:rStyle w:val="7"/>
          <w:rFonts w:ascii="ˎ̥" w:hAnsi="ˎ̥"/>
          <w:color w:val="000000"/>
          <w:sz w:val="30"/>
          <w:szCs w:val="30"/>
        </w:rPr>
        <w:t>、主要职责</w:t>
      </w:r>
    </w:p>
    <w:p>
      <w:pPr>
        <w:pStyle w:val="4"/>
        <w:spacing w:line="360" w:lineRule="auto"/>
        <w:ind w:firstLine="480"/>
        <w:rPr>
          <w:rFonts w:ascii="ˎ̥" w:hAnsi="ˎ̥"/>
          <w:color w:val="000000"/>
          <w:sz w:val="30"/>
          <w:szCs w:val="30"/>
        </w:rPr>
      </w:pPr>
      <w:r>
        <w:rPr>
          <w:rFonts w:hint="eastAsia" w:ascii="ˎ̥" w:hAnsi="ˎ̥"/>
          <w:color w:val="000000"/>
          <w:sz w:val="30"/>
          <w:szCs w:val="30"/>
        </w:rPr>
        <w:t>平桥区水产技术研究推广中心</w:t>
      </w:r>
      <w:r>
        <w:rPr>
          <w:rFonts w:ascii="ˎ̥" w:hAnsi="ˎ̥"/>
          <w:color w:val="000000"/>
          <w:sz w:val="30"/>
          <w:szCs w:val="30"/>
        </w:rPr>
        <w:t>主要职责是：</w:t>
      </w:r>
    </w:p>
    <w:p>
      <w:pPr>
        <w:pStyle w:val="4"/>
        <w:spacing w:line="360" w:lineRule="auto"/>
        <w:ind w:firstLine="600" w:firstLineChars="200"/>
        <w:rPr>
          <w:rFonts w:ascii="ˎ̥" w:hAnsi="ˎ̥"/>
          <w:color w:val="000000"/>
          <w:sz w:val="30"/>
          <w:szCs w:val="30"/>
        </w:rPr>
      </w:pPr>
      <w:r>
        <w:rPr>
          <w:rFonts w:hint="eastAsia" w:ascii="ˎ̥" w:hAnsi="ˎ̥"/>
          <w:color w:val="000000"/>
          <w:sz w:val="30"/>
          <w:szCs w:val="30"/>
        </w:rPr>
        <w:t>负责宣传、贯彻、落实《渔业法》及渔业相关的其他法律法规，加强渔政监督管理，依法打击各种破坏渔业生产的不法行为，协调处理渔事纠纷；负责管理全区渔业资源，主管全区水生野生动物保护工作；研究制定全区水产发展规划、政策和年度计划；负责渔业基地建设项目的论证、审核、上报和验收，管理水产品和渔需物资的生产、加工、流通；审批办理渔业许可证，征收和管理渔业资源增殖保护费；负责渔业水域污染案件处理，保护水域生态环境。负责水生动物防疫检疫、渔病防治工作，对水产品质量标准的执行情况进行监督检查；负责全区水产良种、苗种的引进，科学试养，示范推广；负责水产业务新技术培训，组织新技术推广；负责管理渔港和渔港航标设置，处理渔业船舶安全生产事故，检验渔业船舶，实施渔船登记、发证，代表区政府行使渔政、渔港和渔船检验监督权。</w:t>
      </w:r>
      <w:r>
        <w:rPr>
          <w:rFonts w:ascii="ˎ̥" w:hAnsi="ˎ̥"/>
          <w:color w:val="000000"/>
          <w:sz w:val="30"/>
          <w:szCs w:val="30"/>
        </w:rPr>
        <w:t>　　</w:t>
      </w:r>
    </w:p>
    <w:p>
      <w:pPr>
        <w:pStyle w:val="4"/>
        <w:spacing w:line="360" w:lineRule="auto"/>
        <w:rPr>
          <w:rFonts w:hint="eastAsia" w:ascii="ˎ̥" w:hAnsi="ˎ̥"/>
          <w:color w:val="000000"/>
          <w:sz w:val="30"/>
          <w:szCs w:val="30"/>
          <w:lang w:val="en-US" w:eastAsia="zh-CN"/>
        </w:rPr>
      </w:pPr>
    </w:p>
    <w:p>
      <w:pPr>
        <w:pStyle w:val="4"/>
        <w:spacing w:line="360" w:lineRule="auto"/>
        <w:rPr>
          <w:rFonts w:hint="eastAsia" w:ascii="ˎ̥" w:hAnsi="ˎ̥"/>
          <w:color w:val="000000"/>
          <w:sz w:val="30"/>
          <w:szCs w:val="30"/>
          <w:lang w:val="en-US" w:eastAsia="zh-CN"/>
        </w:rPr>
      </w:pPr>
    </w:p>
    <w:p>
      <w:pPr>
        <w:pStyle w:val="4"/>
        <w:spacing w:line="360" w:lineRule="auto"/>
        <w:rPr>
          <w:rStyle w:val="7"/>
          <w:rFonts w:hint="eastAsia" w:ascii="ˎ̥" w:hAnsi="ˎ̥"/>
          <w:color w:val="000000"/>
          <w:sz w:val="30"/>
          <w:szCs w:val="30"/>
          <w:lang w:val="en-US" w:eastAsia="zh-CN"/>
        </w:rPr>
      </w:pPr>
      <w:r>
        <w:rPr>
          <w:rFonts w:hint="eastAsia" w:ascii="ˎ̥" w:hAnsi="ˎ̥"/>
          <w:color w:val="000000"/>
          <w:sz w:val="30"/>
          <w:szCs w:val="30"/>
          <w:lang w:val="en-US" w:eastAsia="zh-CN"/>
        </w:rPr>
        <w:t>二、</w:t>
      </w:r>
      <w:r>
        <w:rPr>
          <w:rStyle w:val="7"/>
          <w:rFonts w:hint="eastAsia" w:ascii="ˎ̥" w:hAnsi="ˎ̥"/>
          <w:color w:val="000000"/>
          <w:sz w:val="30"/>
          <w:szCs w:val="30"/>
          <w:lang w:val="en-US" w:eastAsia="zh-CN"/>
        </w:rPr>
        <w:t>机构设置</w:t>
      </w:r>
    </w:p>
    <w:p>
      <w:pPr>
        <w:pStyle w:val="4"/>
        <w:numPr>
          <w:ilvl w:val="0"/>
          <w:numId w:val="0"/>
        </w:numPr>
        <w:spacing w:line="360" w:lineRule="auto"/>
        <w:ind w:left="240" w:leftChars="0"/>
        <w:rPr>
          <w:rStyle w:val="7"/>
          <w:rFonts w:ascii="ˎ̥" w:hAnsi="ˎ̥"/>
          <w:b w:val="0"/>
          <w:bCs w:val="0"/>
          <w:color w:val="000000"/>
          <w:sz w:val="30"/>
          <w:szCs w:val="30"/>
        </w:rPr>
      </w:pPr>
      <w:r>
        <w:rPr>
          <w:rStyle w:val="7"/>
          <w:rFonts w:ascii="ˎ̥" w:hAnsi="ˎ̥"/>
          <w:b w:val="0"/>
          <w:bCs w:val="0"/>
          <w:color w:val="000000"/>
          <w:sz w:val="30"/>
          <w:szCs w:val="30"/>
        </w:rPr>
        <w:t>　</w:t>
      </w:r>
      <w:r>
        <w:rPr>
          <w:rStyle w:val="7"/>
          <w:rFonts w:hint="eastAsia" w:ascii="ˎ̥" w:hAnsi="ˎ̥"/>
          <w:b w:val="0"/>
          <w:bCs w:val="0"/>
          <w:color w:val="000000"/>
          <w:sz w:val="30"/>
          <w:szCs w:val="30"/>
          <w:lang w:val="en-US" w:eastAsia="zh-CN"/>
        </w:rPr>
        <w:t xml:space="preserve">  </w:t>
      </w:r>
      <w:r>
        <w:rPr>
          <w:rFonts w:hint="eastAsia" w:cs="仿宋" w:asciiTheme="minorEastAsia" w:hAnsiTheme="minorEastAsia" w:eastAsiaTheme="minorEastAsia"/>
          <w:b w:val="0"/>
          <w:bCs w:val="0"/>
          <w:color w:val="000000"/>
          <w:sz w:val="30"/>
          <w:szCs w:val="30"/>
        </w:rPr>
        <w:t>信阳市平桥区水产技术研究推广中心内设副股级机构5个：办公室、水产股、科教股、经营股、渔政监督管理站。</w:t>
      </w:r>
    </w:p>
    <w:p>
      <w:pPr>
        <w:pStyle w:val="4"/>
        <w:numPr>
          <w:ilvl w:val="0"/>
          <w:numId w:val="0"/>
        </w:numPr>
        <w:spacing w:line="360" w:lineRule="auto"/>
        <w:ind w:left="240" w:leftChars="0" w:firstLine="600" w:firstLineChars="200"/>
        <w:rPr>
          <w:rFonts w:hint="default" w:cs="仿宋" w:asciiTheme="minorEastAsia" w:hAnsiTheme="minorEastAsia" w:eastAsiaTheme="minorEastAsia"/>
          <w:b w:val="0"/>
          <w:bCs w:val="0"/>
          <w:color w:val="000000"/>
          <w:sz w:val="30"/>
          <w:szCs w:val="30"/>
          <w:lang w:val="en-US" w:eastAsia="zh-CN"/>
        </w:rPr>
      </w:pPr>
      <w:r>
        <w:rPr>
          <w:rFonts w:hint="eastAsia" w:cs="仿宋" w:asciiTheme="minorEastAsia" w:hAnsiTheme="minorEastAsia" w:eastAsiaTheme="minorEastAsia"/>
          <w:b w:val="0"/>
          <w:bCs w:val="0"/>
          <w:color w:val="000000"/>
          <w:sz w:val="30"/>
          <w:szCs w:val="30"/>
          <w:lang w:val="en-US" w:eastAsia="zh-CN"/>
        </w:rPr>
        <w:t>信阳市平桥区水产技术研究推广中心为信阳市平桥区水利局的二级机构，一级预算编制单位。</w:t>
      </w:r>
    </w:p>
    <w:p>
      <w:pPr>
        <w:pStyle w:val="4"/>
        <w:spacing w:line="360" w:lineRule="auto"/>
        <w:rPr>
          <w:rFonts w:ascii="ˎ̥" w:hAnsi="ˎ̥"/>
          <w:color w:val="000000"/>
          <w:sz w:val="30"/>
          <w:szCs w:val="30"/>
        </w:rPr>
      </w:pPr>
      <w:r>
        <w:rPr>
          <w:rStyle w:val="7"/>
          <w:rFonts w:hint="eastAsia" w:ascii="ˎ̥" w:hAnsi="ˎ̥"/>
          <w:color w:val="000000"/>
          <w:sz w:val="30"/>
          <w:szCs w:val="30"/>
          <w:lang w:val="en-US" w:eastAsia="zh-CN"/>
        </w:rPr>
        <w:t>三</w:t>
      </w:r>
      <w:r>
        <w:rPr>
          <w:rStyle w:val="7"/>
          <w:rFonts w:ascii="ˎ̥" w:hAnsi="ˎ̥"/>
          <w:color w:val="000000"/>
          <w:sz w:val="30"/>
          <w:szCs w:val="30"/>
        </w:rPr>
        <w:t>、预算单位构成</w:t>
      </w:r>
    </w:p>
    <w:p>
      <w:pPr>
        <w:pStyle w:val="4"/>
        <w:spacing w:line="360" w:lineRule="auto"/>
        <w:rPr>
          <w:rFonts w:cs="仿宋" w:asciiTheme="minorEastAsia" w:hAnsiTheme="minorEastAsia" w:eastAsiaTheme="minorEastAsia"/>
          <w:color w:val="000000"/>
          <w:sz w:val="30"/>
          <w:szCs w:val="30"/>
        </w:rPr>
      </w:pPr>
      <w:r>
        <w:rPr>
          <w:rFonts w:hint="eastAsia" w:ascii="仿宋" w:hAnsi="仿宋" w:eastAsia="仿宋" w:cs="仿宋"/>
          <w:color w:val="000000"/>
          <w:sz w:val="30"/>
          <w:szCs w:val="30"/>
        </w:rPr>
        <w:t>　　</w:t>
      </w:r>
      <w:r>
        <w:rPr>
          <w:rFonts w:hint="eastAsia" w:cs="仿宋" w:asciiTheme="minorEastAsia" w:hAnsiTheme="minorEastAsia" w:eastAsiaTheme="minorEastAsia"/>
          <w:color w:val="000000"/>
          <w:sz w:val="30"/>
          <w:szCs w:val="30"/>
        </w:rPr>
        <w:t>纳入信阳市平桥区水产技术研究推广中心202</w:t>
      </w:r>
      <w:r>
        <w:rPr>
          <w:rFonts w:hint="eastAsia" w:cs="仿宋" w:asciiTheme="minorEastAsia" w:hAnsiTheme="minorEastAsia" w:eastAsiaTheme="minorEastAsia"/>
          <w:color w:val="000000"/>
          <w:sz w:val="30"/>
          <w:szCs w:val="30"/>
          <w:lang w:val="en-US" w:eastAsia="zh-CN"/>
        </w:rPr>
        <w:t>2</w:t>
      </w:r>
      <w:r>
        <w:rPr>
          <w:rFonts w:hint="eastAsia" w:cs="仿宋" w:asciiTheme="minorEastAsia" w:hAnsiTheme="minorEastAsia" w:eastAsiaTheme="minorEastAsia"/>
          <w:color w:val="000000"/>
          <w:sz w:val="30"/>
          <w:szCs w:val="30"/>
        </w:rPr>
        <w:t>年度预算编制范围的单位共1个，包括水产技术研究推广中心1个财政全额供给事业单位。我单位没有下设二级机构，预算为单独预算。</w:t>
      </w:r>
    </w:p>
    <w:p>
      <w:pPr>
        <w:pStyle w:val="4"/>
        <w:spacing w:line="360" w:lineRule="auto"/>
        <w:jc w:val="both"/>
        <w:rPr>
          <w:rFonts w:ascii="ˎ̥" w:hAnsi="ˎ̥"/>
          <w:b/>
          <w:bCs/>
          <w:color w:val="000000"/>
        </w:rPr>
      </w:pPr>
    </w:p>
    <w:p>
      <w:pPr>
        <w:pStyle w:val="4"/>
        <w:spacing w:line="360" w:lineRule="auto"/>
        <w:jc w:val="both"/>
        <w:rPr>
          <w:rFonts w:ascii="ˎ̥" w:hAnsi="ˎ̥"/>
          <w:b/>
          <w:bCs/>
          <w:color w:val="000000"/>
        </w:rPr>
      </w:pPr>
    </w:p>
    <w:p>
      <w:pPr>
        <w:pStyle w:val="4"/>
        <w:spacing w:line="360" w:lineRule="auto"/>
        <w:jc w:val="both"/>
        <w:rPr>
          <w:rFonts w:ascii="ˎ̥" w:hAnsi="ˎ̥"/>
          <w:b/>
          <w:bCs/>
          <w:color w:val="000000"/>
        </w:rPr>
      </w:pPr>
    </w:p>
    <w:p>
      <w:pPr>
        <w:pStyle w:val="4"/>
        <w:spacing w:line="360" w:lineRule="auto"/>
        <w:jc w:val="both"/>
        <w:rPr>
          <w:rFonts w:ascii="ˎ̥" w:hAnsi="ˎ̥"/>
          <w:b/>
          <w:bCs/>
          <w:color w:val="000000"/>
        </w:rPr>
      </w:pPr>
    </w:p>
    <w:p>
      <w:pPr>
        <w:pStyle w:val="4"/>
        <w:spacing w:line="360" w:lineRule="auto"/>
        <w:jc w:val="both"/>
        <w:rPr>
          <w:rFonts w:ascii="ˎ̥" w:hAnsi="ˎ̥"/>
          <w:b/>
          <w:bCs/>
          <w:color w:val="000000"/>
        </w:rPr>
      </w:pPr>
    </w:p>
    <w:p>
      <w:pPr>
        <w:pStyle w:val="4"/>
        <w:spacing w:line="360" w:lineRule="auto"/>
        <w:jc w:val="both"/>
        <w:rPr>
          <w:rFonts w:ascii="ˎ̥" w:hAnsi="ˎ̥"/>
          <w:b/>
          <w:bCs/>
          <w:color w:val="000000"/>
        </w:rPr>
      </w:pPr>
    </w:p>
    <w:p>
      <w:pPr>
        <w:pStyle w:val="4"/>
        <w:spacing w:line="360" w:lineRule="auto"/>
        <w:jc w:val="both"/>
        <w:rPr>
          <w:rFonts w:ascii="ˎ̥" w:hAnsi="ˎ̥"/>
          <w:b/>
          <w:bCs/>
          <w:color w:val="000000"/>
        </w:rPr>
      </w:pPr>
    </w:p>
    <w:p>
      <w:pPr>
        <w:pStyle w:val="4"/>
        <w:spacing w:line="360" w:lineRule="auto"/>
        <w:jc w:val="both"/>
        <w:rPr>
          <w:rFonts w:ascii="ˎ̥" w:hAnsi="ˎ̥"/>
          <w:b/>
          <w:bCs/>
          <w:color w:val="000000"/>
        </w:rPr>
      </w:pPr>
    </w:p>
    <w:p>
      <w:pPr>
        <w:pStyle w:val="4"/>
        <w:spacing w:line="360" w:lineRule="auto"/>
        <w:jc w:val="both"/>
        <w:rPr>
          <w:rFonts w:ascii="ˎ̥" w:hAnsi="ˎ̥"/>
          <w:b/>
          <w:bCs/>
          <w:color w:val="000000"/>
        </w:rPr>
      </w:pPr>
    </w:p>
    <w:p>
      <w:pPr>
        <w:pStyle w:val="4"/>
        <w:spacing w:line="360" w:lineRule="auto"/>
        <w:jc w:val="center"/>
        <w:rPr>
          <w:rFonts w:ascii="ˎ̥" w:hAnsi="ˎ̥"/>
          <w:b/>
          <w:bCs/>
          <w:color w:val="000000"/>
          <w:sz w:val="36"/>
          <w:szCs w:val="36"/>
        </w:rPr>
      </w:pPr>
      <w:r>
        <w:rPr>
          <w:rFonts w:ascii="ˎ̥" w:hAnsi="ˎ̥"/>
          <w:b/>
          <w:bCs/>
          <w:color w:val="000000"/>
          <w:sz w:val="36"/>
          <w:szCs w:val="36"/>
        </w:rPr>
        <w:t>第二部分</w:t>
      </w:r>
    </w:p>
    <w:p>
      <w:pPr>
        <w:pStyle w:val="4"/>
        <w:spacing w:line="360" w:lineRule="auto"/>
        <w:jc w:val="center"/>
        <w:rPr>
          <w:rStyle w:val="7"/>
          <w:rFonts w:hint="eastAsia" w:ascii="ˎ̥" w:hAnsi="ˎ̥"/>
          <w:color w:val="000000"/>
          <w:sz w:val="36"/>
          <w:szCs w:val="36"/>
        </w:rPr>
      </w:pPr>
      <w:r>
        <w:rPr>
          <w:rStyle w:val="7"/>
          <w:rFonts w:hint="eastAsia" w:ascii="ˎ̥" w:hAnsi="ˎ̥"/>
          <w:color w:val="000000"/>
          <w:sz w:val="36"/>
          <w:szCs w:val="36"/>
        </w:rPr>
        <w:t>信阳市平桥区水产技术研究推广中心</w:t>
      </w:r>
    </w:p>
    <w:p>
      <w:pPr>
        <w:pStyle w:val="4"/>
        <w:spacing w:line="360" w:lineRule="auto"/>
        <w:jc w:val="center"/>
        <w:rPr>
          <w:rFonts w:ascii="ˎ̥" w:hAnsi="ˎ̥"/>
          <w:color w:val="000000"/>
          <w:sz w:val="36"/>
          <w:szCs w:val="36"/>
        </w:rPr>
      </w:pPr>
      <w:r>
        <w:rPr>
          <w:rStyle w:val="7"/>
          <w:rFonts w:ascii="ˎ̥" w:hAnsi="ˎ̥"/>
          <w:color w:val="000000"/>
          <w:sz w:val="36"/>
          <w:szCs w:val="36"/>
        </w:rPr>
        <w:t>20</w:t>
      </w:r>
      <w:r>
        <w:rPr>
          <w:rStyle w:val="7"/>
          <w:rFonts w:hint="eastAsia" w:ascii="ˎ̥" w:hAnsi="ˎ̥"/>
          <w:color w:val="000000"/>
          <w:sz w:val="36"/>
          <w:szCs w:val="36"/>
        </w:rPr>
        <w:t>2</w:t>
      </w:r>
      <w:r>
        <w:rPr>
          <w:rStyle w:val="7"/>
          <w:rFonts w:hint="eastAsia" w:ascii="ˎ̥" w:hAnsi="ˎ̥"/>
          <w:color w:val="000000"/>
          <w:sz w:val="36"/>
          <w:szCs w:val="36"/>
          <w:lang w:val="en-US" w:eastAsia="zh-CN"/>
        </w:rPr>
        <w:t>2</w:t>
      </w:r>
      <w:r>
        <w:rPr>
          <w:rStyle w:val="7"/>
          <w:rFonts w:ascii="ˎ̥" w:hAnsi="ˎ̥"/>
          <w:color w:val="000000"/>
          <w:sz w:val="36"/>
          <w:szCs w:val="36"/>
        </w:rPr>
        <w:t>年度预算情况说明</w:t>
      </w:r>
    </w:p>
    <w:p>
      <w:pPr>
        <w:pStyle w:val="4"/>
        <w:spacing w:line="360" w:lineRule="auto"/>
        <w:rPr>
          <w:rFonts w:ascii="ˎ̥" w:hAnsi="ˎ̥"/>
          <w:color w:val="000000"/>
        </w:rPr>
      </w:pPr>
      <w:r>
        <w:rPr>
          <w:rFonts w:ascii="ˎ̥" w:hAnsi="ˎ̥"/>
          <w:color w:val="000000"/>
        </w:rPr>
        <w:t>　　</w:t>
      </w:r>
      <w:r>
        <w:rPr>
          <w:rStyle w:val="7"/>
          <w:rFonts w:ascii="ˎ̥" w:hAnsi="ˎ̥"/>
          <w:color w:val="000000"/>
        </w:rPr>
        <w:t>一、收入支出预算总体情况说明</w:t>
      </w:r>
    </w:p>
    <w:p>
      <w:pPr>
        <w:pStyle w:val="4"/>
        <w:spacing w:line="360" w:lineRule="auto"/>
        <w:ind w:firstLine="480"/>
        <w:rPr>
          <w:rFonts w:ascii="ˎ̥" w:hAnsi="ˎ̥"/>
          <w:color w:val="000000"/>
          <w:spacing w:val="-6"/>
        </w:rPr>
      </w:pPr>
      <w:r>
        <w:rPr>
          <w:rFonts w:hint="eastAsia" w:ascii="ˎ̥" w:hAnsi="ˎ̥"/>
          <w:color w:val="000000"/>
          <w:spacing w:val="-6"/>
        </w:rPr>
        <w:t>平桥区水产技术研究推广中心</w:t>
      </w:r>
      <w:r>
        <w:rPr>
          <w:rFonts w:ascii="ˎ̥" w:hAnsi="ˎ̥"/>
          <w:color w:val="000000"/>
          <w:spacing w:val="-6"/>
        </w:rPr>
        <w:t>20</w:t>
      </w:r>
      <w:r>
        <w:rPr>
          <w:rFonts w:hint="eastAsia" w:ascii="ˎ̥" w:hAnsi="ˎ̥"/>
          <w:color w:val="000000"/>
          <w:spacing w:val="-6"/>
        </w:rPr>
        <w:t>2</w:t>
      </w:r>
      <w:r>
        <w:rPr>
          <w:rFonts w:hint="eastAsia" w:ascii="ˎ̥" w:hAnsi="ˎ̥"/>
          <w:color w:val="000000"/>
          <w:spacing w:val="-6"/>
          <w:lang w:val="en-US" w:eastAsia="zh-CN"/>
        </w:rPr>
        <w:t>2</w:t>
      </w:r>
      <w:r>
        <w:rPr>
          <w:rFonts w:ascii="ˎ̥" w:hAnsi="ˎ̥"/>
          <w:color w:val="000000"/>
          <w:spacing w:val="-6"/>
        </w:rPr>
        <w:t>年收入总计</w:t>
      </w:r>
      <w:r>
        <w:rPr>
          <w:rFonts w:hint="eastAsia" w:ascii="ˎ̥" w:hAnsi="ˎ̥"/>
          <w:color w:val="000000"/>
          <w:spacing w:val="-6"/>
          <w:lang w:val="en-US" w:eastAsia="zh-CN"/>
        </w:rPr>
        <w:t>220.90</w:t>
      </w:r>
      <w:r>
        <w:rPr>
          <w:rFonts w:ascii="ˎ̥" w:hAnsi="ˎ̥"/>
          <w:color w:val="000000"/>
          <w:spacing w:val="-6"/>
        </w:rPr>
        <w:t>万元，支出总计</w:t>
      </w:r>
      <w:r>
        <w:rPr>
          <w:rFonts w:hint="eastAsia" w:ascii="ˎ̥" w:hAnsi="ˎ̥"/>
          <w:color w:val="000000"/>
          <w:spacing w:val="-6"/>
          <w:lang w:val="en-US" w:eastAsia="zh-CN"/>
        </w:rPr>
        <w:t>220.90</w:t>
      </w:r>
      <w:r>
        <w:rPr>
          <w:rFonts w:ascii="ˎ̥" w:hAnsi="ˎ̥"/>
          <w:color w:val="000000"/>
          <w:spacing w:val="-6"/>
        </w:rPr>
        <w:t>万元，与20</w:t>
      </w:r>
      <w:r>
        <w:rPr>
          <w:rFonts w:hint="eastAsia" w:ascii="ˎ̥" w:hAnsi="ˎ̥"/>
          <w:color w:val="000000"/>
          <w:spacing w:val="-6"/>
          <w:lang w:val="en-US" w:eastAsia="zh-CN"/>
        </w:rPr>
        <w:t>21</w:t>
      </w:r>
      <w:r>
        <w:rPr>
          <w:rFonts w:ascii="ˎ̥" w:hAnsi="ˎ̥"/>
          <w:color w:val="000000"/>
          <w:spacing w:val="-6"/>
        </w:rPr>
        <w:t>年相比，收、支总计</w:t>
      </w:r>
      <w:r>
        <w:rPr>
          <w:rFonts w:hint="eastAsia" w:ascii="ˎ̥" w:hAnsi="ˎ̥"/>
          <w:color w:val="000000"/>
          <w:spacing w:val="-6"/>
          <w:lang w:val="en-US" w:eastAsia="zh-CN"/>
        </w:rPr>
        <w:t>均减少</w:t>
      </w:r>
      <w:r>
        <w:rPr>
          <w:rFonts w:hint="eastAsia" w:ascii="ˎ̥" w:hAnsi="ˎ̥"/>
          <w:color w:val="auto"/>
          <w:spacing w:val="-6"/>
          <w:lang w:val="en-US" w:eastAsia="zh-CN"/>
        </w:rPr>
        <w:t>0.45</w:t>
      </w:r>
      <w:r>
        <w:rPr>
          <w:rFonts w:ascii="ˎ̥" w:hAnsi="ˎ̥"/>
          <w:color w:val="auto"/>
          <w:spacing w:val="-6"/>
        </w:rPr>
        <w:t>万元，</w:t>
      </w:r>
      <w:r>
        <w:rPr>
          <w:rFonts w:hint="eastAsia" w:ascii="ˎ̥" w:hAnsi="ˎ̥"/>
          <w:color w:val="auto"/>
          <w:spacing w:val="-6"/>
          <w:lang w:eastAsia="zh-CN"/>
        </w:rPr>
        <w:t>减少</w:t>
      </w:r>
      <w:r>
        <w:rPr>
          <w:rFonts w:hint="eastAsia" w:ascii="ˎ̥" w:hAnsi="ˎ̥"/>
          <w:color w:val="auto"/>
          <w:spacing w:val="-6"/>
          <w:lang w:val="en-US" w:eastAsia="zh-CN"/>
        </w:rPr>
        <w:t>0.2</w:t>
      </w:r>
      <w:r>
        <w:rPr>
          <w:rFonts w:ascii="ˎ̥" w:hAnsi="ˎ̥"/>
          <w:color w:val="auto"/>
          <w:spacing w:val="-6"/>
        </w:rPr>
        <w:t>%</w:t>
      </w:r>
      <w:r>
        <w:rPr>
          <w:rFonts w:ascii="ˎ̥" w:hAnsi="ˎ̥"/>
          <w:color w:val="000000"/>
          <w:spacing w:val="-6"/>
        </w:rPr>
        <w:t>。主要原因</w:t>
      </w:r>
      <w:r>
        <w:rPr>
          <w:rFonts w:hint="eastAsia" w:ascii="ˎ̥" w:hAnsi="ˎ̥"/>
          <w:color w:val="000000"/>
          <w:spacing w:val="-6"/>
        </w:rPr>
        <w:t>是人员工资及相应人员经费</w:t>
      </w:r>
      <w:r>
        <w:rPr>
          <w:rFonts w:hint="eastAsia" w:ascii="ˎ̥" w:hAnsi="ˎ̥"/>
          <w:color w:val="000000"/>
          <w:spacing w:val="-6"/>
          <w:lang w:eastAsia="zh-CN"/>
        </w:rPr>
        <w:t>减少</w:t>
      </w:r>
      <w:r>
        <w:rPr>
          <w:rFonts w:hint="eastAsia" w:ascii="ˎ̥" w:hAnsi="ˎ̥"/>
          <w:color w:val="000000"/>
          <w:spacing w:val="-6"/>
        </w:rPr>
        <w:t>等。</w:t>
      </w:r>
    </w:p>
    <w:p>
      <w:pPr>
        <w:pStyle w:val="4"/>
        <w:spacing w:line="360" w:lineRule="auto"/>
        <w:ind w:firstLine="482" w:firstLineChars="200"/>
        <w:rPr>
          <w:rFonts w:ascii="ˎ̥" w:hAnsi="ˎ̥"/>
          <w:color w:val="000000"/>
        </w:rPr>
      </w:pPr>
      <w:r>
        <w:rPr>
          <w:rStyle w:val="7"/>
          <w:rFonts w:ascii="ˎ̥" w:hAnsi="ˎ̥"/>
          <w:color w:val="000000"/>
        </w:rPr>
        <w:t>二、收入预算总体情况说明</w:t>
      </w:r>
    </w:p>
    <w:p>
      <w:pPr>
        <w:pStyle w:val="4"/>
        <w:spacing w:line="360" w:lineRule="auto"/>
        <w:rPr>
          <w:rFonts w:ascii="ˎ̥" w:hAnsi="ˎ̥"/>
          <w:color w:val="000000"/>
        </w:rPr>
      </w:pPr>
      <w:r>
        <w:rPr>
          <w:rFonts w:ascii="ˎ̥" w:hAnsi="ˎ̥"/>
          <w:color w:val="000000"/>
        </w:rPr>
        <w:t>　　</w:t>
      </w:r>
      <w:r>
        <w:rPr>
          <w:rFonts w:hint="eastAsia" w:ascii="ˎ̥" w:hAnsi="ˎ̥"/>
          <w:color w:val="000000"/>
        </w:rPr>
        <w:t>平桥区水产技术研究推广中心</w:t>
      </w:r>
      <w:r>
        <w:rPr>
          <w:rFonts w:ascii="ˎ̥" w:hAnsi="ˎ̥"/>
          <w:color w:val="000000"/>
        </w:rPr>
        <w:t>20</w:t>
      </w:r>
      <w:r>
        <w:rPr>
          <w:rFonts w:hint="eastAsia" w:ascii="ˎ̥" w:hAnsi="ˎ̥"/>
          <w:color w:val="000000"/>
        </w:rPr>
        <w:t>2</w:t>
      </w:r>
      <w:r>
        <w:rPr>
          <w:rFonts w:hint="eastAsia" w:ascii="ˎ̥" w:hAnsi="ˎ̥"/>
          <w:color w:val="000000"/>
          <w:lang w:val="en-US" w:eastAsia="zh-CN"/>
        </w:rPr>
        <w:t>2</w:t>
      </w:r>
      <w:r>
        <w:rPr>
          <w:rFonts w:ascii="ˎ̥" w:hAnsi="ˎ̥"/>
          <w:color w:val="000000"/>
        </w:rPr>
        <w:t>年收入合计</w:t>
      </w:r>
      <w:r>
        <w:rPr>
          <w:rFonts w:hint="eastAsia" w:ascii="ˎ̥" w:hAnsi="ˎ̥"/>
          <w:color w:val="000000"/>
          <w:spacing w:val="-6"/>
          <w:lang w:val="en-US" w:eastAsia="zh-CN"/>
        </w:rPr>
        <w:t>220.90</w:t>
      </w:r>
      <w:r>
        <w:rPr>
          <w:rFonts w:ascii="ˎ̥" w:hAnsi="ˎ̥"/>
          <w:color w:val="000000"/>
        </w:rPr>
        <w:t>万元，</w:t>
      </w:r>
      <w:r>
        <w:rPr>
          <w:rFonts w:hint="eastAsia" w:ascii="ˎ̥" w:hAnsi="ˎ̥"/>
          <w:color w:val="000000"/>
          <w:lang w:val="en-US" w:eastAsia="zh-CN"/>
        </w:rPr>
        <w:t>其中</w:t>
      </w:r>
      <w:r>
        <w:rPr>
          <w:rFonts w:ascii="ˎ̥" w:hAnsi="ˎ̥"/>
          <w:color w:val="000000"/>
        </w:rPr>
        <w:t>一般公共预算</w:t>
      </w:r>
      <w:r>
        <w:rPr>
          <w:rFonts w:hint="eastAsia" w:ascii="ˎ̥" w:hAnsi="ˎ̥"/>
          <w:color w:val="000000"/>
          <w:lang w:val="en-US" w:eastAsia="zh-CN"/>
        </w:rPr>
        <w:t>收入</w:t>
      </w:r>
      <w:r>
        <w:rPr>
          <w:rFonts w:hint="eastAsia" w:ascii="ˎ̥" w:hAnsi="ˎ̥"/>
          <w:color w:val="000000"/>
          <w:spacing w:val="-6"/>
          <w:lang w:val="en-US" w:eastAsia="zh-CN"/>
        </w:rPr>
        <w:t>220.90</w:t>
      </w:r>
      <w:r>
        <w:rPr>
          <w:rFonts w:hint="eastAsia" w:ascii="ˎ̥" w:hAnsi="ˎ̥"/>
          <w:color w:val="000000"/>
          <w:lang w:val="en-US" w:eastAsia="zh-CN"/>
        </w:rPr>
        <w:t>万元</w:t>
      </w:r>
      <w:r>
        <w:rPr>
          <w:rFonts w:hint="eastAsia" w:ascii="ˎ̥" w:hAnsi="ˎ̥"/>
          <w:color w:val="000000"/>
        </w:rPr>
        <w:t>，</w:t>
      </w:r>
      <w:r>
        <w:rPr>
          <w:rFonts w:hint="eastAsia" w:ascii="ˎ̥" w:hAnsi="ˎ̥"/>
          <w:color w:val="000000"/>
          <w:lang w:val="en-US" w:eastAsia="zh-CN"/>
        </w:rPr>
        <w:t>占比100%，</w:t>
      </w:r>
      <w:r>
        <w:rPr>
          <w:rFonts w:hint="eastAsia" w:ascii="ˎ̥" w:hAnsi="ˎ̥"/>
          <w:color w:val="000000"/>
        </w:rPr>
        <w:t>包含专项经费20万元。</w:t>
      </w:r>
    </w:p>
    <w:p>
      <w:pPr>
        <w:pStyle w:val="4"/>
        <w:spacing w:line="360" w:lineRule="auto"/>
        <w:rPr>
          <w:rFonts w:ascii="ˎ̥" w:hAnsi="ˎ̥"/>
          <w:color w:val="000000"/>
        </w:rPr>
      </w:pPr>
      <w:r>
        <w:rPr>
          <w:rFonts w:ascii="ˎ̥" w:hAnsi="ˎ̥"/>
          <w:color w:val="000000"/>
        </w:rPr>
        <w:t>　</w:t>
      </w:r>
      <w:r>
        <w:rPr>
          <w:rStyle w:val="7"/>
          <w:rFonts w:ascii="ˎ̥" w:hAnsi="ˎ̥"/>
          <w:color w:val="000000"/>
        </w:rPr>
        <w:t>　三、支出预算总体情况说明</w:t>
      </w:r>
    </w:p>
    <w:p>
      <w:pPr>
        <w:pStyle w:val="4"/>
        <w:spacing w:line="360" w:lineRule="auto"/>
        <w:rPr>
          <w:rFonts w:ascii="ˎ̥" w:hAnsi="ˎ̥"/>
          <w:color w:val="000000"/>
        </w:rPr>
      </w:pPr>
      <w:r>
        <w:rPr>
          <w:rFonts w:ascii="ˎ̥" w:hAnsi="ˎ̥"/>
          <w:color w:val="000000"/>
        </w:rPr>
        <w:t>　　</w:t>
      </w:r>
      <w:r>
        <w:rPr>
          <w:rFonts w:hint="eastAsia" w:ascii="ˎ̥" w:hAnsi="ˎ̥"/>
          <w:color w:val="000000"/>
        </w:rPr>
        <w:t>平桥区水产技术研究推广中心</w:t>
      </w:r>
      <w:r>
        <w:rPr>
          <w:rFonts w:ascii="ˎ̥" w:hAnsi="ˎ̥"/>
          <w:color w:val="000000"/>
        </w:rPr>
        <w:t>20</w:t>
      </w:r>
      <w:r>
        <w:rPr>
          <w:rFonts w:hint="eastAsia" w:ascii="ˎ̥" w:hAnsi="ˎ̥"/>
          <w:color w:val="000000"/>
        </w:rPr>
        <w:t>2</w:t>
      </w:r>
      <w:r>
        <w:rPr>
          <w:rFonts w:hint="eastAsia" w:ascii="ˎ̥" w:hAnsi="ˎ̥"/>
          <w:color w:val="000000"/>
          <w:lang w:val="en-US" w:eastAsia="zh-CN"/>
        </w:rPr>
        <w:t>2</w:t>
      </w:r>
      <w:r>
        <w:rPr>
          <w:rFonts w:ascii="ˎ̥" w:hAnsi="ˎ̥"/>
          <w:color w:val="000000"/>
        </w:rPr>
        <w:t>年支出合计</w:t>
      </w:r>
      <w:r>
        <w:rPr>
          <w:rFonts w:hint="eastAsia" w:ascii="ˎ̥" w:hAnsi="ˎ̥"/>
          <w:color w:val="000000"/>
          <w:spacing w:val="-6"/>
          <w:lang w:val="en-US" w:eastAsia="zh-CN"/>
        </w:rPr>
        <w:t>220.90</w:t>
      </w:r>
      <w:r>
        <w:rPr>
          <w:rFonts w:ascii="ˎ̥" w:hAnsi="ˎ̥"/>
          <w:color w:val="000000"/>
        </w:rPr>
        <w:t>万元，其中：基本支出</w:t>
      </w:r>
      <w:r>
        <w:rPr>
          <w:rFonts w:hint="eastAsia" w:ascii="ˎ̥" w:hAnsi="ˎ̥"/>
          <w:color w:val="000000"/>
          <w:spacing w:val="-6"/>
          <w:lang w:val="en-US" w:eastAsia="zh-CN"/>
        </w:rPr>
        <w:t>200.90</w:t>
      </w:r>
      <w:r>
        <w:rPr>
          <w:rFonts w:ascii="ˎ̥" w:hAnsi="ˎ̥"/>
          <w:color w:val="000000"/>
        </w:rPr>
        <w:t>万元，占</w:t>
      </w:r>
      <w:r>
        <w:rPr>
          <w:rFonts w:hint="eastAsia" w:ascii="ˎ̥" w:hAnsi="ˎ̥"/>
          <w:color w:val="000000"/>
        </w:rPr>
        <w:t>90.</w:t>
      </w:r>
      <w:r>
        <w:rPr>
          <w:rFonts w:hint="eastAsia" w:ascii="ˎ̥" w:hAnsi="ˎ̥"/>
          <w:color w:val="000000"/>
          <w:lang w:val="en-US" w:eastAsia="zh-CN"/>
        </w:rPr>
        <w:t>96</w:t>
      </w:r>
      <w:r>
        <w:rPr>
          <w:rFonts w:ascii="ˎ̥" w:hAnsi="ˎ̥"/>
          <w:color w:val="000000"/>
        </w:rPr>
        <w:t>%</w:t>
      </w:r>
      <w:r>
        <w:rPr>
          <w:rFonts w:hint="eastAsia" w:ascii="ˎ̥" w:hAnsi="ˎ̥"/>
          <w:color w:val="000000"/>
        </w:rPr>
        <w:t>，专项</w:t>
      </w:r>
      <w:r>
        <w:rPr>
          <w:rFonts w:ascii="ˎ̥" w:hAnsi="ˎ̥"/>
          <w:color w:val="000000"/>
        </w:rPr>
        <w:t>支出</w:t>
      </w:r>
      <w:r>
        <w:rPr>
          <w:rFonts w:hint="eastAsia" w:ascii="ˎ̥" w:hAnsi="ˎ̥"/>
          <w:color w:val="000000"/>
        </w:rPr>
        <w:t>20</w:t>
      </w:r>
      <w:r>
        <w:rPr>
          <w:rFonts w:ascii="ˎ̥" w:hAnsi="ˎ̥"/>
          <w:color w:val="000000"/>
        </w:rPr>
        <w:t>万元，占</w:t>
      </w:r>
      <w:r>
        <w:rPr>
          <w:rFonts w:hint="eastAsia" w:ascii="ˎ̥" w:hAnsi="ˎ̥"/>
          <w:color w:val="000000"/>
        </w:rPr>
        <w:t>9.</w:t>
      </w:r>
      <w:r>
        <w:rPr>
          <w:rFonts w:hint="eastAsia" w:ascii="ˎ̥" w:hAnsi="ˎ̥"/>
          <w:color w:val="000000"/>
          <w:lang w:val="en-US" w:eastAsia="zh-CN"/>
        </w:rPr>
        <w:t>04</w:t>
      </w:r>
      <w:r>
        <w:rPr>
          <w:rFonts w:ascii="ˎ̥" w:hAnsi="ˎ̥"/>
          <w:color w:val="000000"/>
        </w:rPr>
        <w:t>%。</w:t>
      </w:r>
    </w:p>
    <w:p>
      <w:pPr>
        <w:pStyle w:val="4"/>
        <w:spacing w:line="360" w:lineRule="auto"/>
        <w:rPr>
          <w:rFonts w:ascii="ˎ̥" w:hAnsi="ˎ̥"/>
          <w:color w:val="auto"/>
        </w:rPr>
      </w:pPr>
      <w:r>
        <w:rPr>
          <w:rFonts w:ascii="ˎ̥" w:hAnsi="ˎ̥"/>
          <w:color w:val="000000"/>
        </w:rPr>
        <w:t>　</w:t>
      </w:r>
      <w:r>
        <w:rPr>
          <w:rStyle w:val="7"/>
          <w:rFonts w:ascii="ˎ̥" w:hAnsi="ˎ̥"/>
          <w:color w:val="000000"/>
        </w:rPr>
        <w:t>　四、财政拨款收入支出预算总体情况说明</w:t>
      </w:r>
    </w:p>
    <w:p>
      <w:pPr>
        <w:pStyle w:val="4"/>
        <w:spacing w:line="360" w:lineRule="auto"/>
        <w:rPr>
          <w:rFonts w:ascii="ˎ̥" w:hAnsi="ˎ̥"/>
          <w:color w:val="000000"/>
        </w:rPr>
      </w:pPr>
      <w:r>
        <w:rPr>
          <w:rFonts w:ascii="ˎ̥" w:hAnsi="ˎ̥"/>
          <w:color w:val="auto"/>
        </w:rPr>
        <w:t>　　</w:t>
      </w:r>
      <w:r>
        <w:rPr>
          <w:rFonts w:hint="eastAsia" w:ascii="ˎ̥" w:hAnsi="ˎ̥"/>
          <w:color w:val="auto"/>
        </w:rPr>
        <w:t>平桥区水产技术研究推广中心</w:t>
      </w:r>
      <w:r>
        <w:rPr>
          <w:rFonts w:ascii="ˎ̥" w:hAnsi="ˎ̥"/>
          <w:color w:val="auto"/>
        </w:rPr>
        <w:t>20</w:t>
      </w:r>
      <w:r>
        <w:rPr>
          <w:rFonts w:hint="eastAsia" w:ascii="ˎ̥" w:hAnsi="ˎ̥"/>
          <w:color w:val="auto"/>
        </w:rPr>
        <w:t>2</w:t>
      </w:r>
      <w:r>
        <w:rPr>
          <w:rFonts w:hint="eastAsia" w:ascii="ˎ̥" w:hAnsi="ˎ̥"/>
          <w:color w:val="auto"/>
          <w:lang w:val="en-US" w:eastAsia="zh-CN"/>
        </w:rPr>
        <w:t>2</w:t>
      </w:r>
      <w:r>
        <w:rPr>
          <w:rFonts w:ascii="ˎ̥" w:hAnsi="ˎ̥"/>
          <w:color w:val="auto"/>
        </w:rPr>
        <w:t>年</w:t>
      </w:r>
      <w:r>
        <w:rPr>
          <w:rFonts w:hint="eastAsia" w:ascii="ˎ̥" w:hAnsi="ˎ̥"/>
          <w:color w:val="auto"/>
          <w:lang w:val="en-US" w:eastAsia="zh-CN"/>
        </w:rPr>
        <w:t>财政拨款</w:t>
      </w:r>
      <w:r>
        <w:rPr>
          <w:rFonts w:ascii="ˎ̥" w:hAnsi="ˎ̥"/>
          <w:color w:val="auto"/>
        </w:rPr>
        <w:t>收支预算</w:t>
      </w:r>
      <w:r>
        <w:rPr>
          <w:rFonts w:hint="eastAsia" w:ascii="ˎ̥" w:hAnsi="ˎ̥"/>
          <w:color w:val="auto"/>
          <w:lang w:val="en-US" w:eastAsia="zh-CN"/>
        </w:rPr>
        <w:t>200.90</w:t>
      </w:r>
      <w:r>
        <w:rPr>
          <w:rFonts w:ascii="ˎ̥" w:hAnsi="ˎ̥"/>
          <w:color w:val="000000"/>
        </w:rPr>
        <w:t>万元。与20</w:t>
      </w:r>
      <w:r>
        <w:rPr>
          <w:rFonts w:hint="eastAsia" w:ascii="ˎ̥" w:hAnsi="ˎ̥"/>
          <w:color w:val="000000"/>
          <w:lang w:val="en-US" w:eastAsia="zh-CN"/>
        </w:rPr>
        <w:t>21</w:t>
      </w:r>
      <w:r>
        <w:rPr>
          <w:rFonts w:ascii="ˎ̥" w:hAnsi="ˎ̥"/>
          <w:color w:val="000000"/>
        </w:rPr>
        <w:t>年相比，</w:t>
      </w:r>
      <w:r>
        <w:rPr>
          <w:rFonts w:hint="eastAsia" w:ascii="ˎ̥" w:hAnsi="ˎ̥"/>
          <w:color w:val="000000"/>
          <w:lang w:val="en-US" w:eastAsia="zh-CN"/>
        </w:rPr>
        <w:t>财政拨款</w:t>
      </w:r>
      <w:r>
        <w:rPr>
          <w:rFonts w:ascii="ˎ̥" w:hAnsi="ˎ̥"/>
          <w:color w:val="000000"/>
        </w:rPr>
        <w:t>收支预算</w:t>
      </w:r>
      <w:r>
        <w:rPr>
          <w:rFonts w:hint="eastAsia" w:ascii="ˎ̥" w:hAnsi="ˎ̥"/>
          <w:color w:val="000000"/>
          <w:lang w:val="en-US" w:eastAsia="zh-CN"/>
        </w:rPr>
        <w:t>均</w:t>
      </w:r>
      <w:r>
        <w:rPr>
          <w:rFonts w:hint="eastAsia" w:ascii="ˎ̥" w:hAnsi="ˎ̥"/>
          <w:color w:val="000000"/>
          <w:spacing w:val="-6"/>
          <w:lang w:eastAsia="zh-CN"/>
        </w:rPr>
        <w:t>减少</w:t>
      </w:r>
      <w:r>
        <w:rPr>
          <w:rFonts w:hint="eastAsia" w:ascii="ˎ̥" w:hAnsi="ˎ̥"/>
          <w:color w:val="auto"/>
          <w:spacing w:val="-6"/>
          <w:lang w:val="en-US" w:eastAsia="zh-CN"/>
        </w:rPr>
        <w:t>0.45</w:t>
      </w:r>
      <w:r>
        <w:rPr>
          <w:rFonts w:ascii="ˎ̥" w:hAnsi="ˎ̥"/>
          <w:color w:val="000000"/>
          <w:spacing w:val="-6"/>
        </w:rPr>
        <w:t>万元，</w:t>
      </w:r>
      <w:r>
        <w:rPr>
          <w:rFonts w:hint="eastAsia" w:ascii="ˎ̥" w:hAnsi="ˎ̥"/>
          <w:color w:val="000000"/>
          <w:spacing w:val="-6"/>
          <w:lang w:eastAsia="zh-CN"/>
        </w:rPr>
        <w:t>增长</w:t>
      </w:r>
      <w:r>
        <w:rPr>
          <w:rFonts w:hint="eastAsia" w:ascii="ˎ̥" w:hAnsi="ˎ̥"/>
          <w:color w:val="auto"/>
          <w:spacing w:val="-6"/>
          <w:lang w:val="en-US" w:eastAsia="zh-CN"/>
        </w:rPr>
        <w:t>0.2</w:t>
      </w:r>
      <w:r>
        <w:rPr>
          <w:rFonts w:ascii="ˎ̥" w:hAnsi="ˎ̥"/>
          <w:color w:val="auto"/>
          <w:spacing w:val="-6"/>
        </w:rPr>
        <w:t>%</w:t>
      </w:r>
      <w:r>
        <w:rPr>
          <w:rFonts w:ascii="ˎ̥" w:hAnsi="ˎ̥"/>
          <w:color w:val="000000"/>
        </w:rPr>
        <w:t>，</w:t>
      </w:r>
      <w:r>
        <w:rPr>
          <w:rFonts w:ascii="ˎ̥" w:hAnsi="ˎ̥"/>
          <w:color w:val="000000"/>
          <w:spacing w:val="-6"/>
        </w:rPr>
        <w:t>主要原因</w:t>
      </w:r>
      <w:r>
        <w:rPr>
          <w:rFonts w:hint="eastAsia" w:ascii="ˎ̥" w:hAnsi="ˎ̥"/>
          <w:color w:val="000000"/>
          <w:spacing w:val="-6"/>
        </w:rPr>
        <w:t>是人员工资及相应人员经费</w:t>
      </w:r>
      <w:r>
        <w:rPr>
          <w:rFonts w:hint="eastAsia" w:ascii="ˎ̥" w:hAnsi="ˎ̥"/>
          <w:color w:val="000000"/>
          <w:spacing w:val="-6"/>
          <w:lang w:eastAsia="zh-CN"/>
        </w:rPr>
        <w:t>增长</w:t>
      </w:r>
      <w:r>
        <w:rPr>
          <w:rFonts w:hint="eastAsia" w:ascii="ˎ̥" w:hAnsi="ˎ̥"/>
          <w:color w:val="000000"/>
          <w:spacing w:val="-6"/>
        </w:rPr>
        <w:t>等</w:t>
      </w:r>
      <w:r>
        <w:rPr>
          <w:rFonts w:ascii="ˎ̥" w:hAnsi="ˎ̥"/>
          <w:color w:val="000000"/>
        </w:rPr>
        <w:t>。</w:t>
      </w:r>
    </w:p>
    <w:p>
      <w:pPr>
        <w:pStyle w:val="4"/>
        <w:spacing w:line="360" w:lineRule="auto"/>
        <w:rPr>
          <w:rFonts w:ascii="ˎ̥" w:hAnsi="ˎ̥"/>
          <w:color w:val="000000"/>
        </w:rPr>
      </w:pPr>
      <w:r>
        <w:rPr>
          <w:rFonts w:ascii="ˎ̥" w:hAnsi="ˎ̥"/>
          <w:color w:val="000000"/>
        </w:rPr>
        <w:t>　　</w:t>
      </w:r>
      <w:r>
        <w:rPr>
          <w:rStyle w:val="7"/>
          <w:rFonts w:ascii="ˎ̥" w:hAnsi="ˎ̥"/>
          <w:color w:val="000000"/>
        </w:rPr>
        <w:t>五、一般公共预算支出预算情况说明</w:t>
      </w:r>
    </w:p>
    <w:p>
      <w:pPr>
        <w:pStyle w:val="4"/>
        <w:spacing w:line="360" w:lineRule="auto"/>
        <w:ind w:firstLine="480"/>
        <w:rPr>
          <w:rFonts w:hint="eastAsia" w:ascii="ˎ̥" w:hAnsi="ˎ̥"/>
        </w:rPr>
      </w:pPr>
      <w:r>
        <w:rPr>
          <w:rFonts w:hint="eastAsia" w:ascii="ˎ̥" w:hAnsi="ˎ̥"/>
        </w:rPr>
        <w:t>平桥区水产技术研究推广中心202</w:t>
      </w:r>
      <w:r>
        <w:rPr>
          <w:rFonts w:hint="eastAsia" w:ascii="ˎ̥" w:hAnsi="ˎ̥"/>
          <w:lang w:val="en-US" w:eastAsia="zh-CN"/>
        </w:rPr>
        <w:t>2</w:t>
      </w:r>
      <w:r>
        <w:rPr>
          <w:rFonts w:hint="eastAsia" w:ascii="ˎ̥" w:hAnsi="ˎ̥"/>
        </w:rPr>
        <w:t>年一般公共预算支出年初预算为</w:t>
      </w:r>
      <w:r>
        <w:rPr>
          <w:rFonts w:hint="eastAsia" w:ascii="ˎ̥" w:hAnsi="ˎ̥"/>
          <w:color w:val="000000"/>
          <w:spacing w:val="-6"/>
          <w:lang w:val="en-US" w:eastAsia="zh-CN"/>
        </w:rPr>
        <w:t>220.90</w:t>
      </w:r>
      <w:r>
        <w:rPr>
          <w:rFonts w:hint="eastAsia" w:ascii="ˎ̥" w:hAnsi="ˎ̥"/>
        </w:rPr>
        <w:t>万元。主要用于以下方面：</w:t>
      </w:r>
      <w:r>
        <w:rPr>
          <w:rFonts w:ascii="ˎ̥" w:hAnsi="ˎ̥"/>
          <w:color w:val="000000"/>
        </w:rPr>
        <w:t>基本支出</w:t>
      </w:r>
      <w:r>
        <w:rPr>
          <w:rFonts w:hint="eastAsia" w:ascii="ˎ̥" w:hAnsi="ˎ̥"/>
          <w:color w:val="000000"/>
          <w:lang w:val="en-US" w:eastAsia="zh-CN"/>
        </w:rPr>
        <w:t>200.90</w:t>
      </w:r>
      <w:r>
        <w:rPr>
          <w:rFonts w:ascii="ˎ̥" w:hAnsi="ˎ̥"/>
          <w:color w:val="000000"/>
        </w:rPr>
        <w:t>万元，占</w:t>
      </w:r>
      <w:r>
        <w:rPr>
          <w:rFonts w:hint="eastAsia" w:ascii="ˎ̥" w:hAnsi="ˎ̥"/>
          <w:color w:val="000000"/>
        </w:rPr>
        <w:t>90.</w:t>
      </w:r>
      <w:r>
        <w:rPr>
          <w:rFonts w:hint="eastAsia" w:ascii="ˎ̥" w:hAnsi="ˎ̥"/>
          <w:color w:val="000000"/>
          <w:lang w:val="en-US" w:eastAsia="zh-CN"/>
        </w:rPr>
        <w:t>96</w:t>
      </w:r>
      <w:r>
        <w:rPr>
          <w:rFonts w:ascii="ˎ̥" w:hAnsi="ˎ̥"/>
          <w:color w:val="000000"/>
        </w:rPr>
        <w:t>%</w:t>
      </w:r>
      <w:r>
        <w:rPr>
          <w:rFonts w:hint="eastAsia" w:ascii="ˎ̥" w:hAnsi="ˎ̥"/>
          <w:color w:val="000000"/>
        </w:rPr>
        <w:t>，专项</w:t>
      </w:r>
      <w:r>
        <w:rPr>
          <w:rFonts w:ascii="ˎ̥" w:hAnsi="ˎ̥"/>
          <w:color w:val="000000"/>
        </w:rPr>
        <w:t>支出</w:t>
      </w:r>
      <w:r>
        <w:rPr>
          <w:rFonts w:hint="eastAsia" w:ascii="ˎ̥" w:hAnsi="ˎ̥"/>
          <w:color w:val="000000"/>
        </w:rPr>
        <w:t>20</w:t>
      </w:r>
      <w:r>
        <w:rPr>
          <w:rFonts w:ascii="ˎ̥" w:hAnsi="ˎ̥"/>
          <w:color w:val="000000"/>
        </w:rPr>
        <w:t>万元，占</w:t>
      </w:r>
      <w:r>
        <w:rPr>
          <w:rFonts w:hint="eastAsia" w:ascii="ˎ̥" w:hAnsi="ˎ̥"/>
          <w:color w:val="000000"/>
        </w:rPr>
        <w:t>9.</w:t>
      </w:r>
      <w:r>
        <w:rPr>
          <w:rFonts w:hint="eastAsia" w:ascii="ˎ̥" w:hAnsi="ˎ̥"/>
          <w:color w:val="000000"/>
          <w:lang w:val="en-US" w:eastAsia="zh-CN"/>
        </w:rPr>
        <w:t>04</w:t>
      </w:r>
      <w:r>
        <w:rPr>
          <w:rFonts w:ascii="ˎ̥" w:hAnsi="ˎ̥"/>
          <w:color w:val="000000"/>
        </w:rPr>
        <w:t>%。</w:t>
      </w:r>
      <w:r>
        <w:rPr>
          <w:rFonts w:hint="eastAsia" w:ascii="ˎ̥" w:hAnsi="ˎ̥"/>
          <w:color w:val="000000"/>
          <w:lang w:eastAsia="zh-CN"/>
        </w:rPr>
        <w:t>专项支出</w:t>
      </w:r>
      <w:r>
        <w:rPr>
          <w:rFonts w:hint="eastAsia" w:ascii="ˎ̥" w:hAnsi="ˎ̥"/>
        </w:rPr>
        <w:t>主要用于水产品质量检测。</w:t>
      </w:r>
    </w:p>
    <w:p>
      <w:pPr>
        <w:pStyle w:val="4"/>
        <w:numPr>
          <w:ilvl w:val="0"/>
          <w:numId w:val="0"/>
        </w:numPr>
        <w:spacing w:line="360" w:lineRule="auto"/>
        <w:ind w:left="240" w:leftChars="0" w:firstLine="482" w:firstLineChars="200"/>
        <w:rPr>
          <w:rStyle w:val="7"/>
          <w:rFonts w:ascii="ˎ̥" w:hAnsi="ˎ̥"/>
          <w:color w:val="000000"/>
        </w:rPr>
      </w:pPr>
      <w:r>
        <w:rPr>
          <w:rStyle w:val="7"/>
          <w:rFonts w:hint="eastAsia" w:ascii="ˎ̥" w:hAnsi="ˎ̥"/>
          <w:color w:val="000000"/>
          <w:lang w:val="en-US" w:eastAsia="zh-CN"/>
        </w:rPr>
        <w:t>六、</w:t>
      </w:r>
      <w:r>
        <w:rPr>
          <w:rStyle w:val="7"/>
          <w:rFonts w:ascii="ˎ̥" w:hAnsi="ˎ̥"/>
          <w:color w:val="000000"/>
        </w:rPr>
        <w:t>一般公共预算</w:t>
      </w:r>
      <w:r>
        <w:rPr>
          <w:rStyle w:val="7"/>
          <w:rFonts w:hint="eastAsia" w:ascii="ˎ̥" w:hAnsi="ˎ̥"/>
          <w:color w:val="000000"/>
          <w:lang w:val="en-US" w:eastAsia="zh-CN"/>
        </w:rPr>
        <w:t>基本</w:t>
      </w:r>
      <w:r>
        <w:rPr>
          <w:rStyle w:val="7"/>
          <w:rFonts w:ascii="ˎ̥" w:hAnsi="ˎ̥"/>
          <w:color w:val="000000"/>
        </w:rPr>
        <w:t>支出预算情况说明</w:t>
      </w:r>
    </w:p>
    <w:p>
      <w:pPr>
        <w:pStyle w:val="4"/>
        <w:numPr>
          <w:ilvl w:val="0"/>
          <w:numId w:val="0"/>
        </w:numPr>
        <w:spacing w:line="360" w:lineRule="auto"/>
        <w:ind w:left="240" w:leftChars="0" w:firstLine="480" w:firstLineChars="200"/>
        <w:rPr>
          <w:rFonts w:hint="default" w:ascii="ˎ̥" w:hAnsi="ˎ̥"/>
          <w:lang w:val="en-US" w:eastAsia="zh-CN"/>
        </w:rPr>
      </w:pPr>
      <w:r>
        <w:rPr>
          <w:rFonts w:hint="eastAsia" w:ascii="ˎ̥" w:hAnsi="ˎ̥"/>
        </w:rPr>
        <w:t>平桥区水产技术研究推广中心202</w:t>
      </w:r>
      <w:r>
        <w:rPr>
          <w:rFonts w:hint="eastAsia" w:ascii="ˎ̥" w:hAnsi="ˎ̥"/>
          <w:lang w:val="en-US" w:eastAsia="zh-CN"/>
        </w:rPr>
        <w:t>2</w:t>
      </w:r>
      <w:r>
        <w:rPr>
          <w:rFonts w:hint="eastAsia" w:ascii="ˎ̥" w:hAnsi="ˎ̥"/>
        </w:rPr>
        <w:t>年一般公共预算</w:t>
      </w:r>
      <w:r>
        <w:rPr>
          <w:rFonts w:hint="eastAsia" w:ascii="ˎ̥" w:hAnsi="ˎ̥"/>
          <w:lang w:val="en-US" w:eastAsia="zh-CN"/>
        </w:rPr>
        <w:t>基本</w:t>
      </w:r>
      <w:r>
        <w:rPr>
          <w:rFonts w:hint="eastAsia" w:ascii="ˎ̥" w:hAnsi="ˎ̥"/>
        </w:rPr>
        <w:t>支出为</w:t>
      </w:r>
      <w:r>
        <w:rPr>
          <w:rFonts w:hint="eastAsia" w:ascii="ˎ̥" w:hAnsi="ˎ̥"/>
          <w:lang w:val="en-US" w:eastAsia="zh-CN"/>
        </w:rPr>
        <w:t>200.90万元，</w:t>
      </w:r>
      <w:r>
        <w:rPr>
          <w:rFonts w:hint="eastAsia" w:ascii="ˎ̥" w:hAnsi="ˎ̥"/>
        </w:rPr>
        <w:t>其中：人员经费 189.51 万元，主要包括：基本工资、津贴补贴、奖金、社会保障缴费、伙食补助费、绩效工资、其他工资福利支出、离休费、退休费、退职（役）费、抚恤金、生活补助、医疗费、助学金、奖励金、住房公积金、提租补贴、购房补贴、其他对个人和家庭的补助支出；公用经费 11.39 万元，主要包括：办公费、印刷费、咨询费、手续费、水费、电费、邮电费、取暖费、物业管理费、差旅费、因公出国（境）费、维修（护）费、租赁费、会议费、培训费、公务接待费、专用材料费、劳务费、委托业务费、工会经费、福利费、公务用车运行维护费、其他交通费用、税金及附加费用、其他商品和服务支出、办公设备购置、专用设备购置、大型修缮、信息网络及软件购置更新、其他资本性支出。</w:t>
      </w:r>
    </w:p>
    <w:p>
      <w:pPr>
        <w:pStyle w:val="4"/>
        <w:spacing w:line="360" w:lineRule="auto"/>
        <w:rPr>
          <w:rStyle w:val="7"/>
          <w:rFonts w:hint="eastAsia" w:ascii="ˎ̥" w:hAnsi="ˎ̥"/>
          <w:color w:val="000000"/>
          <w:lang w:val="en-US" w:eastAsia="zh-CN"/>
        </w:rPr>
      </w:pPr>
      <w:r>
        <w:rPr>
          <w:rStyle w:val="7"/>
          <w:rFonts w:ascii="ˎ̥" w:hAnsi="ˎ̥"/>
          <w:color w:val="000000"/>
        </w:rPr>
        <w:t>　</w:t>
      </w:r>
      <w:r>
        <w:rPr>
          <w:rStyle w:val="7"/>
          <w:rFonts w:hint="eastAsia" w:ascii="ˎ̥" w:hAnsi="ˎ̥"/>
          <w:color w:val="000000"/>
          <w:lang w:val="en-US" w:eastAsia="zh-CN"/>
        </w:rPr>
        <w:t xml:space="preserve">  </w:t>
      </w:r>
    </w:p>
    <w:p>
      <w:pPr>
        <w:pStyle w:val="4"/>
        <w:spacing w:line="360" w:lineRule="auto"/>
        <w:ind w:firstLine="482" w:firstLineChars="200"/>
        <w:rPr>
          <w:rFonts w:ascii="ˎ̥" w:hAnsi="ˎ̥"/>
          <w:color w:val="000000"/>
        </w:rPr>
      </w:pPr>
      <w:r>
        <w:rPr>
          <w:rStyle w:val="7"/>
          <w:rFonts w:hint="eastAsia" w:ascii="ˎ̥" w:hAnsi="ˎ̥"/>
          <w:color w:val="000000"/>
          <w:lang w:val="en-US" w:eastAsia="zh-CN"/>
        </w:rPr>
        <w:t>七</w:t>
      </w:r>
      <w:r>
        <w:rPr>
          <w:rStyle w:val="7"/>
          <w:rFonts w:ascii="ˎ̥" w:hAnsi="ˎ̥"/>
          <w:color w:val="000000"/>
        </w:rPr>
        <w:t>、支出预算经济分类情况说明</w:t>
      </w:r>
    </w:p>
    <w:p>
      <w:pPr>
        <w:pStyle w:val="4"/>
        <w:spacing w:line="360" w:lineRule="auto"/>
        <w:rPr>
          <w:rFonts w:ascii="ˎ̥" w:hAnsi="ˎ̥"/>
          <w:color w:val="000000"/>
        </w:rPr>
      </w:pPr>
      <w:r>
        <w:rPr>
          <w:rFonts w:ascii="ˎ̥" w:hAnsi="ˎ̥"/>
          <w:color w:val="000000"/>
        </w:rPr>
        <w:t>　　按照《财政部关于印发&lt;支出经济分类科目改革方案&gt;的通知》(财预〔2017〕98号)要求，从2018年起全面实施支出经济分类科目改革，根据政府预算管理和预算管理的不同特点，分设预算支出经济分类科目和政府预算支出经济分类科目，两套科目之间保持对应关系。为适应改革要求，我</w:t>
      </w:r>
      <w:r>
        <w:rPr>
          <w:rFonts w:hint="eastAsia" w:ascii="ˎ̥" w:hAnsi="ˎ̥"/>
          <w:color w:val="000000"/>
        </w:rPr>
        <w:t>单位</w:t>
      </w:r>
      <w:r>
        <w:rPr>
          <w:rFonts w:ascii="ˎ̥" w:hAnsi="ˎ̥"/>
          <w:color w:val="000000"/>
        </w:rPr>
        <w:t>《支出经济分类汇总表》由仅反映一般公共预算基本支出经济分类科目预算，调整为按两套经济分类科目分别反映不同资金来源的全部预算支出。</w:t>
      </w:r>
    </w:p>
    <w:p>
      <w:pPr>
        <w:pStyle w:val="4"/>
        <w:spacing w:line="360" w:lineRule="auto"/>
        <w:rPr>
          <w:rStyle w:val="7"/>
          <w:rFonts w:ascii="ˎ̥" w:hAnsi="ˎ̥"/>
          <w:color w:val="000000"/>
        </w:rPr>
      </w:pPr>
      <w:r>
        <w:rPr>
          <w:rFonts w:ascii="ˎ̥" w:hAnsi="ˎ̥"/>
          <w:color w:val="000000"/>
        </w:rPr>
        <w:t>　</w:t>
      </w:r>
      <w:r>
        <w:rPr>
          <w:rStyle w:val="7"/>
          <w:rFonts w:ascii="ˎ̥" w:hAnsi="ˎ̥"/>
          <w:color w:val="000000"/>
        </w:rPr>
        <w:t>　</w:t>
      </w:r>
    </w:p>
    <w:p>
      <w:pPr>
        <w:pStyle w:val="4"/>
        <w:spacing w:line="360" w:lineRule="auto"/>
        <w:ind w:firstLine="482" w:firstLineChars="200"/>
        <w:rPr>
          <w:rFonts w:ascii="ˎ̥" w:hAnsi="ˎ̥"/>
          <w:color w:val="000000"/>
        </w:rPr>
      </w:pPr>
      <w:r>
        <w:rPr>
          <w:rStyle w:val="7"/>
          <w:rFonts w:hint="eastAsia" w:ascii="ˎ̥" w:hAnsi="ˎ̥"/>
          <w:color w:val="000000"/>
          <w:lang w:val="en-US" w:eastAsia="zh-CN"/>
        </w:rPr>
        <w:t>八</w:t>
      </w:r>
      <w:r>
        <w:rPr>
          <w:rStyle w:val="7"/>
          <w:rFonts w:ascii="ˎ̥" w:hAnsi="ˎ̥"/>
          <w:color w:val="000000"/>
        </w:rPr>
        <w:t>、“三公”经费支出预算情况说明</w:t>
      </w:r>
    </w:p>
    <w:p>
      <w:pPr>
        <w:pStyle w:val="4"/>
        <w:spacing w:line="360" w:lineRule="auto"/>
        <w:rPr>
          <w:rFonts w:ascii="ˎ̥" w:hAnsi="ˎ̥"/>
          <w:color w:val="000000"/>
        </w:rPr>
      </w:pPr>
      <w:r>
        <w:rPr>
          <w:rFonts w:ascii="ˎ̥" w:hAnsi="ˎ̥"/>
          <w:color w:val="000000"/>
        </w:rPr>
        <w:t>　　我</w:t>
      </w:r>
      <w:r>
        <w:rPr>
          <w:rFonts w:hint="eastAsia" w:ascii="ˎ̥" w:hAnsi="ˎ̥"/>
          <w:color w:val="000000"/>
        </w:rPr>
        <w:t>单位</w:t>
      </w:r>
      <w:r>
        <w:rPr>
          <w:rFonts w:ascii="ˎ̥" w:hAnsi="ˎ̥"/>
          <w:color w:val="000000"/>
        </w:rPr>
        <w:t>20</w:t>
      </w:r>
      <w:r>
        <w:rPr>
          <w:rFonts w:hint="eastAsia" w:ascii="ˎ̥" w:hAnsi="ˎ̥"/>
          <w:color w:val="000000"/>
        </w:rPr>
        <w:t>2</w:t>
      </w:r>
      <w:r>
        <w:rPr>
          <w:rFonts w:hint="eastAsia" w:ascii="ˎ̥" w:hAnsi="ˎ̥"/>
          <w:color w:val="000000"/>
          <w:lang w:val="en-US" w:eastAsia="zh-CN"/>
        </w:rPr>
        <w:t>2</w:t>
      </w:r>
      <w:r>
        <w:rPr>
          <w:rFonts w:ascii="ˎ̥" w:hAnsi="ˎ̥"/>
          <w:color w:val="000000"/>
        </w:rPr>
        <w:t>年“三公”经费预算为</w:t>
      </w:r>
      <w:r>
        <w:rPr>
          <w:rFonts w:hint="eastAsia" w:ascii="ˎ̥" w:hAnsi="ˎ̥"/>
          <w:color w:val="000000"/>
        </w:rPr>
        <w:t>0</w:t>
      </w:r>
      <w:r>
        <w:rPr>
          <w:rFonts w:ascii="ˎ̥" w:hAnsi="ˎ̥"/>
          <w:color w:val="000000"/>
        </w:rPr>
        <w:t>万元。20</w:t>
      </w:r>
      <w:r>
        <w:rPr>
          <w:rFonts w:hint="eastAsia" w:ascii="ˎ̥" w:hAnsi="ˎ̥"/>
          <w:color w:val="000000"/>
        </w:rPr>
        <w:t>20</w:t>
      </w:r>
      <w:r>
        <w:rPr>
          <w:rFonts w:ascii="ˎ̥" w:hAnsi="ˎ̥"/>
          <w:color w:val="000000"/>
        </w:rPr>
        <w:t>年“三公”经费支出预算数与20</w:t>
      </w:r>
      <w:r>
        <w:rPr>
          <w:rFonts w:hint="eastAsia" w:ascii="ˎ̥" w:hAnsi="ˎ̥"/>
          <w:color w:val="000000"/>
          <w:lang w:val="en-US" w:eastAsia="zh-CN"/>
        </w:rPr>
        <w:t>21</w:t>
      </w:r>
      <w:r>
        <w:rPr>
          <w:rFonts w:ascii="ˎ̥" w:hAnsi="ˎ̥"/>
          <w:color w:val="000000"/>
        </w:rPr>
        <w:t>年持平。</w:t>
      </w:r>
    </w:p>
    <w:p>
      <w:pPr>
        <w:pStyle w:val="4"/>
        <w:spacing w:line="360" w:lineRule="auto"/>
        <w:rPr>
          <w:rFonts w:ascii="ˎ̥" w:hAnsi="ˎ̥"/>
          <w:color w:val="000000"/>
        </w:rPr>
      </w:pPr>
      <w:r>
        <w:rPr>
          <w:rFonts w:ascii="ˎ̥" w:hAnsi="ˎ̥"/>
          <w:color w:val="000000"/>
        </w:rPr>
        <w:t>　　具体支出情况如下：</w:t>
      </w:r>
    </w:p>
    <w:p>
      <w:pPr>
        <w:pStyle w:val="4"/>
        <w:spacing w:line="360" w:lineRule="auto"/>
        <w:rPr>
          <w:rFonts w:ascii="ˎ̥" w:hAnsi="ˎ̥"/>
          <w:color w:val="000000"/>
        </w:rPr>
      </w:pPr>
      <w:r>
        <w:rPr>
          <w:rFonts w:ascii="ˎ̥" w:hAnsi="ˎ̥"/>
          <w:color w:val="000000"/>
        </w:rPr>
        <w:t>　　(一)因公出国(境)费</w:t>
      </w:r>
      <w:r>
        <w:rPr>
          <w:rFonts w:hint="eastAsia" w:ascii="ˎ̥" w:hAnsi="ˎ̥"/>
          <w:color w:val="000000"/>
        </w:rPr>
        <w:t>0</w:t>
      </w:r>
      <w:r>
        <w:rPr>
          <w:rFonts w:ascii="ˎ̥" w:hAnsi="ˎ̥"/>
          <w:color w:val="000000"/>
        </w:rPr>
        <w:t>万元，预算数与20</w:t>
      </w:r>
      <w:r>
        <w:rPr>
          <w:rFonts w:hint="eastAsia" w:ascii="ˎ̥" w:hAnsi="ˎ̥"/>
          <w:color w:val="000000"/>
          <w:lang w:val="en-US" w:eastAsia="zh-CN"/>
        </w:rPr>
        <w:t>21</w:t>
      </w:r>
      <w:r>
        <w:rPr>
          <w:rFonts w:ascii="ˎ̥" w:hAnsi="ˎ̥"/>
          <w:color w:val="000000"/>
        </w:rPr>
        <w:t>年持平。</w:t>
      </w:r>
    </w:p>
    <w:p>
      <w:pPr>
        <w:pStyle w:val="4"/>
        <w:spacing w:line="360" w:lineRule="auto"/>
        <w:rPr>
          <w:rFonts w:ascii="ˎ̥" w:hAnsi="ˎ̥"/>
          <w:color w:val="000000"/>
        </w:rPr>
      </w:pPr>
      <w:r>
        <w:rPr>
          <w:rFonts w:ascii="ˎ̥" w:hAnsi="ˎ̥"/>
          <w:color w:val="000000"/>
        </w:rPr>
        <w:t>　　(二)公务用车购置及运行费</w:t>
      </w:r>
      <w:r>
        <w:rPr>
          <w:rFonts w:hint="eastAsia" w:ascii="ˎ̥" w:hAnsi="ˎ̥"/>
          <w:color w:val="000000"/>
        </w:rPr>
        <w:t>0</w:t>
      </w:r>
      <w:r>
        <w:rPr>
          <w:rFonts w:ascii="ˎ̥" w:hAnsi="ˎ̥"/>
          <w:color w:val="000000"/>
        </w:rPr>
        <w:t>万元，其中，公务用车购置费0元；公务用车运行维护费</w:t>
      </w:r>
      <w:r>
        <w:rPr>
          <w:rFonts w:hint="eastAsia" w:ascii="ˎ̥" w:hAnsi="ˎ̥"/>
          <w:color w:val="000000"/>
        </w:rPr>
        <w:t>0</w:t>
      </w:r>
      <w:r>
        <w:rPr>
          <w:rFonts w:ascii="ˎ̥" w:hAnsi="ˎ̥"/>
          <w:color w:val="000000"/>
        </w:rPr>
        <w:t>万元，主要用于开展工作所需公务用车的燃料费、维修费、过路过桥费、保险费、安全奖励费用等支出。公务用车购置费预算数和公务用车运行维护费预算数与20</w:t>
      </w:r>
      <w:r>
        <w:rPr>
          <w:rFonts w:hint="eastAsia" w:ascii="ˎ̥" w:hAnsi="ˎ̥"/>
          <w:color w:val="000000"/>
          <w:lang w:val="en-US" w:eastAsia="zh-CN"/>
        </w:rPr>
        <w:t>21</w:t>
      </w:r>
      <w:r>
        <w:rPr>
          <w:rFonts w:ascii="ˎ̥" w:hAnsi="ˎ̥"/>
          <w:color w:val="000000"/>
        </w:rPr>
        <w:t>年持平。</w:t>
      </w:r>
    </w:p>
    <w:p>
      <w:pPr>
        <w:pStyle w:val="4"/>
        <w:spacing w:line="360" w:lineRule="auto"/>
        <w:rPr>
          <w:rFonts w:ascii="ˎ̥" w:hAnsi="ˎ̥"/>
          <w:color w:val="000000"/>
        </w:rPr>
      </w:pPr>
      <w:r>
        <w:rPr>
          <w:rFonts w:ascii="ˎ̥" w:hAnsi="ˎ̥"/>
          <w:color w:val="000000"/>
        </w:rPr>
        <w:t>　　(三)公务接待费</w:t>
      </w:r>
      <w:r>
        <w:rPr>
          <w:rFonts w:hint="eastAsia" w:ascii="ˎ̥" w:hAnsi="ˎ̥"/>
          <w:color w:val="000000"/>
        </w:rPr>
        <w:t>0</w:t>
      </w:r>
      <w:r>
        <w:rPr>
          <w:rFonts w:ascii="ˎ̥" w:hAnsi="ˎ̥"/>
          <w:color w:val="000000"/>
        </w:rPr>
        <w:t>万元，预算数与20</w:t>
      </w:r>
      <w:r>
        <w:rPr>
          <w:rFonts w:hint="eastAsia" w:ascii="ˎ̥" w:hAnsi="ˎ̥"/>
          <w:color w:val="000000"/>
          <w:lang w:val="en-US" w:eastAsia="zh-CN"/>
        </w:rPr>
        <w:t>21</w:t>
      </w:r>
      <w:r>
        <w:rPr>
          <w:rFonts w:ascii="ˎ̥" w:hAnsi="ˎ̥"/>
          <w:color w:val="000000"/>
        </w:rPr>
        <w:t>年持平。</w:t>
      </w:r>
    </w:p>
    <w:p>
      <w:pPr>
        <w:pStyle w:val="4"/>
        <w:spacing w:line="360" w:lineRule="auto"/>
        <w:rPr>
          <w:rFonts w:hint="eastAsia" w:ascii="黑体" w:hAnsi="黑体" w:eastAsia="黑体" w:cs="黑体"/>
          <w:b/>
          <w:bCs/>
          <w:color w:val="000000"/>
          <w:lang w:val="en-US" w:eastAsia="zh-CN"/>
        </w:rPr>
      </w:pPr>
      <w:r>
        <w:rPr>
          <w:rFonts w:hint="eastAsia" w:ascii="黑体" w:hAnsi="黑体" w:eastAsia="黑体" w:cs="黑体"/>
          <w:b/>
          <w:bCs/>
          <w:color w:val="000000"/>
        </w:rPr>
        <w:t>　</w:t>
      </w:r>
      <w:r>
        <w:rPr>
          <w:rFonts w:hint="eastAsia" w:ascii="黑体" w:hAnsi="黑体" w:eastAsia="黑体" w:cs="黑体"/>
          <w:b/>
          <w:bCs/>
          <w:color w:val="000000"/>
          <w:lang w:val="en-US" w:eastAsia="zh-CN"/>
        </w:rPr>
        <w:t xml:space="preserve"> </w:t>
      </w:r>
    </w:p>
    <w:p>
      <w:pPr>
        <w:pStyle w:val="4"/>
        <w:spacing w:line="360" w:lineRule="auto"/>
        <w:ind w:firstLine="482" w:firstLineChars="200"/>
        <w:rPr>
          <w:rFonts w:ascii="ˎ̥" w:hAnsi="ˎ̥"/>
          <w:color w:val="000000"/>
        </w:rPr>
      </w:pPr>
      <w:r>
        <w:rPr>
          <w:rFonts w:hint="eastAsia" w:ascii="黑体" w:hAnsi="黑体" w:eastAsia="黑体" w:cs="黑体"/>
          <w:b/>
          <w:bCs/>
          <w:color w:val="000000"/>
          <w:lang w:val="en-US" w:eastAsia="zh-CN"/>
        </w:rPr>
        <w:t>九</w:t>
      </w:r>
      <w:r>
        <w:rPr>
          <w:rStyle w:val="7"/>
          <w:rFonts w:ascii="ˎ̥" w:hAnsi="ˎ̥"/>
          <w:color w:val="000000"/>
        </w:rPr>
        <w:t>、政府性基金预算支出情况说明</w:t>
      </w:r>
    </w:p>
    <w:p>
      <w:pPr>
        <w:pStyle w:val="4"/>
        <w:spacing w:line="360" w:lineRule="auto"/>
        <w:rPr>
          <w:rFonts w:ascii="ˎ̥" w:hAnsi="ˎ̥"/>
          <w:color w:val="000000"/>
        </w:rPr>
      </w:pPr>
      <w:r>
        <w:rPr>
          <w:rFonts w:ascii="ˎ̥" w:hAnsi="ˎ̥"/>
          <w:color w:val="000000"/>
        </w:rPr>
        <w:t>　　我</w:t>
      </w:r>
      <w:r>
        <w:rPr>
          <w:rFonts w:hint="eastAsia" w:ascii="ˎ̥" w:hAnsi="ˎ̥"/>
          <w:color w:val="000000"/>
        </w:rPr>
        <w:t>单位</w:t>
      </w:r>
      <w:r>
        <w:rPr>
          <w:rFonts w:ascii="ˎ̥" w:hAnsi="ˎ̥"/>
          <w:color w:val="000000"/>
        </w:rPr>
        <w:t>20</w:t>
      </w:r>
      <w:r>
        <w:rPr>
          <w:rFonts w:hint="eastAsia" w:ascii="ˎ̥" w:hAnsi="ˎ̥"/>
          <w:color w:val="000000"/>
        </w:rPr>
        <w:t>2</w:t>
      </w:r>
      <w:r>
        <w:rPr>
          <w:rFonts w:hint="eastAsia" w:ascii="ˎ̥" w:hAnsi="ˎ̥"/>
          <w:color w:val="000000"/>
          <w:lang w:val="en-US" w:eastAsia="zh-CN"/>
        </w:rPr>
        <w:t>2</w:t>
      </w:r>
      <w:r>
        <w:rPr>
          <w:rFonts w:ascii="ˎ̥" w:hAnsi="ˎ̥"/>
          <w:color w:val="000000"/>
        </w:rPr>
        <w:t>年没有使用政府性基金预算拨款安排的支出。</w:t>
      </w:r>
    </w:p>
    <w:p>
      <w:pPr>
        <w:pStyle w:val="4"/>
        <w:spacing w:line="360" w:lineRule="auto"/>
        <w:rPr>
          <w:rFonts w:hint="eastAsia" w:ascii="黑体" w:hAnsi="黑体" w:eastAsia="黑体" w:cs="黑体"/>
          <w:b/>
          <w:bCs/>
          <w:color w:val="000000"/>
        </w:rPr>
      </w:pPr>
    </w:p>
    <w:p>
      <w:pPr>
        <w:pStyle w:val="4"/>
        <w:spacing w:line="360" w:lineRule="auto"/>
        <w:ind w:firstLine="482" w:firstLineChars="200"/>
        <w:rPr>
          <w:rFonts w:ascii="ˎ̥" w:hAnsi="ˎ̥"/>
          <w:color w:val="000000"/>
        </w:rPr>
      </w:pPr>
      <w:r>
        <w:rPr>
          <w:rFonts w:hint="eastAsia" w:ascii="黑体" w:hAnsi="黑体" w:eastAsia="黑体" w:cs="黑体"/>
          <w:b/>
          <w:bCs/>
          <w:color w:val="000000"/>
          <w:lang w:val="en-US" w:eastAsia="zh-CN"/>
        </w:rPr>
        <w:t>十</w:t>
      </w:r>
      <w:r>
        <w:rPr>
          <w:rStyle w:val="7"/>
          <w:rFonts w:hint="eastAsia" w:ascii="黑体" w:hAnsi="黑体" w:eastAsia="黑体" w:cs="黑体"/>
          <w:b/>
          <w:bCs/>
          <w:color w:val="000000"/>
        </w:rPr>
        <w:t>、</w:t>
      </w:r>
      <w:r>
        <w:rPr>
          <w:rStyle w:val="7"/>
          <w:rFonts w:ascii="ˎ̥" w:hAnsi="ˎ̥"/>
          <w:color w:val="000000"/>
        </w:rPr>
        <w:t>其他重要事项的情况说明</w:t>
      </w:r>
    </w:p>
    <w:p>
      <w:pPr>
        <w:pStyle w:val="4"/>
        <w:spacing w:line="360" w:lineRule="auto"/>
        <w:rPr>
          <w:rFonts w:ascii="ˎ̥" w:hAnsi="ˎ̥"/>
          <w:color w:val="000000"/>
        </w:rPr>
      </w:pPr>
      <w:r>
        <w:rPr>
          <w:rFonts w:ascii="ˎ̥" w:hAnsi="ˎ̥"/>
          <w:color w:val="000000"/>
        </w:rPr>
        <w:t>　　(一)机关运行经费支出情况</w:t>
      </w:r>
    </w:p>
    <w:p>
      <w:pPr>
        <w:pStyle w:val="4"/>
        <w:spacing w:line="360" w:lineRule="auto"/>
        <w:rPr>
          <w:rFonts w:ascii="ˎ̥" w:hAnsi="ˎ̥"/>
          <w:color w:val="000000"/>
        </w:rPr>
      </w:pPr>
      <w:r>
        <w:rPr>
          <w:rFonts w:ascii="ˎ̥" w:hAnsi="ˎ̥"/>
          <w:color w:val="000000"/>
        </w:rPr>
        <w:t>　　</w:t>
      </w:r>
      <w:r>
        <w:rPr>
          <w:rFonts w:hint="eastAsia" w:ascii="ˎ̥" w:hAnsi="ˎ̥"/>
          <w:color w:val="000000"/>
        </w:rPr>
        <w:t>平桥区水产技术研究推广中心</w:t>
      </w:r>
      <w:r>
        <w:rPr>
          <w:rFonts w:ascii="ˎ̥" w:hAnsi="ˎ̥"/>
          <w:color w:val="000000"/>
        </w:rPr>
        <w:t>20</w:t>
      </w:r>
      <w:r>
        <w:rPr>
          <w:rFonts w:hint="eastAsia" w:ascii="ˎ̥" w:hAnsi="ˎ̥"/>
          <w:color w:val="000000"/>
        </w:rPr>
        <w:t>2</w:t>
      </w:r>
      <w:r>
        <w:rPr>
          <w:rFonts w:hint="eastAsia" w:ascii="ˎ̥" w:hAnsi="ˎ̥"/>
          <w:color w:val="000000"/>
          <w:lang w:val="en-US" w:eastAsia="zh-CN"/>
        </w:rPr>
        <w:t>2</w:t>
      </w:r>
      <w:r>
        <w:rPr>
          <w:rFonts w:ascii="ˎ̥" w:hAnsi="ˎ̥"/>
          <w:color w:val="000000"/>
        </w:rPr>
        <w:t>年机关运行经费支出预算</w:t>
      </w:r>
      <w:r>
        <w:rPr>
          <w:rFonts w:hint="eastAsia" w:ascii="ˎ̥" w:hAnsi="ˎ̥"/>
          <w:color w:val="000000"/>
        </w:rPr>
        <w:t>1</w:t>
      </w:r>
      <w:r>
        <w:rPr>
          <w:rFonts w:hint="eastAsia" w:ascii="ˎ̥" w:hAnsi="ˎ̥"/>
          <w:color w:val="000000"/>
          <w:lang w:val="en-US" w:eastAsia="zh-CN"/>
        </w:rPr>
        <w:t>6</w:t>
      </w:r>
      <w:r>
        <w:rPr>
          <w:rFonts w:hint="eastAsia" w:ascii="ˎ̥" w:hAnsi="ˎ̥"/>
          <w:color w:val="000000"/>
        </w:rPr>
        <w:t>.</w:t>
      </w:r>
      <w:r>
        <w:rPr>
          <w:rFonts w:hint="eastAsia" w:ascii="ˎ̥" w:hAnsi="ˎ̥"/>
          <w:color w:val="000000"/>
          <w:lang w:val="en-US" w:eastAsia="zh-CN"/>
        </w:rPr>
        <w:t>47</w:t>
      </w:r>
      <w:r>
        <w:rPr>
          <w:rFonts w:ascii="ˎ̥" w:hAnsi="ˎ̥"/>
          <w:color w:val="000000"/>
        </w:rPr>
        <w:t>万元，主要保障机构正常运转及正常履职需要。</w:t>
      </w:r>
    </w:p>
    <w:p>
      <w:pPr>
        <w:pStyle w:val="4"/>
        <w:spacing w:line="360" w:lineRule="auto"/>
        <w:rPr>
          <w:rFonts w:ascii="ˎ̥" w:hAnsi="ˎ̥"/>
          <w:color w:val="000000"/>
        </w:rPr>
      </w:pPr>
      <w:r>
        <w:rPr>
          <w:rFonts w:ascii="ˎ̥" w:hAnsi="ˎ̥"/>
          <w:color w:val="000000"/>
        </w:rPr>
        <w:t>　　</w:t>
      </w:r>
    </w:p>
    <w:p>
      <w:pPr>
        <w:pStyle w:val="4"/>
        <w:spacing w:line="360" w:lineRule="auto"/>
        <w:ind w:firstLine="480" w:firstLineChars="200"/>
        <w:rPr>
          <w:rFonts w:ascii="ˎ̥" w:hAnsi="ˎ̥"/>
          <w:color w:val="000000"/>
        </w:rPr>
      </w:pPr>
      <w:r>
        <w:rPr>
          <w:rFonts w:ascii="ˎ̥" w:hAnsi="ˎ̥"/>
          <w:color w:val="000000"/>
        </w:rPr>
        <w:t>(二)政府采购支出情况</w:t>
      </w:r>
    </w:p>
    <w:p>
      <w:pPr>
        <w:pStyle w:val="4"/>
        <w:spacing w:line="360" w:lineRule="auto"/>
        <w:rPr>
          <w:rFonts w:hint="default" w:ascii="ˎ̥" w:hAnsi="ˎ̥" w:eastAsia="宋体"/>
          <w:color w:val="000000"/>
          <w:lang w:val="en-US" w:eastAsia="zh-CN"/>
        </w:rPr>
      </w:pPr>
      <w:r>
        <w:rPr>
          <w:rFonts w:ascii="ˎ̥" w:hAnsi="ˎ̥"/>
          <w:color w:val="000000"/>
        </w:rPr>
        <w:t>　　20</w:t>
      </w:r>
      <w:r>
        <w:rPr>
          <w:rFonts w:hint="eastAsia" w:ascii="ˎ̥" w:hAnsi="ˎ̥"/>
          <w:color w:val="000000"/>
        </w:rPr>
        <w:t>2</w:t>
      </w:r>
      <w:r>
        <w:rPr>
          <w:rFonts w:hint="eastAsia" w:ascii="ˎ̥" w:hAnsi="ˎ̥"/>
          <w:color w:val="000000"/>
          <w:lang w:val="en-US" w:eastAsia="zh-CN"/>
        </w:rPr>
        <w:t>2</w:t>
      </w:r>
      <w:r>
        <w:rPr>
          <w:rFonts w:ascii="ˎ̥" w:hAnsi="ˎ̥"/>
          <w:color w:val="000000"/>
        </w:rPr>
        <w:t>年政府采购预算安排</w:t>
      </w:r>
      <w:r>
        <w:rPr>
          <w:rFonts w:hint="eastAsia" w:ascii="ˎ̥" w:hAnsi="ˎ̥"/>
          <w:color w:val="000000"/>
        </w:rPr>
        <w:t>0</w:t>
      </w:r>
      <w:r>
        <w:rPr>
          <w:rFonts w:ascii="ˎ̥" w:hAnsi="ˎ̥"/>
          <w:color w:val="000000"/>
        </w:rPr>
        <w:t>万元，</w:t>
      </w:r>
      <w:r>
        <w:rPr>
          <w:rFonts w:hint="eastAsia" w:ascii="ˎ̥" w:hAnsi="ˎ̥"/>
          <w:color w:val="000000"/>
        </w:rPr>
        <w:t>没有安排</w:t>
      </w:r>
      <w:r>
        <w:rPr>
          <w:rFonts w:ascii="ˎ̥" w:hAnsi="ˎ̥"/>
          <w:color w:val="000000"/>
        </w:rPr>
        <w:t>政府采购</w:t>
      </w:r>
      <w:r>
        <w:rPr>
          <w:rFonts w:hint="eastAsia" w:ascii="ˎ̥" w:hAnsi="ˎ̥"/>
          <w:color w:val="000000"/>
        </w:rPr>
        <w:t>货物、</w:t>
      </w:r>
      <w:r>
        <w:rPr>
          <w:rFonts w:ascii="ˎ̥" w:hAnsi="ˎ̥"/>
          <w:color w:val="000000"/>
        </w:rPr>
        <w:t>服务</w:t>
      </w:r>
      <w:r>
        <w:rPr>
          <w:rFonts w:hint="eastAsia" w:ascii="ˎ̥" w:hAnsi="ˎ̥"/>
          <w:color w:val="000000"/>
        </w:rPr>
        <w:t>或工程类</w:t>
      </w:r>
      <w:r>
        <w:rPr>
          <w:rFonts w:ascii="ˎ̥" w:hAnsi="ˎ̥"/>
          <w:color w:val="000000"/>
        </w:rPr>
        <w:t>预算</w:t>
      </w:r>
      <w:r>
        <w:rPr>
          <w:rFonts w:hint="eastAsia" w:ascii="ˎ̥" w:hAnsi="ˎ̥"/>
          <w:color w:val="000000"/>
          <w:lang w:eastAsia="zh-CN"/>
        </w:rPr>
        <w:t>，</w:t>
      </w:r>
      <w:r>
        <w:rPr>
          <w:rFonts w:hint="eastAsia" w:ascii="ˎ̥" w:hAnsi="ˎ̥"/>
          <w:color w:val="000000"/>
          <w:lang w:val="en-US" w:eastAsia="zh-CN"/>
        </w:rPr>
        <w:t>即</w:t>
      </w:r>
      <w:r>
        <w:rPr>
          <w:rFonts w:hint="eastAsia"/>
        </w:rPr>
        <w:t>政府采购货物预算0万元、政府采购工程预算0万元、政府采购服务预算0万元。</w:t>
      </w:r>
    </w:p>
    <w:p>
      <w:pPr>
        <w:pStyle w:val="4"/>
        <w:spacing w:line="360" w:lineRule="auto"/>
        <w:rPr>
          <w:rFonts w:ascii="ˎ̥" w:hAnsi="ˎ̥"/>
          <w:color w:val="000000"/>
        </w:rPr>
      </w:pPr>
      <w:r>
        <w:rPr>
          <w:rFonts w:ascii="ˎ̥" w:hAnsi="ˎ̥"/>
          <w:color w:val="000000"/>
        </w:rPr>
        <w:t>　</w:t>
      </w:r>
    </w:p>
    <w:p>
      <w:pPr>
        <w:pStyle w:val="4"/>
        <w:spacing w:line="360" w:lineRule="auto"/>
        <w:ind w:firstLine="240" w:firstLineChars="100"/>
        <w:rPr>
          <w:rFonts w:ascii="ˎ̥" w:hAnsi="ˎ̥"/>
          <w:color w:val="000000"/>
        </w:rPr>
      </w:pPr>
    </w:p>
    <w:p>
      <w:pPr>
        <w:pStyle w:val="4"/>
        <w:spacing w:line="360" w:lineRule="auto"/>
        <w:ind w:firstLine="480"/>
        <w:rPr>
          <w:rFonts w:hint="eastAsia" w:ascii="ˎ̥" w:hAnsi="ˎ̥"/>
          <w:color w:val="000000"/>
        </w:rPr>
      </w:pPr>
      <w:r>
        <w:rPr>
          <w:rFonts w:hint="eastAsia" w:ascii="ˎ̥" w:hAnsi="ˎ̥"/>
          <w:color w:val="000000"/>
        </w:rPr>
        <w:t>（三）绩效目标设置情况</w:t>
      </w:r>
    </w:p>
    <w:p>
      <w:pPr>
        <w:pStyle w:val="4"/>
        <w:spacing w:line="360" w:lineRule="auto"/>
        <w:ind w:firstLine="480"/>
        <w:rPr>
          <w:rFonts w:hint="eastAsia" w:ascii="ˎ̥" w:hAnsi="ˎ̥"/>
          <w:color w:val="000000"/>
        </w:rPr>
      </w:pPr>
      <w:r>
        <w:rPr>
          <w:rFonts w:hint="eastAsia" w:ascii="ˎ̥" w:hAnsi="ˎ̥"/>
          <w:color w:val="000000"/>
        </w:rPr>
        <w:t>我单位2022年预算项目均按要求编制了绩效目标，从项目产出、项目效益、满意度等方面设置了绩效目标，综合反映项目预期完成的数量、实效、质量，预期达到的社会经济效益、可持续影响以及对象满意度等情况。</w:t>
      </w:r>
    </w:p>
    <w:p>
      <w:pPr>
        <w:pStyle w:val="4"/>
        <w:spacing w:line="360" w:lineRule="auto"/>
        <w:rPr>
          <w:rFonts w:hint="eastAsia" w:ascii="ˎ̥" w:hAnsi="ˎ̥"/>
          <w:color w:val="000000"/>
        </w:rPr>
      </w:pPr>
    </w:p>
    <w:p>
      <w:pPr>
        <w:pStyle w:val="4"/>
        <w:spacing w:line="360" w:lineRule="auto"/>
        <w:rPr>
          <w:rFonts w:ascii="ˎ̥" w:hAnsi="ˎ̥"/>
          <w:color w:val="000000"/>
        </w:rPr>
      </w:pPr>
      <w:r>
        <w:rPr>
          <w:rFonts w:ascii="ˎ̥" w:hAnsi="ˎ̥"/>
          <w:color w:val="000000"/>
        </w:rPr>
        <w:t>　　(四)国有资产占用情况</w:t>
      </w:r>
    </w:p>
    <w:p>
      <w:pPr>
        <w:pStyle w:val="4"/>
        <w:spacing w:line="360" w:lineRule="auto"/>
        <w:rPr>
          <w:rFonts w:ascii="ˎ̥" w:hAnsi="ˎ̥"/>
          <w:color w:val="000000"/>
        </w:rPr>
      </w:pPr>
      <w:r>
        <w:rPr>
          <w:rFonts w:ascii="ˎ̥" w:hAnsi="ˎ̥"/>
          <w:color w:val="000000"/>
        </w:rPr>
        <w:t>　　20</w:t>
      </w:r>
      <w:r>
        <w:rPr>
          <w:rFonts w:hint="eastAsia" w:ascii="ˎ̥" w:hAnsi="ˎ̥"/>
          <w:color w:val="000000"/>
          <w:lang w:val="en-US" w:eastAsia="zh-CN"/>
        </w:rPr>
        <w:t>21</w:t>
      </w:r>
      <w:r>
        <w:rPr>
          <w:rFonts w:ascii="ˎ̥" w:hAnsi="ˎ̥"/>
          <w:color w:val="000000"/>
        </w:rPr>
        <w:t>年期末，我</w:t>
      </w:r>
      <w:r>
        <w:rPr>
          <w:rFonts w:hint="eastAsia" w:ascii="ˎ̥" w:hAnsi="ˎ̥"/>
          <w:color w:val="000000"/>
        </w:rPr>
        <w:t>单位</w:t>
      </w:r>
      <w:r>
        <w:rPr>
          <w:rFonts w:ascii="ˎ̥" w:hAnsi="ˎ̥"/>
          <w:color w:val="000000"/>
        </w:rPr>
        <w:t>共有车辆</w:t>
      </w:r>
      <w:r>
        <w:rPr>
          <w:rFonts w:hint="eastAsia" w:ascii="ˎ̥" w:hAnsi="ˎ̥"/>
          <w:color w:val="000000"/>
        </w:rPr>
        <w:t>0</w:t>
      </w:r>
      <w:r>
        <w:rPr>
          <w:rFonts w:ascii="ˎ̥" w:hAnsi="ˎ̥"/>
          <w:color w:val="000000"/>
        </w:rPr>
        <w:t>辆，全部为一般公务用车；单价50万元以上通用设备</w:t>
      </w:r>
      <w:r>
        <w:rPr>
          <w:rFonts w:hint="eastAsia" w:ascii="ˎ̥" w:hAnsi="ˎ̥"/>
          <w:color w:val="000000"/>
        </w:rPr>
        <w:t>0</w:t>
      </w:r>
      <w:r>
        <w:rPr>
          <w:rFonts w:ascii="ˎ̥" w:hAnsi="ˎ̥"/>
          <w:color w:val="000000"/>
        </w:rPr>
        <w:t>台(套)，单位价值100万元以上专用设备0台(套)。</w:t>
      </w:r>
    </w:p>
    <w:p>
      <w:pPr>
        <w:pStyle w:val="4"/>
        <w:spacing w:line="360" w:lineRule="auto"/>
        <w:rPr>
          <w:rFonts w:ascii="ˎ̥" w:hAnsi="ˎ̥"/>
          <w:color w:val="000000"/>
        </w:rPr>
      </w:pPr>
      <w:r>
        <w:rPr>
          <w:rFonts w:ascii="ˎ̥" w:hAnsi="ˎ̥"/>
          <w:color w:val="000000"/>
        </w:rPr>
        <w:t>　　</w:t>
      </w:r>
    </w:p>
    <w:p>
      <w:pPr>
        <w:pStyle w:val="4"/>
        <w:spacing w:line="360" w:lineRule="auto"/>
        <w:ind w:firstLine="480" w:firstLineChars="200"/>
        <w:rPr>
          <w:rFonts w:ascii="ˎ̥" w:hAnsi="ˎ̥"/>
          <w:color w:val="000000"/>
        </w:rPr>
      </w:pPr>
      <w:r>
        <w:rPr>
          <w:rFonts w:ascii="ˎ̥" w:hAnsi="ˎ̥"/>
          <w:color w:val="000000"/>
        </w:rPr>
        <w:t>(五)专项转移支付项目情况</w:t>
      </w:r>
    </w:p>
    <w:p>
      <w:pPr>
        <w:pStyle w:val="4"/>
        <w:spacing w:line="360" w:lineRule="auto"/>
        <w:ind w:firstLine="480"/>
        <w:rPr>
          <w:rFonts w:ascii="ˎ̥" w:hAnsi="ˎ̥"/>
          <w:color w:val="000000"/>
        </w:rPr>
      </w:pPr>
      <w:r>
        <w:rPr>
          <w:rFonts w:ascii="ˎ̥" w:hAnsi="ˎ̥"/>
          <w:color w:val="000000"/>
        </w:rPr>
        <w:t>我</w:t>
      </w:r>
      <w:r>
        <w:rPr>
          <w:rFonts w:hint="eastAsia" w:ascii="ˎ̥" w:hAnsi="ˎ̥"/>
          <w:color w:val="000000"/>
        </w:rPr>
        <w:t>单位</w:t>
      </w:r>
      <w:r>
        <w:rPr>
          <w:rFonts w:ascii="ˎ̥" w:hAnsi="ˎ̥"/>
          <w:color w:val="000000"/>
        </w:rPr>
        <w:t>无负责管理的专项转移支付项目及资金。</w:t>
      </w:r>
    </w:p>
    <w:p>
      <w:pPr>
        <w:pStyle w:val="4"/>
        <w:spacing w:line="360" w:lineRule="auto"/>
        <w:jc w:val="center"/>
        <w:rPr>
          <w:rFonts w:ascii="ˎ̥" w:hAnsi="ˎ̥"/>
          <w:color w:val="000000"/>
        </w:rPr>
      </w:pPr>
    </w:p>
    <w:p>
      <w:pPr>
        <w:pStyle w:val="4"/>
        <w:spacing w:line="360" w:lineRule="auto"/>
        <w:jc w:val="center"/>
        <w:rPr>
          <w:rFonts w:ascii="ˎ̥" w:hAnsi="ˎ̥"/>
          <w:color w:val="000000"/>
        </w:rPr>
      </w:pPr>
    </w:p>
    <w:p>
      <w:pPr>
        <w:pStyle w:val="4"/>
        <w:spacing w:line="360" w:lineRule="auto"/>
        <w:jc w:val="center"/>
        <w:rPr>
          <w:rFonts w:ascii="ˎ̥" w:hAnsi="ˎ̥"/>
          <w:color w:val="000000"/>
        </w:rPr>
      </w:pPr>
    </w:p>
    <w:p>
      <w:pPr>
        <w:pStyle w:val="4"/>
        <w:spacing w:line="360" w:lineRule="auto"/>
        <w:jc w:val="center"/>
        <w:rPr>
          <w:rFonts w:ascii="ˎ̥" w:hAnsi="ˎ̥"/>
          <w:color w:val="000000"/>
        </w:rPr>
      </w:pPr>
    </w:p>
    <w:p>
      <w:pPr>
        <w:pStyle w:val="4"/>
        <w:spacing w:line="360" w:lineRule="auto"/>
        <w:jc w:val="center"/>
        <w:rPr>
          <w:rFonts w:ascii="ˎ̥" w:hAnsi="ˎ̥"/>
          <w:color w:val="000000"/>
        </w:rPr>
      </w:pPr>
    </w:p>
    <w:p>
      <w:pPr>
        <w:pStyle w:val="4"/>
        <w:spacing w:line="360" w:lineRule="auto"/>
        <w:jc w:val="center"/>
        <w:rPr>
          <w:rFonts w:ascii="ˎ̥" w:hAnsi="ˎ̥"/>
          <w:color w:val="000000"/>
        </w:rPr>
      </w:pPr>
    </w:p>
    <w:p>
      <w:pPr>
        <w:pStyle w:val="4"/>
        <w:spacing w:line="360" w:lineRule="auto"/>
        <w:jc w:val="center"/>
        <w:rPr>
          <w:rFonts w:ascii="ˎ̥" w:hAnsi="ˎ̥"/>
          <w:color w:val="000000"/>
        </w:rPr>
      </w:pPr>
    </w:p>
    <w:p>
      <w:pPr>
        <w:pStyle w:val="4"/>
        <w:spacing w:line="360" w:lineRule="auto"/>
        <w:jc w:val="both"/>
        <w:rPr>
          <w:rFonts w:ascii="ˎ̥" w:hAnsi="ˎ̥"/>
          <w:color w:val="000000"/>
        </w:rPr>
      </w:pPr>
    </w:p>
    <w:p>
      <w:pPr>
        <w:pStyle w:val="4"/>
        <w:spacing w:line="360" w:lineRule="auto"/>
        <w:jc w:val="both"/>
        <w:rPr>
          <w:rFonts w:ascii="ˎ̥" w:hAnsi="ˎ̥"/>
          <w:color w:val="000000"/>
        </w:rPr>
      </w:pPr>
      <w:bookmarkStart w:id="0" w:name="_GoBack"/>
      <w:bookmarkEnd w:id="0"/>
    </w:p>
    <w:p>
      <w:pPr>
        <w:pStyle w:val="4"/>
        <w:spacing w:line="360" w:lineRule="auto"/>
        <w:jc w:val="center"/>
        <w:rPr>
          <w:rFonts w:ascii="ˎ̥" w:hAnsi="ˎ̥"/>
          <w:color w:val="000000"/>
        </w:rPr>
      </w:pPr>
      <w:r>
        <w:rPr>
          <w:rFonts w:ascii="ˎ̥" w:hAnsi="ˎ̥"/>
          <w:color w:val="000000"/>
        </w:rPr>
        <w:t>　</w:t>
      </w:r>
      <w:r>
        <w:rPr>
          <w:rStyle w:val="7"/>
          <w:rFonts w:ascii="ˎ̥" w:hAnsi="ˎ̥"/>
          <w:color w:val="000000"/>
        </w:rPr>
        <w:t>　第三部分</w:t>
      </w:r>
    </w:p>
    <w:p>
      <w:pPr>
        <w:pStyle w:val="4"/>
        <w:spacing w:line="360" w:lineRule="auto"/>
        <w:jc w:val="center"/>
        <w:rPr>
          <w:rFonts w:ascii="ˎ̥" w:hAnsi="ˎ̥"/>
          <w:color w:val="000000"/>
        </w:rPr>
      </w:pPr>
      <w:r>
        <w:rPr>
          <w:rStyle w:val="7"/>
          <w:rFonts w:ascii="ˎ̥" w:hAnsi="ˎ̥"/>
          <w:color w:val="000000"/>
        </w:rPr>
        <w:t>　　名词解释</w:t>
      </w:r>
    </w:p>
    <w:p>
      <w:pPr>
        <w:pStyle w:val="4"/>
        <w:spacing w:line="360" w:lineRule="auto"/>
        <w:rPr>
          <w:rFonts w:ascii="ˎ̥" w:hAnsi="ˎ̥"/>
          <w:color w:val="000000"/>
        </w:rPr>
      </w:pPr>
      <w:r>
        <w:rPr>
          <w:rFonts w:ascii="ˎ̥" w:hAnsi="ˎ̥"/>
          <w:color w:val="000000"/>
        </w:rPr>
        <w:t>　　一、财政拨款收入：是指省级财政当年拨付的资金。</w:t>
      </w:r>
    </w:p>
    <w:p>
      <w:pPr>
        <w:pStyle w:val="4"/>
        <w:spacing w:line="360" w:lineRule="auto"/>
        <w:rPr>
          <w:rFonts w:ascii="ˎ̥" w:hAnsi="ˎ̥"/>
          <w:color w:val="000000"/>
        </w:rPr>
      </w:pPr>
      <w:r>
        <w:rPr>
          <w:rFonts w:ascii="ˎ̥" w:hAnsi="ˎ̥"/>
          <w:color w:val="000000"/>
        </w:rPr>
        <w:t>　　二、事业收入：是指事业单位开展专业活动及辅助活动所取得的收入。</w:t>
      </w:r>
    </w:p>
    <w:p>
      <w:pPr>
        <w:pStyle w:val="4"/>
        <w:spacing w:line="360" w:lineRule="auto"/>
        <w:rPr>
          <w:rFonts w:ascii="ˎ̥" w:hAnsi="ˎ̥"/>
          <w:color w:val="000000"/>
        </w:rPr>
      </w:pPr>
      <w:r>
        <w:rPr>
          <w:rFonts w:ascii="ˎ̥" w:hAnsi="ˎ̥"/>
          <w:color w:val="000000"/>
        </w:rPr>
        <w:t>　　三、其他收入：是指取得的除“财政拨款”、“事业收入”、“事业单位经营收入”等以外的收入。</w:t>
      </w:r>
    </w:p>
    <w:p>
      <w:pPr>
        <w:pStyle w:val="4"/>
        <w:spacing w:line="360" w:lineRule="auto"/>
        <w:rPr>
          <w:rFonts w:ascii="ˎ̥" w:hAnsi="ˎ̥"/>
          <w:color w:val="000000"/>
        </w:rPr>
      </w:pPr>
      <w:r>
        <w:rPr>
          <w:rFonts w:ascii="ˎ̥" w:hAnsi="ˎ̥"/>
          <w:color w:val="000000"/>
        </w:rPr>
        <w:t>　　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pStyle w:val="4"/>
        <w:spacing w:line="360" w:lineRule="auto"/>
        <w:rPr>
          <w:rFonts w:ascii="ˎ̥" w:hAnsi="ˎ̥"/>
          <w:color w:val="000000"/>
        </w:rPr>
      </w:pPr>
      <w:r>
        <w:rPr>
          <w:rFonts w:ascii="ˎ̥" w:hAnsi="ˎ̥"/>
          <w:color w:val="000000"/>
        </w:rPr>
        <w:t>　　五、基本支出：是指为保障机构正常运转、完成日常工作任务所必需的开支，其内容包括人员经费和日常公用经费两部分。</w:t>
      </w:r>
    </w:p>
    <w:p>
      <w:pPr>
        <w:pStyle w:val="4"/>
        <w:spacing w:line="360" w:lineRule="auto"/>
        <w:rPr>
          <w:rFonts w:ascii="ˎ̥" w:hAnsi="ˎ̥"/>
          <w:color w:val="000000"/>
        </w:rPr>
      </w:pPr>
      <w:r>
        <w:rPr>
          <w:rFonts w:ascii="ˎ̥" w:hAnsi="ˎ̥"/>
          <w:color w:val="000000"/>
        </w:rPr>
        <w:t>　　六、项目支出：是指在基本支出之外，为完成特定的行政工作任务或事业发展目标所发生的支出。</w:t>
      </w:r>
    </w:p>
    <w:p>
      <w:pPr>
        <w:pStyle w:val="4"/>
        <w:spacing w:line="360" w:lineRule="auto"/>
        <w:rPr>
          <w:rFonts w:ascii="ˎ̥" w:hAnsi="ˎ̥"/>
          <w:color w:val="000000"/>
        </w:rPr>
      </w:pPr>
      <w:r>
        <w:rPr>
          <w:rFonts w:ascii="ˎ̥" w:hAnsi="ˎ̥"/>
          <w:color w:val="000000"/>
        </w:rPr>
        <w:t>　　七、“三公”经费：是指纳入省级财政预算管理，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pStyle w:val="4"/>
        <w:spacing w:line="360" w:lineRule="auto"/>
      </w:pPr>
      <w:r>
        <w:rPr>
          <w:rFonts w:ascii="ˎ̥" w:hAnsi="ˎ̥"/>
          <w:color w:val="000000"/>
        </w:rPr>
        <w:t>　　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r>
        <w:rPr>
          <w:rFonts w:hint="eastAsi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1Y2E1OWE5ZDExNWM1ZGI4NWI5NjA3NzhkOGM4YzAifQ=="/>
  </w:docVars>
  <w:rsids>
    <w:rsidRoot w:val="00945899"/>
    <w:rsid w:val="00051F32"/>
    <w:rsid w:val="000B6281"/>
    <w:rsid w:val="001F7909"/>
    <w:rsid w:val="002D02DC"/>
    <w:rsid w:val="0032187C"/>
    <w:rsid w:val="00337857"/>
    <w:rsid w:val="003A73F3"/>
    <w:rsid w:val="003E109B"/>
    <w:rsid w:val="004631A9"/>
    <w:rsid w:val="005413BE"/>
    <w:rsid w:val="00711C11"/>
    <w:rsid w:val="00744043"/>
    <w:rsid w:val="00823354"/>
    <w:rsid w:val="00945899"/>
    <w:rsid w:val="009D5A15"/>
    <w:rsid w:val="00A75AE4"/>
    <w:rsid w:val="00A80F62"/>
    <w:rsid w:val="00B93D44"/>
    <w:rsid w:val="00F048CF"/>
    <w:rsid w:val="01A13790"/>
    <w:rsid w:val="025133D7"/>
    <w:rsid w:val="0258448F"/>
    <w:rsid w:val="035E1DFB"/>
    <w:rsid w:val="050B4187"/>
    <w:rsid w:val="05CE5508"/>
    <w:rsid w:val="0737057B"/>
    <w:rsid w:val="07513D63"/>
    <w:rsid w:val="0A317FB9"/>
    <w:rsid w:val="0D0037E9"/>
    <w:rsid w:val="0EE12913"/>
    <w:rsid w:val="0F2E3D3A"/>
    <w:rsid w:val="0FEC6AC8"/>
    <w:rsid w:val="108D4996"/>
    <w:rsid w:val="10C61F43"/>
    <w:rsid w:val="10C8521F"/>
    <w:rsid w:val="128F3ACC"/>
    <w:rsid w:val="12A85F6A"/>
    <w:rsid w:val="165C52A9"/>
    <w:rsid w:val="16FB37E7"/>
    <w:rsid w:val="173B453B"/>
    <w:rsid w:val="184A3267"/>
    <w:rsid w:val="19B274FA"/>
    <w:rsid w:val="1AB81BDC"/>
    <w:rsid w:val="1B9C55BE"/>
    <w:rsid w:val="1E2F78C3"/>
    <w:rsid w:val="22567C86"/>
    <w:rsid w:val="23D25162"/>
    <w:rsid w:val="24523BCF"/>
    <w:rsid w:val="269D2CA7"/>
    <w:rsid w:val="29C97B9D"/>
    <w:rsid w:val="2A703949"/>
    <w:rsid w:val="2ABF38FB"/>
    <w:rsid w:val="306D0586"/>
    <w:rsid w:val="3127674E"/>
    <w:rsid w:val="31E33B43"/>
    <w:rsid w:val="31ED235C"/>
    <w:rsid w:val="33EB7F6D"/>
    <w:rsid w:val="3503005D"/>
    <w:rsid w:val="35B670AD"/>
    <w:rsid w:val="37B441AF"/>
    <w:rsid w:val="39D51CFD"/>
    <w:rsid w:val="3A8F5787"/>
    <w:rsid w:val="3ABB2320"/>
    <w:rsid w:val="3BC23394"/>
    <w:rsid w:val="3DFB2AC6"/>
    <w:rsid w:val="3E757C03"/>
    <w:rsid w:val="3ECC6BF7"/>
    <w:rsid w:val="3EE46D38"/>
    <w:rsid w:val="3EE94590"/>
    <w:rsid w:val="3F160557"/>
    <w:rsid w:val="4143685C"/>
    <w:rsid w:val="42BB4203"/>
    <w:rsid w:val="437132A3"/>
    <w:rsid w:val="43DF36CA"/>
    <w:rsid w:val="440841D1"/>
    <w:rsid w:val="44324E3C"/>
    <w:rsid w:val="44C920FF"/>
    <w:rsid w:val="459C0ECC"/>
    <w:rsid w:val="46D5315B"/>
    <w:rsid w:val="479A5033"/>
    <w:rsid w:val="487D473C"/>
    <w:rsid w:val="49DC3D44"/>
    <w:rsid w:val="4A3407FA"/>
    <w:rsid w:val="4C7D45AA"/>
    <w:rsid w:val="4DF1551B"/>
    <w:rsid w:val="4EAE3EF6"/>
    <w:rsid w:val="50443B07"/>
    <w:rsid w:val="5073685E"/>
    <w:rsid w:val="50A74027"/>
    <w:rsid w:val="51085975"/>
    <w:rsid w:val="512E0BFC"/>
    <w:rsid w:val="51F416D1"/>
    <w:rsid w:val="52714092"/>
    <w:rsid w:val="544A101A"/>
    <w:rsid w:val="546931C9"/>
    <w:rsid w:val="56224FD3"/>
    <w:rsid w:val="566148B7"/>
    <w:rsid w:val="59123014"/>
    <w:rsid w:val="5E17700D"/>
    <w:rsid w:val="5F5B71C4"/>
    <w:rsid w:val="5FD64711"/>
    <w:rsid w:val="61E84C4F"/>
    <w:rsid w:val="62197DD5"/>
    <w:rsid w:val="624D288F"/>
    <w:rsid w:val="62CC0855"/>
    <w:rsid w:val="64976322"/>
    <w:rsid w:val="655F0AB3"/>
    <w:rsid w:val="66E83743"/>
    <w:rsid w:val="67CF3E60"/>
    <w:rsid w:val="6AE52C10"/>
    <w:rsid w:val="6CB14EEB"/>
    <w:rsid w:val="6EA67601"/>
    <w:rsid w:val="6F7529E4"/>
    <w:rsid w:val="70C3745A"/>
    <w:rsid w:val="70CD1CC5"/>
    <w:rsid w:val="73262E47"/>
    <w:rsid w:val="736C3AB2"/>
    <w:rsid w:val="75A02EEF"/>
    <w:rsid w:val="75C17558"/>
    <w:rsid w:val="75F05ADA"/>
    <w:rsid w:val="7609747A"/>
    <w:rsid w:val="76F079B5"/>
    <w:rsid w:val="77DF0F29"/>
    <w:rsid w:val="7A0A28E2"/>
    <w:rsid w:val="7A8815F5"/>
    <w:rsid w:val="7B7510F7"/>
    <w:rsid w:val="7C8C3A1A"/>
    <w:rsid w:val="7DFD5793"/>
    <w:rsid w:val="7E1C53CE"/>
    <w:rsid w:val="7E543A1A"/>
    <w:rsid w:val="7F131079"/>
    <w:rsid w:val="7F8002D1"/>
    <w:rsid w:val="7FB44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qFormat/>
    <w:uiPriority w:val="99"/>
    <w:rPr>
      <w:rFonts w:asciiTheme="minorHAnsi" w:hAnsiTheme="minorHAnsi" w:eastAsiaTheme="minorEastAsia" w:cstheme="minorBidi"/>
      <w:kern w:val="2"/>
      <w:sz w:val="18"/>
      <w:szCs w:val="18"/>
    </w:rPr>
  </w:style>
  <w:style w:type="character" w:customStyle="1" w:styleId="9">
    <w:name w:val="页脚 Char"/>
    <w:basedOn w:val="6"/>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9</Pages>
  <Words>3141</Words>
  <Characters>3322</Characters>
  <Lines>22</Lines>
  <Paragraphs>6</Paragraphs>
  <TotalTime>13</TotalTime>
  <ScaleCrop>false</ScaleCrop>
  <LinksUpToDate>false</LinksUpToDate>
  <CharactersWithSpaces>3424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2018-05-03T09:55:00Z</dcterms:created>
  <dc:creator>larry</dc:creator>
  <cp:lastModifiedBy>付小倩</cp:lastModifiedBy>
  <dcterms:modified xsi:type="dcterms:W3CDTF">2023-04-28T10:05:52Z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6CEB40FA471E4B838CB02735A40BC8F5_13</vt:lpwstr>
  </property>
</Properties>
</file>