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364"/>
        </w:tabs>
        <w:kinsoku w:val="0"/>
        <w:overflowPunct w:val="0"/>
        <w:adjustRightInd w:val="0"/>
        <w:snapToGrid w:val="0"/>
        <w:spacing w:line="360" w:lineRule="auto"/>
        <w:ind w:left="101" w:right="42" w:firstLine="1040" w:firstLineChars="200"/>
        <w:jc w:val="center"/>
        <w:rPr>
          <w:rFonts w:hint="eastAsia" w:ascii="黑体" w:hAnsi="黑体" w:eastAsia="黑体"/>
          <w:sz w:val="52"/>
          <w:szCs w:val="52"/>
        </w:rPr>
      </w:pPr>
    </w:p>
    <w:p>
      <w:pPr>
        <w:tabs>
          <w:tab w:val="left" w:pos="8364"/>
        </w:tabs>
        <w:kinsoku w:val="0"/>
        <w:overflowPunct w:val="0"/>
        <w:adjustRightInd w:val="0"/>
        <w:snapToGrid w:val="0"/>
        <w:spacing w:line="360" w:lineRule="auto"/>
        <w:ind w:left="101" w:right="42" w:firstLine="1040" w:firstLineChars="200"/>
        <w:jc w:val="center"/>
        <w:rPr>
          <w:rFonts w:hint="eastAsia" w:ascii="黑体" w:hAnsi="黑体" w:eastAsia="黑体"/>
          <w:sz w:val="52"/>
          <w:szCs w:val="52"/>
        </w:rPr>
      </w:pPr>
    </w:p>
    <w:p>
      <w:pPr>
        <w:tabs>
          <w:tab w:val="left" w:pos="8364"/>
        </w:tabs>
        <w:kinsoku w:val="0"/>
        <w:overflowPunct w:val="0"/>
        <w:adjustRightInd w:val="0"/>
        <w:snapToGrid w:val="0"/>
        <w:spacing w:line="360" w:lineRule="auto"/>
        <w:ind w:left="101" w:right="42" w:firstLine="1040" w:firstLineChars="200"/>
        <w:jc w:val="center"/>
        <w:rPr>
          <w:rFonts w:hint="eastAsia" w:ascii="黑体" w:hAnsi="黑体" w:eastAsia="黑体"/>
          <w:sz w:val="52"/>
          <w:szCs w:val="52"/>
        </w:rPr>
      </w:pPr>
    </w:p>
    <w:p>
      <w:pPr>
        <w:tabs>
          <w:tab w:val="left" w:pos="8364"/>
        </w:tabs>
        <w:kinsoku w:val="0"/>
        <w:overflowPunct w:val="0"/>
        <w:adjustRightInd w:val="0"/>
        <w:snapToGrid w:val="0"/>
        <w:spacing w:line="360" w:lineRule="auto"/>
        <w:ind w:left="101" w:right="42" w:firstLine="1040" w:firstLineChars="200"/>
        <w:jc w:val="center"/>
        <w:rPr>
          <w:rFonts w:ascii="黑体" w:hAnsi="黑体" w:eastAsia="黑体"/>
          <w:sz w:val="52"/>
          <w:szCs w:val="52"/>
        </w:rPr>
      </w:pPr>
    </w:p>
    <w:p>
      <w:pPr>
        <w:tabs>
          <w:tab w:val="left" w:pos="8364"/>
        </w:tabs>
        <w:kinsoku w:val="0"/>
        <w:overflowPunct w:val="0"/>
        <w:adjustRightInd w:val="0"/>
        <w:snapToGrid w:val="0"/>
        <w:spacing w:line="560" w:lineRule="exact"/>
        <w:ind w:left="101" w:right="42" w:firstLine="1040" w:firstLineChars="200"/>
        <w:jc w:val="center"/>
        <w:rPr>
          <w:rFonts w:ascii="黑体" w:hAnsi="黑体" w:eastAsia="黑体"/>
          <w:sz w:val="52"/>
          <w:szCs w:val="52"/>
        </w:rPr>
      </w:pPr>
    </w:p>
    <w:p>
      <w:pPr>
        <w:tabs>
          <w:tab w:val="left" w:pos="8364"/>
        </w:tabs>
        <w:kinsoku w:val="0"/>
        <w:overflowPunct w:val="0"/>
        <w:adjustRightInd w:val="0"/>
        <w:snapToGrid w:val="0"/>
        <w:spacing w:line="560" w:lineRule="exact"/>
        <w:ind w:left="101" w:right="42" w:firstLine="1040" w:firstLineChars="200"/>
        <w:jc w:val="center"/>
        <w:rPr>
          <w:rFonts w:ascii="黑体" w:hAnsi="黑体" w:eastAsia="黑体"/>
          <w:sz w:val="52"/>
          <w:szCs w:val="52"/>
        </w:rPr>
      </w:pPr>
      <w:r>
        <w:rPr>
          <w:rFonts w:hint="eastAsia" w:ascii="黑体" w:hAnsi="黑体" w:eastAsia="黑体"/>
          <w:sz w:val="52"/>
          <w:szCs w:val="52"/>
        </w:rPr>
        <w:t>平桥区应急管理局</w:t>
      </w:r>
    </w:p>
    <w:p>
      <w:pPr>
        <w:tabs>
          <w:tab w:val="left" w:pos="8364"/>
        </w:tabs>
        <w:kinsoku w:val="0"/>
        <w:overflowPunct w:val="0"/>
        <w:adjustRightInd w:val="0"/>
        <w:snapToGrid w:val="0"/>
        <w:spacing w:line="560" w:lineRule="exact"/>
        <w:ind w:left="101" w:right="42" w:firstLine="1040" w:firstLineChars="200"/>
        <w:jc w:val="center"/>
        <w:rPr>
          <w:rFonts w:ascii="仿宋_GB2312" w:hAnsi="Times New Roman" w:eastAsia="仿宋_GB2312"/>
          <w:sz w:val="52"/>
          <w:szCs w:val="52"/>
        </w:rPr>
      </w:pPr>
      <w:r>
        <w:rPr>
          <w:rFonts w:ascii="黑体" w:hAnsi="Times New Roman" w:eastAsia="黑体" w:cs="黑体"/>
          <w:sz w:val="52"/>
          <w:szCs w:val="52"/>
        </w:rPr>
        <w:t>202</w:t>
      </w:r>
      <w:r>
        <w:rPr>
          <w:rFonts w:hint="eastAsia" w:ascii="黑体" w:hAnsi="Times New Roman" w:eastAsia="黑体" w:cs="黑体"/>
          <w:sz w:val="52"/>
          <w:szCs w:val="52"/>
        </w:rPr>
        <w:t xml:space="preserve">2年度部门预算说明 </w:t>
      </w:r>
    </w:p>
    <w:p>
      <w:pPr>
        <w:kinsoku w:val="0"/>
        <w:overflowPunct w:val="0"/>
        <w:adjustRightInd w:val="0"/>
        <w:snapToGrid w:val="0"/>
        <w:spacing w:line="560" w:lineRule="exact"/>
        <w:ind w:left="-142" w:right="51" w:firstLine="39" w:firstLineChars="7"/>
        <w:jc w:val="center"/>
        <w:rPr>
          <w:rFonts w:ascii="黑体" w:hAnsi="Times New Roman" w:eastAsia="黑体" w:cs="黑体"/>
          <w:sz w:val="56"/>
          <w:szCs w:val="56"/>
        </w:rPr>
      </w:pPr>
    </w:p>
    <w:p>
      <w:pPr>
        <w:kinsoku w:val="0"/>
        <w:overflowPunct w:val="0"/>
        <w:adjustRightInd w:val="0"/>
        <w:snapToGrid w:val="0"/>
        <w:spacing w:line="560" w:lineRule="exact"/>
        <w:ind w:left="-142" w:right="51" w:firstLine="39" w:firstLineChars="7"/>
        <w:jc w:val="center"/>
        <w:rPr>
          <w:rFonts w:ascii="黑体" w:hAnsi="Times New Roman" w:eastAsia="黑体" w:cs="黑体"/>
          <w:sz w:val="56"/>
          <w:szCs w:val="56"/>
        </w:rPr>
      </w:pPr>
    </w:p>
    <w:p>
      <w:pPr>
        <w:kinsoku w:val="0"/>
        <w:overflowPunct w:val="0"/>
        <w:adjustRightInd w:val="0"/>
        <w:snapToGrid w:val="0"/>
        <w:spacing w:line="560" w:lineRule="exact"/>
        <w:ind w:left="-142" w:right="51" w:firstLine="39" w:firstLineChars="7"/>
        <w:jc w:val="center"/>
        <w:rPr>
          <w:rFonts w:ascii="黑体" w:hAnsi="Times New Roman" w:eastAsia="黑体" w:cs="黑体"/>
          <w:sz w:val="56"/>
          <w:szCs w:val="56"/>
        </w:rPr>
      </w:pPr>
    </w:p>
    <w:p>
      <w:pPr>
        <w:kinsoku w:val="0"/>
        <w:overflowPunct w:val="0"/>
        <w:adjustRightInd w:val="0"/>
        <w:snapToGrid w:val="0"/>
        <w:spacing w:line="560" w:lineRule="exact"/>
        <w:ind w:left="-142" w:right="51" w:firstLine="39" w:firstLineChars="7"/>
        <w:jc w:val="center"/>
        <w:rPr>
          <w:rFonts w:ascii="黑体" w:hAnsi="Times New Roman" w:eastAsia="黑体" w:cs="黑体"/>
          <w:sz w:val="56"/>
          <w:szCs w:val="56"/>
        </w:rPr>
      </w:pPr>
    </w:p>
    <w:p>
      <w:pPr>
        <w:kinsoku w:val="0"/>
        <w:overflowPunct w:val="0"/>
        <w:adjustRightInd w:val="0"/>
        <w:snapToGrid w:val="0"/>
        <w:spacing w:line="560" w:lineRule="exact"/>
        <w:ind w:left="-142" w:right="51" w:firstLine="39" w:firstLineChars="7"/>
        <w:jc w:val="center"/>
        <w:rPr>
          <w:rFonts w:ascii="黑体" w:hAnsi="Times New Roman" w:eastAsia="黑体" w:cs="黑体"/>
          <w:sz w:val="56"/>
          <w:szCs w:val="56"/>
        </w:rPr>
      </w:pPr>
    </w:p>
    <w:p>
      <w:pPr>
        <w:kinsoku w:val="0"/>
        <w:overflowPunct w:val="0"/>
        <w:adjustRightInd w:val="0"/>
        <w:snapToGrid w:val="0"/>
        <w:spacing w:line="560" w:lineRule="exact"/>
        <w:ind w:left="-142" w:right="51" w:firstLine="39" w:firstLineChars="7"/>
        <w:jc w:val="center"/>
        <w:rPr>
          <w:rFonts w:ascii="黑体" w:hAnsi="Times New Roman" w:eastAsia="黑体" w:cs="黑体"/>
          <w:sz w:val="56"/>
          <w:szCs w:val="56"/>
        </w:rPr>
      </w:pPr>
    </w:p>
    <w:p>
      <w:pPr>
        <w:kinsoku w:val="0"/>
        <w:overflowPunct w:val="0"/>
        <w:adjustRightInd w:val="0"/>
        <w:snapToGrid w:val="0"/>
        <w:spacing w:line="560" w:lineRule="exact"/>
        <w:ind w:left="-142" w:right="51" w:firstLine="39" w:firstLineChars="7"/>
        <w:jc w:val="center"/>
        <w:rPr>
          <w:rFonts w:ascii="黑体" w:hAnsi="Times New Roman" w:eastAsia="黑体" w:cs="黑体"/>
          <w:sz w:val="56"/>
          <w:szCs w:val="56"/>
        </w:rPr>
      </w:pPr>
    </w:p>
    <w:p>
      <w:pPr>
        <w:kinsoku w:val="0"/>
        <w:overflowPunct w:val="0"/>
        <w:adjustRightInd w:val="0"/>
        <w:snapToGrid w:val="0"/>
        <w:spacing w:line="560" w:lineRule="exact"/>
        <w:ind w:left="-142" w:right="51" w:firstLine="39" w:firstLineChars="7"/>
        <w:jc w:val="center"/>
        <w:rPr>
          <w:rFonts w:ascii="黑体" w:hAnsi="Times New Roman" w:eastAsia="黑体" w:cs="黑体"/>
          <w:sz w:val="56"/>
          <w:szCs w:val="56"/>
        </w:rPr>
      </w:pPr>
    </w:p>
    <w:p>
      <w:pPr>
        <w:kinsoku w:val="0"/>
        <w:overflowPunct w:val="0"/>
        <w:adjustRightInd w:val="0"/>
        <w:snapToGrid w:val="0"/>
        <w:spacing w:line="560" w:lineRule="exact"/>
        <w:ind w:right="51" w:firstLine="3360" w:firstLineChars="600"/>
        <w:rPr>
          <w:rFonts w:ascii="黑体" w:hAnsi="Times New Roman" w:eastAsia="黑体" w:cs="黑体"/>
          <w:sz w:val="56"/>
          <w:szCs w:val="56"/>
        </w:rPr>
      </w:pPr>
    </w:p>
    <w:p>
      <w:pPr>
        <w:kinsoku w:val="0"/>
        <w:overflowPunct w:val="0"/>
        <w:adjustRightInd w:val="0"/>
        <w:snapToGrid w:val="0"/>
        <w:spacing w:line="560" w:lineRule="exact"/>
        <w:ind w:right="51" w:firstLine="3360" w:firstLineChars="600"/>
        <w:rPr>
          <w:rFonts w:ascii="黑体" w:hAnsi="Times New Roman" w:eastAsia="黑体" w:cs="黑体"/>
          <w:sz w:val="56"/>
          <w:szCs w:val="56"/>
        </w:rPr>
      </w:pPr>
    </w:p>
    <w:p>
      <w:pPr>
        <w:kinsoku w:val="0"/>
        <w:overflowPunct w:val="0"/>
        <w:adjustRightInd w:val="0"/>
        <w:snapToGrid w:val="0"/>
        <w:spacing w:line="560" w:lineRule="exact"/>
        <w:ind w:right="51" w:firstLine="3360" w:firstLineChars="600"/>
        <w:rPr>
          <w:rFonts w:ascii="黑体" w:hAnsi="Times New Roman" w:eastAsia="黑体" w:cs="黑体"/>
          <w:sz w:val="56"/>
          <w:szCs w:val="56"/>
        </w:rPr>
      </w:pPr>
    </w:p>
    <w:p>
      <w:pPr>
        <w:kinsoku w:val="0"/>
        <w:overflowPunct w:val="0"/>
        <w:adjustRightInd w:val="0"/>
        <w:snapToGrid w:val="0"/>
        <w:spacing w:line="560" w:lineRule="exact"/>
        <w:ind w:right="51" w:firstLine="3360" w:firstLineChars="600"/>
        <w:rPr>
          <w:rFonts w:ascii="黑体" w:hAnsi="Times New Roman" w:eastAsia="黑体" w:cs="黑体"/>
          <w:sz w:val="56"/>
          <w:szCs w:val="56"/>
        </w:rPr>
      </w:pPr>
    </w:p>
    <w:p>
      <w:pPr>
        <w:kinsoku w:val="0"/>
        <w:overflowPunct w:val="0"/>
        <w:adjustRightInd w:val="0"/>
        <w:snapToGrid w:val="0"/>
        <w:spacing w:line="560" w:lineRule="exact"/>
        <w:ind w:right="51" w:firstLine="3360" w:firstLineChars="600"/>
        <w:rPr>
          <w:rFonts w:ascii="黑体" w:hAnsi="Times New Roman" w:eastAsia="黑体" w:cs="黑体"/>
          <w:sz w:val="56"/>
          <w:szCs w:val="56"/>
        </w:rPr>
      </w:pPr>
    </w:p>
    <w:p>
      <w:pPr>
        <w:kinsoku w:val="0"/>
        <w:overflowPunct w:val="0"/>
        <w:adjustRightInd w:val="0"/>
        <w:snapToGrid w:val="0"/>
        <w:spacing w:line="560" w:lineRule="exact"/>
        <w:ind w:right="51" w:firstLine="3360" w:firstLineChars="600"/>
        <w:rPr>
          <w:rFonts w:ascii="黑体" w:hAnsi="Times New Roman" w:eastAsia="黑体" w:cs="黑体"/>
          <w:sz w:val="56"/>
          <w:szCs w:val="56"/>
        </w:rPr>
      </w:pPr>
    </w:p>
    <w:p>
      <w:pPr>
        <w:kinsoku w:val="0"/>
        <w:overflowPunct w:val="0"/>
        <w:adjustRightInd w:val="0"/>
        <w:snapToGrid w:val="0"/>
        <w:spacing w:line="560" w:lineRule="exact"/>
        <w:ind w:right="51"/>
        <w:jc w:val="center"/>
        <w:rPr>
          <w:rFonts w:hint="eastAsia" w:ascii="黑体" w:hAnsi="Times New Roman" w:eastAsia="黑体" w:cs="黑体"/>
          <w:sz w:val="56"/>
          <w:szCs w:val="56"/>
          <w:lang w:val="en-US" w:eastAsia="zh-CN"/>
        </w:rPr>
      </w:pPr>
      <w:r>
        <w:rPr>
          <w:rFonts w:hint="eastAsia" w:ascii="黑体" w:hAnsi="Times New Roman" w:eastAsia="黑体" w:cs="黑体"/>
          <w:sz w:val="56"/>
          <w:szCs w:val="56"/>
          <w:lang w:val="en-US" w:eastAsia="zh-CN"/>
        </w:rPr>
        <w:t>目录</w:t>
      </w:r>
    </w:p>
    <w:p>
      <w:pPr>
        <w:kinsoku w:val="0"/>
        <w:overflowPunct w:val="0"/>
        <w:adjustRightInd w:val="0"/>
        <w:snapToGrid w:val="0"/>
        <w:spacing w:line="560" w:lineRule="exact"/>
        <w:ind w:right="51" w:firstLine="3360" w:firstLineChars="600"/>
        <w:rPr>
          <w:rFonts w:ascii="黑体" w:hAnsi="Times New Roman" w:eastAsia="黑体" w:cs="黑体"/>
          <w:sz w:val="56"/>
          <w:szCs w:val="56"/>
        </w:rPr>
      </w:pPr>
    </w:p>
    <w:p>
      <w:pPr>
        <w:kinsoku w:val="0"/>
        <w:overflowPunct w:val="0"/>
        <w:adjustRightInd w:val="0"/>
        <w:snapToGrid w:val="0"/>
        <w:spacing w:line="560" w:lineRule="exact"/>
        <w:ind w:right="3569"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hint="eastAsia" w:ascii="黑体" w:hAnsi="黑体" w:eastAsia="黑体"/>
          <w:sz w:val="32"/>
          <w:szCs w:val="32"/>
        </w:rPr>
        <w:t>平桥区应急管理局</w:t>
      </w:r>
      <w:r>
        <w:rPr>
          <w:rFonts w:hint="eastAsia" w:ascii="黑体" w:hAnsi="Times New Roman" w:eastAsia="黑体" w:cs="黑体"/>
          <w:sz w:val="32"/>
          <w:szCs w:val="32"/>
        </w:rPr>
        <w:t>概况</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一、主要职能</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二、机构设置</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lang w:val="en-US" w:eastAsia="zh-CN"/>
        </w:rPr>
        <w:t>三</w:t>
      </w:r>
      <w:r>
        <w:rPr>
          <w:rFonts w:hint="eastAsia" w:ascii="仿宋" w:hAnsi="仿宋" w:eastAsia="仿宋" w:cs="Arial"/>
          <w:color w:val="313131"/>
          <w:kern w:val="0"/>
          <w:sz w:val="32"/>
          <w:szCs w:val="32"/>
        </w:rPr>
        <w:t>、部门预算单位构成</w:t>
      </w:r>
    </w:p>
    <w:p>
      <w:pPr>
        <w:kinsoku w:val="0"/>
        <w:overflowPunct w:val="0"/>
        <w:adjustRightInd w:val="0"/>
        <w:snapToGrid w:val="0"/>
        <w:spacing w:line="560" w:lineRule="exact"/>
        <w:ind w:right="521" w:firstLine="640" w:firstLineChars="200"/>
        <w:rPr>
          <w:rFonts w:ascii="黑体" w:hAnsi="Times New Roman" w:eastAsia="黑体" w:cs="黑体"/>
          <w:w w:val="99"/>
          <w:sz w:val="32"/>
          <w:szCs w:val="32"/>
        </w:rPr>
      </w:pPr>
      <w:r>
        <w:rPr>
          <w:rFonts w:hint="eastAsia" w:ascii="黑体" w:hAnsi="Times New Roman" w:eastAsia="黑体" w:cs="黑体"/>
          <w:sz w:val="32"/>
          <w:szCs w:val="32"/>
        </w:rPr>
        <w:t xml:space="preserve">第二部分 </w:t>
      </w:r>
      <w:r>
        <w:rPr>
          <w:rFonts w:hint="eastAsia" w:ascii="黑体" w:hAnsi="黑体" w:eastAsia="黑体"/>
          <w:sz w:val="32"/>
          <w:szCs w:val="32"/>
        </w:rPr>
        <w:t>平桥区应急管理局局</w:t>
      </w:r>
      <w:r>
        <w:rPr>
          <w:rFonts w:ascii="黑体" w:hAnsi="Times New Roman" w:eastAsia="黑体" w:cs="黑体"/>
          <w:sz w:val="32"/>
          <w:szCs w:val="32"/>
        </w:rPr>
        <w:t>202</w:t>
      </w:r>
      <w:r>
        <w:rPr>
          <w:rFonts w:hint="eastAsia" w:ascii="黑体" w:hAnsi="Times New Roman" w:eastAsia="黑体" w:cs="黑体"/>
          <w:sz w:val="32"/>
          <w:szCs w:val="32"/>
        </w:rPr>
        <w:t>2年度部门预算情况说明</w:t>
      </w:r>
    </w:p>
    <w:p>
      <w:pPr>
        <w:kinsoku w:val="0"/>
        <w:overflowPunct w:val="0"/>
        <w:adjustRightInd w:val="0"/>
        <w:snapToGrid w:val="0"/>
        <w:spacing w:line="560" w:lineRule="exact"/>
        <w:ind w:right="521" w:firstLine="640" w:firstLineChars="200"/>
        <w:rPr>
          <w:rFonts w:ascii="黑体" w:hAnsi="Times New Roman" w:eastAsia="黑体" w:cs="黑体"/>
          <w:sz w:val="32"/>
          <w:szCs w:val="32"/>
        </w:rPr>
      </w:pPr>
      <w:r>
        <w:rPr>
          <w:rFonts w:hint="eastAsia" w:ascii="黑体" w:hAnsi="Times New Roman" w:eastAsia="黑体" w:cs="黑体"/>
          <w:sz w:val="32"/>
          <w:szCs w:val="32"/>
        </w:rPr>
        <w:t>第三部分名词解释</w:t>
      </w:r>
    </w:p>
    <w:p>
      <w:pPr>
        <w:kinsoku w:val="0"/>
        <w:overflowPunct w:val="0"/>
        <w:adjustRightInd w:val="0"/>
        <w:snapToGrid w:val="0"/>
        <w:spacing w:line="560" w:lineRule="exact"/>
        <w:ind w:firstLine="640" w:firstLineChars="200"/>
        <w:rPr>
          <w:rFonts w:ascii="黑体" w:hAnsi="Times New Roman" w:eastAsia="黑体" w:cs="黑体"/>
          <w:sz w:val="32"/>
          <w:szCs w:val="32"/>
        </w:rPr>
      </w:pPr>
    </w:p>
    <w:p>
      <w:pPr>
        <w:kinsoku w:val="0"/>
        <w:overflowPunct w:val="0"/>
        <w:adjustRightInd w:val="0"/>
        <w:snapToGrid w:val="0"/>
        <w:spacing w:line="560" w:lineRule="exact"/>
        <w:ind w:firstLine="640" w:firstLineChars="200"/>
        <w:rPr>
          <w:rFonts w:ascii="黑体" w:hAnsi="Times New Roman" w:eastAsia="黑体" w:cs="黑体"/>
          <w:sz w:val="32"/>
          <w:szCs w:val="32"/>
        </w:rPr>
      </w:pPr>
      <w:r>
        <w:rPr>
          <w:rFonts w:hint="eastAsia" w:ascii="黑体" w:hAnsi="Times New Roman" w:eastAsia="黑体" w:cs="黑体"/>
          <w:sz w:val="32"/>
          <w:szCs w:val="32"/>
        </w:rPr>
        <w:t>附件：</w:t>
      </w:r>
      <w:r>
        <w:rPr>
          <w:rFonts w:hint="eastAsia" w:ascii="黑体" w:hAnsi="黑体" w:eastAsia="黑体"/>
          <w:sz w:val="32"/>
          <w:szCs w:val="32"/>
        </w:rPr>
        <w:t>平桥区应急管理局局</w:t>
      </w:r>
      <w:r>
        <w:rPr>
          <w:rFonts w:hint="eastAsia" w:ascii="黑体" w:hAnsi="Times New Roman" w:eastAsia="黑体" w:cs="黑体"/>
          <w:sz w:val="32"/>
          <w:szCs w:val="32"/>
        </w:rPr>
        <w:t>2022年度部门预算表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一、部门收支总体情况表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二、部门收入总体情况表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三、部门支出总体情况表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、财政拨款收支总体情况表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、一般公共预算支出情况表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六</w:t>
      </w:r>
      <w:r>
        <w:rPr>
          <w:rFonts w:ascii="仿宋" w:hAnsi="仿宋" w:eastAsia="仿宋" w:cs="宋体"/>
          <w:kern w:val="0"/>
          <w:sz w:val="32"/>
          <w:szCs w:val="32"/>
        </w:rPr>
        <w:t>、</w:t>
      </w:r>
      <w:r>
        <w:rPr>
          <w:rFonts w:hint="eastAsia" w:ascii="仿宋" w:hAnsi="仿宋" w:eastAsia="仿宋" w:cs="宋体"/>
          <w:kern w:val="0"/>
          <w:sz w:val="32"/>
          <w:szCs w:val="32"/>
        </w:rPr>
        <w:t>一般公共预算基本支出情况表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七</w:t>
      </w:r>
      <w:r>
        <w:rPr>
          <w:rFonts w:hint="eastAsia" w:ascii="仿宋" w:hAnsi="仿宋" w:eastAsia="仿宋" w:cs="宋体"/>
          <w:kern w:val="0"/>
          <w:sz w:val="32"/>
          <w:szCs w:val="32"/>
        </w:rPr>
        <w:t>、支出经济分类汇总表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、一般公共预算“三公”经费支出情况表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九、项目支出表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十</w:t>
      </w:r>
      <w:r>
        <w:rPr>
          <w:rFonts w:ascii="仿宋" w:hAnsi="仿宋" w:eastAsia="仿宋" w:cs="宋体"/>
          <w:kern w:val="0"/>
          <w:sz w:val="32"/>
          <w:szCs w:val="32"/>
        </w:rPr>
        <w:t>、政府性基金预算支出情况表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rPr>
        <w:t>、部门（单位）整体绩效目标表</w:t>
      </w:r>
    </w:p>
    <w:p>
      <w:pPr>
        <w:adjustRightInd w:val="0"/>
        <w:snapToGrid w:val="0"/>
        <w:spacing w:line="560" w:lineRule="exact"/>
        <w:ind w:firstLine="640" w:firstLineChars="200"/>
        <w:rPr>
          <w:rFonts w:ascii="黑体" w:hAnsi="黑体" w:eastAsia="黑体"/>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rPr>
        <w:t>、财政支出绩效目标表</w:t>
      </w: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第一部分</w:t>
      </w: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平桥区应急管理局概况</w:t>
      </w:r>
    </w:p>
    <w:p>
      <w:pPr>
        <w:adjustRightInd w:val="0"/>
        <w:snapToGrid w:val="0"/>
        <w:spacing w:line="560" w:lineRule="exact"/>
        <w:ind w:firstLine="640" w:firstLineChars="200"/>
        <w:jc w:val="center"/>
        <w:rPr>
          <w:rFonts w:ascii="黑体" w:hAnsi="黑体" w:eastAsia="黑体"/>
          <w:sz w:val="32"/>
          <w:szCs w:val="32"/>
        </w:rPr>
      </w:pPr>
    </w:p>
    <w:p>
      <w:pPr>
        <w:numPr>
          <w:ilvl w:val="0"/>
          <w:numId w:val="1"/>
        </w:numPr>
        <w:rPr>
          <w:rFonts w:hint="eastAsia" w:ascii="黑体" w:hAnsi="黑体" w:eastAsia="黑体"/>
          <w:sz w:val="32"/>
          <w:szCs w:val="32"/>
        </w:rPr>
      </w:pPr>
      <w:r>
        <w:rPr>
          <w:rFonts w:hint="eastAsia" w:ascii="黑体" w:hAnsi="黑体" w:eastAsia="黑体"/>
          <w:sz w:val="32"/>
          <w:szCs w:val="32"/>
        </w:rPr>
        <w:t>主要职能</w:t>
      </w:r>
    </w:p>
    <w:p>
      <w:pPr>
        <w:numPr>
          <w:ilvl w:val="0"/>
          <w:numId w:val="0"/>
        </w:numPr>
        <w:ind w:firstLine="640" w:firstLineChars="200"/>
        <w:rPr>
          <w:rFonts w:ascii="仿宋" w:hAnsi="仿宋" w:eastAsia="仿宋"/>
          <w:sz w:val="32"/>
          <w:szCs w:val="32"/>
        </w:rPr>
      </w:pPr>
      <w:r>
        <w:rPr>
          <w:rFonts w:hint="eastAsia" w:ascii="仿宋" w:hAnsi="仿宋" w:eastAsia="仿宋"/>
          <w:sz w:val="32"/>
          <w:szCs w:val="32"/>
        </w:rPr>
        <w:t>（一）、负责全区应急管理工作，指导各级各部门应对安全生产类。自然灾害类等突发事件和综合防灾减灾工作。负责全区安全生产综合监督管理和工矿商贸行业安全生产监督管理工作。</w:t>
      </w:r>
      <w:r>
        <w:rPr>
          <w:rFonts w:ascii="仿宋" w:hAnsi="仿宋" w:eastAsia="仿宋"/>
          <w:sz w:val="32"/>
          <w:szCs w:val="32"/>
        </w:rPr>
        <w:br w:type="textWrapping"/>
      </w:r>
      <w:r>
        <w:rPr>
          <w:rFonts w:hint="eastAsia" w:ascii="仿宋" w:hAnsi="仿宋" w:eastAsia="仿宋"/>
          <w:sz w:val="32"/>
          <w:szCs w:val="32"/>
        </w:rPr>
        <w:t>（二）、拟定全区应急管理、安全生产等政策规定，组织编制区应急体系建设、安全生产和综合防灾减灾规划，组织编制相关规程和标准并监管实施。</w:t>
      </w:r>
    </w:p>
    <w:p>
      <w:pPr>
        <w:rPr>
          <w:rFonts w:ascii="仿宋" w:hAnsi="仿宋" w:eastAsia="仿宋"/>
          <w:sz w:val="32"/>
          <w:szCs w:val="32"/>
        </w:rPr>
      </w:pPr>
      <w:r>
        <w:rPr>
          <w:rFonts w:hint="eastAsia" w:ascii="仿宋" w:hAnsi="仿宋" w:eastAsia="仿宋"/>
          <w:sz w:val="32"/>
          <w:szCs w:val="32"/>
        </w:rPr>
        <w:t>（三）、指导全区应急预案体系建设，建立完善事故灾难和自然灾害分级应对制度，组织编制全区总体应急预案和安全生产类、自然灾害专项预案，综合协调应急预案衔接工作，组织开展预案演练，推动应急避难设施建设。</w:t>
      </w:r>
    </w:p>
    <w:p>
      <w:pPr>
        <w:rPr>
          <w:rFonts w:ascii="仿宋" w:hAnsi="仿宋" w:eastAsia="仿宋"/>
          <w:sz w:val="32"/>
          <w:szCs w:val="32"/>
        </w:rPr>
      </w:pPr>
      <w:r>
        <w:rPr>
          <w:rFonts w:hint="eastAsia" w:ascii="仿宋" w:hAnsi="仿宋" w:eastAsia="仿宋"/>
          <w:sz w:val="32"/>
          <w:szCs w:val="32"/>
        </w:rPr>
        <w:t>（四）、牵头建立统一的全区应急管理信息系统，负责信息传输和共享，建立监测预警和灾情报告制度，健全自然灾害信息资源获取和共享机制，依法统一发布灾情。</w:t>
      </w:r>
    </w:p>
    <w:p>
      <w:pPr>
        <w:rPr>
          <w:rFonts w:ascii="仿宋" w:hAnsi="仿宋" w:eastAsia="仿宋"/>
          <w:sz w:val="32"/>
          <w:szCs w:val="32"/>
        </w:rPr>
      </w:pPr>
      <w:r>
        <w:rPr>
          <w:rFonts w:hint="eastAsia" w:ascii="仿宋" w:hAnsi="仿宋" w:eastAsia="仿宋"/>
          <w:sz w:val="32"/>
          <w:szCs w:val="32"/>
        </w:rPr>
        <w:t>（五）、组织指导协调安全生产类、自然灾害类突发事件应急救援，承担区应对较大灾害指挥部工作，综合研判突发事件发展态势并提出应对建议，协助区委、区政府指定的负责同志组织较大灾害应急处置工作。</w:t>
      </w:r>
    </w:p>
    <w:p>
      <w:pPr>
        <w:rPr>
          <w:rFonts w:ascii="仿宋" w:hAnsi="仿宋" w:eastAsia="仿宋"/>
          <w:sz w:val="32"/>
          <w:szCs w:val="32"/>
        </w:rPr>
      </w:pPr>
      <w:r>
        <w:rPr>
          <w:rFonts w:hint="eastAsia" w:ascii="仿宋" w:hAnsi="仿宋" w:eastAsia="仿宋"/>
          <w:sz w:val="32"/>
          <w:szCs w:val="32"/>
        </w:rPr>
        <w:t>（六）、统一协调指挥各类应急专业队伍，建立应急协调联动机制，推动指挥平台对接，衔接驻区解放军和武警部队参与应急救援工作。</w:t>
      </w:r>
    </w:p>
    <w:p>
      <w:pPr>
        <w:rPr>
          <w:rFonts w:ascii="仿宋" w:hAnsi="仿宋" w:eastAsia="仿宋"/>
          <w:sz w:val="32"/>
          <w:szCs w:val="32"/>
        </w:rPr>
      </w:pPr>
      <w:r>
        <w:rPr>
          <w:rFonts w:hint="eastAsia" w:ascii="仿宋" w:hAnsi="仿宋" w:eastAsia="仿宋"/>
          <w:sz w:val="32"/>
          <w:szCs w:val="32"/>
        </w:rPr>
        <w:t>（七）、统筹应急救援力量建设，负责森林火灾扑救、抗洪抢救、地震和地质灾害救援、生产安全事故救援等专业应急救援力量建设，指导区综合性应急救援队伍建设，指导各乡镇（办事处、管委会）及社会应急救援力量建设。</w:t>
      </w:r>
    </w:p>
    <w:p>
      <w:pPr>
        <w:rPr>
          <w:rFonts w:ascii="仿宋" w:hAnsi="仿宋" w:eastAsia="仿宋"/>
          <w:sz w:val="32"/>
          <w:szCs w:val="32"/>
        </w:rPr>
      </w:pPr>
      <w:r>
        <w:rPr>
          <w:rFonts w:hint="eastAsia" w:ascii="仿宋" w:hAnsi="仿宋" w:eastAsia="仿宋"/>
          <w:sz w:val="32"/>
          <w:szCs w:val="32"/>
        </w:rPr>
        <w:t>（八）、组织指导消防工作，指导消防监督、火灾预防、火灾扑救等工作。</w:t>
      </w:r>
    </w:p>
    <w:p>
      <w:pPr>
        <w:rPr>
          <w:rFonts w:ascii="仿宋" w:hAnsi="仿宋" w:eastAsia="仿宋"/>
          <w:sz w:val="32"/>
          <w:szCs w:val="32"/>
        </w:rPr>
      </w:pPr>
      <w:r>
        <w:rPr>
          <w:rFonts w:hint="eastAsia" w:ascii="仿宋" w:hAnsi="仿宋" w:eastAsia="仿宋"/>
          <w:sz w:val="32"/>
          <w:szCs w:val="32"/>
        </w:rPr>
        <w:t>（九）、指导协调全区森林火灾、火旱灾害、地震和地质灾害等防治工作，负责自然灾害综合监测预警工作，指导开展自然灾害综合风险评估工作。</w:t>
      </w:r>
    </w:p>
    <w:p>
      <w:pPr>
        <w:rPr>
          <w:rFonts w:ascii="仿宋" w:hAnsi="仿宋" w:eastAsia="仿宋"/>
          <w:sz w:val="32"/>
          <w:szCs w:val="32"/>
        </w:rPr>
      </w:pPr>
      <w:r>
        <w:rPr>
          <w:rFonts w:hint="eastAsia" w:ascii="仿宋" w:hAnsi="仿宋" w:eastAsia="仿宋"/>
          <w:sz w:val="32"/>
          <w:szCs w:val="32"/>
        </w:rPr>
        <w:t>（十）、组织协调全区灾害救助工作，组织指导灾情核查、损失评估、救灾捐赠工作，按权限管理、分配救灾款物并监督使用。</w:t>
      </w:r>
    </w:p>
    <w:p>
      <w:pPr>
        <w:rPr>
          <w:rFonts w:ascii="仿宋" w:hAnsi="仿宋" w:eastAsia="仿宋"/>
          <w:sz w:val="32"/>
          <w:szCs w:val="32"/>
        </w:rPr>
      </w:pPr>
      <w:r>
        <w:rPr>
          <w:rFonts w:hint="eastAsia" w:ascii="仿宋" w:hAnsi="仿宋" w:eastAsia="仿宋"/>
          <w:sz w:val="32"/>
          <w:szCs w:val="32"/>
        </w:rPr>
        <w:t>（十一）、依法行使安全生产综合监督管理职权，指导协调监督检查区政府有关部门和各乡镇（办事处、管委会）安全生产工作，督促、指导安全生产责任制落实。组织开展安全生产巡查、考核工作，承担区安全生产委员会日常工作。</w:t>
      </w:r>
    </w:p>
    <w:p>
      <w:pPr>
        <w:rPr>
          <w:rFonts w:ascii="仿宋" w:hAnsi="仿宋" w:eastAsia="仿宋"/>
          <w:sz w:val="32"/>
          <w:szCs w:val="32"/>
        </w:rPr>
      </w:pPr>
      <w:r>
        <w:rPr>
          <w:rFonts w:hint="eastAsia" w:ascii="仿宋" w:hAnsi="仿宋" w:eastAsia="仿宋"/>
          <w:sz w:val="32"/>
          <w:szCs w:val="32"/>
        </w:rPr>
        <w:t>（十二）、按照分级、属地原则，依法监督检查工矿商贸生产经营单位执行安全生产法律法规情况，及其安全生产条件和有关设备（特种设备除外）、材料、劳动防护用品的安全生产管理工作。依法组织实施安全生产准入制度，并对执行情况进行指导和监督。负责危险化学品安全监督管理综合工作和烟花爆竹经营企业安全生产监督管理工作。</w:t>
      </w:r>
    </w:p>
    <w:p>
      <w:pPr>
        <w:rPr>
          <w:rFonts w:ascii="仿宋" w:hAnsi="仿宋" w:eastAsia="仿宋"/>
          <w:sz w:val="32"/>
          <w:szCs w:val="32"/>
        </w:rPr>
      </w:pPr>
      <w:r>
        <w:rPr>
          <w:rFonts w:hint="eastAsia" w:ascii="仿宋" w:hAnsi="仿宋" w:eastAsia="仿宋"/>
          <w:sz w:val="32"/>
          <w:szCs w:val="32"/>
        </w:rPr>
        <w:t>（十三）、依法组织指导生产安全事故调查处理，监督事故查处和责任追究落实情况。组织开展自然灾害类突发事件的调查评估工作。协调上级调查处理较大以上事故。综合管理全区生产安全伤亡事故、事故隐患排查治理、安全生产统计分析工作。</w:t>
      </w:r>
    </w:p>
    <w:p>
      <w:pPr>
        <w:rPr>
          <w:rFonts w:ascii="仿宋" w:hAnsi="仿宋" w:eastAsia="仿宋"/>
          <w:sz w:val="32"/>
          <w:szCs w:val="32"/>
        </w:rPr>
      </w:pPr>
      <w:r>
        <w:rPr>
          <w:rFonts w:hint="eastAsia" w:ascii="仿宋" w:hAnsi="仿宋" w:eastAsia="仿宋"/>
          <w:sz w:val="32"/>
          <w:szCs w:val="32"/>
        </w:rPr>
        <w:t>（十四）、制定应急物资储备和应急救援装备规划并组织实施，会同区发展和改革委员会（区粮食储备局）等部门建立健全应急物资信息平台和调拨制度，在救援时统一调度。</w:t>
      </w:r>
    </w:p>
    <w:p>
      <w:pPr>
        <w:rPr>
          <w:rFonts w:ascii="仿宋" w:hAnsi="仿宋" w:eastAsia="仿宋"/>
          <w:sz w:val="32"/>
          <w:szCs w:val="32"/>
        </w:rPr>
      </w:pPr>
      <w:r>
        <w:rPr>
          <w:rFonts w:hint="eastAsia" w:ascii="仿宋" w:hAnsi="仿宋" w:eastAsia="仿宋"/>
          <w:sz w:val="32"/>
          <w:szCs w:val="32"/>
        </w:rPr>
        <w:t>（十五）、负责应急管理、安全生产宣传教育和培训工作，组织指导应急管理、安全生产的科学技术研究、推广应用和信息化建设工作。依法组织、指导并监督特种作业（不含煤矿企业）主要负责人、安全生产管理人员安全生产知识和管理能力考核工作，监督检查工矿商贸生产经营单位安全培训工作。</w:t>
      </w:r>
    </w:p>
    <w:p>
      <w:pPr>
        <w:rPr>
          <w:rFonts w:ascii="仿宋" w:hAnsi="仿宋" w:eastAsia="仿宋"/>
          <w:sz w:val="32"/>
          <w:szCs w:val="32"/>
        </w:rPr>
      </w:pPr>
      <w:r>
        <w:rPr>
          <w:rFonts w:hint="eastAsia" w:ascii="仿宋" w:hAnsi="仿宋" w:eastAsia="仿宋"/>
          <w:sz w:val="32"/>
          <w:szCs w:val="32"/>
        </w:rPr>
        <w:t>（十六）、负责监督指导和组织协调全区安全生产、抗震设防行政执法工作。</w:t>
      </w:r>
    </w:p>
    <w:p>
      <w:pPr>
        <w:rPr>
          <w:rFonts w:ascii="仿宋" w:hAnsi="仿宋" w:eastAsia="仿宋"/>
          <w:sz w:val="32"/>
          <w:szCs w:val="32"/>
        </w:rPr>
      </w:pPr>
      <w:r>
        <w:rPr>
          <w:rFonts w:hint="eastAsia" w:ascii="仿宋" w:hAnsi="仿宋" w:eastAsia="仿宋"/>
          <w:sz w:val="32"/>
          <w:szCs w:val="32"/>
        </w:rPr>
        <w:t>（十七）、开展应急管理方面的交流与合作，组织参与安全生产类、自然灾害类等突发事件的跨区域救援工作。</w:t>
      </w:r>
    </w:p>
    <w:p>
      <w:pPr>
        <w:rPr>
          <w:rFonts w:ascii="仿宋" w:hAnsi="仿宋" w:eastAsia="仿宋"/>
          <w:sz w:val="32"/>
          <w:szCs w:val="32"/>
        </w:rPr>
      </w:pPr>
      <w:r>
        <w:rPr>
          <w:rFonts w:hint="eastAsia" w:ascii="仿宋" w:hAnsi="仿宋" w:eastAsia="仿宋"/>
          <w:sz w:val="32"/>
          <w:szCs w:val="32"/>
        </w:rPr>
        <w:t>（十八）、负责对城镇门站以外天然气管道输送的安全监管。</w:t>
      </w:r>
    </w:p>
    <w:p>
      <w:pPr>
        <w:rPr>
          <w:rFonts w:ascii="仿宋" w:hAnsi="仿宋" w:eastAsia="仿宋"/>
          <w:sz w:val="32"/>
          <w:szCs w:val="32"/>
        </w:rPr>
      </w:pPr>
      <w:r>
        <w:rPr>
          <w:rFonts w:hint="eastAsia" w:ascii="仿宋" w:hAnsi="仿宋" w:eastAsia="仿宋"/>
          <w:sz w:val="32"/>
          <w:szCs w:val="32"/>
        </w:rPr>
        <w:t xml:space="preserve">（十九）、完成区委、区政府交办的其他任务。  </w:t>
      </w:r>
    </w:p>
    <w:p>
      <w:pPr>
        <w:rPr>
          <w:rFonts w:ascii="仿宋" w:hAnsi="仿宋" w:eastAsia="仿宋"/>
          <w:sz w:val="32"/>
          <w:szCs w:val="32"/>
        </w:rPr>
      </w:pPr>
    </w:p>
    <w:p>
      <w:pPr>
        <w:numPr>
          <w:ilvl w:val="0"/>
          <w:numId w:val="1"/>
        </w:numPr>
        <w:adjustRightInd w:val="0"/>
        <w:snapToGrid w:val="0"/>
        <w:spacing w:line="560" w:lineRule="exact"/>
        <w:ind w:left="0" w:leftChars="0" w:firstLine="0" w:firstLineChars="0"/>
        <w:rPr>
          <w:rFonts w:hint="eastAsia" w:ascii="黑体" w:hAnsi="黑体" w:eastAsia="黑体"/>
          <w:sz w:val="32"/>
          <w:szCs w:val="32"/>
        </w:rPr>
      </w:pPr>
      <w:r>
        <w:rPr>
          <w:rFonts w:hint="eastAsia" w:ascii="黑体" w:hAnsi="黑体" w:eastAsia="黑体"/>
          <w:sz w:val="32"/>
          <w:szCs w:val="32"/>
        </w:rPr>
        <w:t>机构设置</w:t>
      </w:r>
    </w:p>
    <w:p>
      <w:pPr>
        <w:widowControl/>
        <w:ind w:firstLine="640" w:firstLineChars="200"/>
        <w:jc w:val="left"/>
        <w:rPr>
          <w:rFonts w:hint="eastAsia" w:ascii="黑体" w:hAnsi="黑体" w:eastAsia="黑体"/>
          <w:sz w:val="32"/>
          <w:szCs w:val="32"/>
        </w:rPr>
      </w:pPr>
      <w:r>
        <w:rPr>
          <w:rFonts w:hint="eastAsia" w:ascii="仿宋_GB2312" w:hAnsi="仿宋_GB2312" w:eastAsia="仿宋_GB2312" w:cs="仿宋_GB2312"/>
          <w:b w:val="0"/>
          <w:bCs/>
          <w:color w:val="000000"/>
          <w:kern w:val="0"/>
          <w:sz w:val="32"/>
          <w:szCs w:val="32"/>
        </w:rPr>
        <w:t>平桥区应急管理局内设机构8个：（一）、办公室（宣传训练股）。（二）、应急指挥中心（救援协调和预案管理股）。（三）政策法规股（调查评估和统计股）。（四）、安全生产基础股。（五）、安全生产综合协调股（区安全生产委员会办公室、科技和信息化股）。（六）、防减救灾指导协调股。（七）政治处。（八）机关党支部。</w:t>
      </w:r>
    </w:p>
    <w:p>
      <w:pPr>
        <w:numPr>
          <w:ilvl w:val="0"/>
          <w:numId w:val="0"/>
        </w:numPr>
        <w:adjustRightInd w:val="0"/>
        <w:snapToGrid w:val="0"/>
        <w:spacing w:line="560" w:lineRule="exact"/>
        <w:ind w:firstLine="640" w:firstLineChars="200"/>
        <w:rPr>
          <w:rFonts w:hint="default"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rPr>
        <w:t>局属单位</w:t>
      </w:r>
      <w:r>
        <w:rPr>
          <w:rFonts w:hint="eastAsia" w:ascii="仿宋_GB2312" w:hAnsi="仿宋_GB2312" w:eastAsia="仿宋_GB2312" w:cs="仿宋_GB2312"/>
          <w:b w:val="0"/>
          <w:bCs/>
          <w:color w:val="000000"/>
          <w:kern w:val="0"/>
          <w:sz w:val="32"/>
          <w:szCs w:val="32"/>
          <w:lang w:val="en-US" w:eastAsia="zh-CN"/>
        </w:rPr>
        <w:t>4个：（1）</w:t>
      </w:r>
      <w:r>
        <w:rPr>
          <w:rFonts w:hint="eastAsia" w:ascii="仿宋" w:hAnsi="仿宋" w:eastAsia="仿宋" w:cs="宋体"/>
          <w:kern w:val="0"/>
          <w:sz w:val="32"/>
          <w:szCs w:val="32"/>
        </w:rPr>
        <w:t>平桥区安全生产监督管理执法大队</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平桥区防汛抗旱指挥部办公室</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信阳市平桥区人民政府森林防灭火指挥部办公室</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平桥区应急救援指挥中心。</w:t>
      </w:r>
    </w:p>
    <w:p>
      <w:pPr>
        <w:adjustRightInd w:val="0"/>
        <w:snapToGrid w:val="0"/>
        <w:spacing w:line="560" w:lineRule="exact"/>
        <w:rPr>
          <w:rFonts w:hint="eastAsia" w:ascii="黑体" w:hAnsi="黑体" w:eastAsia="黑体"/>
          <w:sz w:val="32"/>
          <w:szCs w:val="32"/>
          <w:lang w:val="en-US" w:eastAsia="zh-CN"/>
        </w:rPr>
      </w:pPr>
    </w:p>
    <w:p>
      <w:pPr>
        <w:adjustRightInd w:val="0"/>
        <w:snapToGrid w:val="0"/>
        <w:spacing w:line="560" w:lineRule="exact"/>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、平桥区应急管理局预算单位构成</w:t>
      </w:r>
    </w:p>
    <w:p>
      <w:pPr>
        <w:numPr>
          <w:ilvl w:val="0"/>
          <w:numId w:val="0"/>
        </w:numPr>
        <w:adjustRightInd w:val="0"/>
        <w:snapToGrid w:val="0"/>
        <w:spacing w:line="560" w:lineRule="exact"/>
        <w:ind w:firstLine="640" w:firstLineChars="200"/>
        <w:rPr>
          <w:rFonts w:hint="default" w:ascii="仿宋_GB2312" w:hAnsi="仿宋_GB2312" w:eastAsia="仿宋_GB2312" w:cs="仿宋_GB2312"/>
          <w:b w:val="0"/>
          <w:bCs/>
          <w:color w:val="000000"/>
          <w:kern w:val="0"/>
          <w:sz w:val="32"/>
          <w:szCs w:val="32"/>
          <w:lang w:val="en-US" w:eastAsia="zh-CN"/>
        </w:rPr>
      </w:pPr>
      <w:r>
        <w:rPr>
          <w:rFonts w:hint="eastAsia" w:ascii="仿宋_GB2312" w:eastAsia="仿宋_GB2312"/>
          <w:sz w:val="32"/>
          <w:szCs w:val="32"/>
        </w:rPr>
        <w:t>根据部门预算管理有关规定，本预算为</w:t>
      </w:r>
      <w:r>
        <w:rPr>
          <w:rFonts w:hint="eastAsia" w:ascii="仿宋_GB2312" w:eastAsia="仿宋_GB2312"/>
          <w:sz w:val="32"/>
          <w:szCs w:val="32"/>
          <w:lang w:val="en-US" w:eastAsia="zh-CN"/>
        </w:rPr>
        <w:t>部门</w:t>
      </w:r>
      <w:r>
        <w:rPr>
          <w:rFonts w:hint="eastAsia" w:ascii="仿宋_GB2312" w:eastAsia="仿宋_GB2312"/>
          <w:sz w:val="32"/>
          <w:szCs w:val="32"/>
        </w:rPr>
        <w:t>预算，</w:t>
      </w:r>
      <w:r>
        <w:rPr>
          <w:rFonts w:hint="eastAsia" w:ascii="仿宋_GB2312" w:eastAsia="仿宋_GB2312"/>
          <w:sz w:val="32"/>
          <w:szCs w:val="32"/>
          <w:lang w:val="en-US" w:eastAsia="zh-CN"/>
        </w:rPr>
        <w:t>包含上述</w:t>
      </w:r>
      <w:r>
        <w:rPr>
          <w:rFonts w:hint="eastAsia" w:ascii="仿宋_GB2312" w:hAnsi="仿宋_GB2312" w:eastAsia="仿宋_GB2312" w:cs="仿宋_GB2312"/>
          <w:b w:val="0"/>
          <w:bCs/>
          <w:color w:val="000000"/>
          <w:kern w:val="0"/>
          <w:sz w:val="32"/>
          <w:szCs w:val="32"/>
        </w:rPr>
        <w:t>机构设置</w:t>
      </w:r>
      <w:r>
        <w:rPr>
          <w:rFonts w:hint="eastAsia" w:ascii="仿宋_GB2312" w:hAnsi="仿宋_GB2312" w:eastAsia="仿宋_GB2312" w:cs="仿宋_GB2312"/>
          <w:b w:val="0"/>
          <w:bCs/>
          <w:color w:val="000000"/>
          <w:kern w:val="0"/>
          <w:sz w:val="32"/>
          <w:szCs w:val="32"/>
          <w:lang w:val="en-US" w:eastAsia="zh-CN"/>
        </w:rPr>
        <w:t>的所有单位机构。</w:t>
      </w:r>
    </w:p>
    <w:p>
      <w:pPr>
        <w:adjustRightInd w:val="0"/>
        <w:snapToGrid w:val="0"/>
        <w:spacing w:line="560" w:lineRule="exact"/>
        <w:jc w:val="center"/>
        <w:rPr>
          <w:rFonts w:ascii="黑体" w:hAnsi="Times New Roman" w:eastAsia="黑体" w:cs="黑体"/>
          <w:sz w:val="32"/>
          <w:szCs w:val="32"/>
        </w:rPr>
      </w:pPr>
    </w:p>
    <w:p>
      <w:pPr>
        <w:adjustRightInd w:val="0"/>
        <w:snapToGrid w:val="0"/>
        <w:spacing w:line="560" w:lineRule="exact"/>
        <w:jc w:val="center"/>
        <w:rPr>
          <w:rFonts w:ascii="黑体" w:hAnsi="Times New Roman" w:eastAsia="黑体" w:cs="黑体"/>
          <w:sz w:val="32"/>
          <w:szCs w:val="32"/>
        </w:rPr>
      </w:pPr>
    </w:p>
    <w:p>
      <w:pPr>
        <w:adjustRightInd w:val="0"/>
        <w:snapToGrid w:val="0"/>
        <w:spacing w:line="560" w:lineRule="exact"/>
        <w:jc w:val="center"/>
        <w:rPr>
          <w:rFonts w:ascii="黑体" w:hAnsi="Times New Roman" w:eastAsia="黑体" w:cs="黑体"/>
          <w:sz w:val="32"/>
          <w:szCs w:val="32"/>
        </w:rPr>
      </w:pPr>
    </w:p>
    <w:p>
      <w:pPr>
        <w:adjustRightInd w:val="0"/>
        <w:snapToGrid w:val="0"/>
        <w:spacing w:line="560" w:lineRule="exact"/>
        <w:jc w:val="center"/>
        <w:rPr>
          <w:rFonts w:ascii="黑体" w:hAnsi="Times New Roman" w:eastAsia="黑体" w:cs="黑体"/>
          <w:sz w:val="32"/>
          <w:szCs w:val="32"/>
        </w:rPr>
      </w:pPr>
    </w:p>
    <w:p>
      <w:pPr>
        <w:adjustRightInd w:val="0"/>
        <w:snapToGrid w:val="0"/>
        <w:spacing w:line="560" w:lineRule="exact"/>
        <w:jc w:val="center"/>
        <w:rPr>
          <w:rFonts w:ascii="黑体" w:hAnsi="Times New Roman" w:eastAsia="黑体" w:cs="黑体"/>
          <w:sz w:val="32"/>
          <w:szCs w:val="32"/>
        </w:rPr>
      </w:pPr>
    </w:p>
    <w:p>
      <w:pPr>
        <w:adjustRightInd w:val="0"/>
        <w:snapToGrid w:val="0"/>
        <w:spacing w:line="560" w:lineRule="exact"/>
        <w:jc w:val="center"/>
        <w:rPr>
          <w:rFonts w:ascii="黑体" w:hAnsi="Times New Roman" w:eastAsia="黑体" w:cs="黑体"/>
          <w:sz w:val="32"/>
          <w:szCs w:val="32"/>
        </w:rPr>
      </w:pPr>
    </w:p>
    <w:p>
      <w:pPr>
        <w:adjustRightInd w:val="0"/>
        <w:snapToGrid w:val="0"/>
        <w:spacing w:line="560" w:lineRule="exact"/>
        <w:jc w:val="center"/>
        <w:rPr>
          <w:rFonts w:ascii="黑体" w:hAnsi="Times New Roman" w:eastAsia="黑体" w:cs="黑体"/>
          <w:sz w:val="32"/>
          <w:szCs w:val="32"/>
        </w:rPr>
      </w:pPr>
    </w:p>
    <w:p>
      <w:pPr>
        <w:adjustRightInd w:val="0"/>
        <w:snapToGrid w:val="0"/>
        <w:spacing w:line="560" w:lineRule="exact"/>
        <w:jc w:val="center"/>
        <w:rPr>
          <w:rFonts w:ascii="黑体" w:hAnsi="Times New Roman" w:eastAsia="黑体" w:cs="黑体"/>
          <w:sz w:val="32"/>
          <w:szCs w:val="32"/>
        </w:rPr>
      </w:pPr>
    </w:p>
    <w:p>
      <w:pPr>
        <w:adjustRightInd w:val="0"/>
        <w:snapToGrid w:val="0"/>
        <w:spacing w:line="560" w:lineRule="exact"/>
        <w:jc w:val="center"/>
        <w:rPr>
          <w:rFonts w:ascii="黑体" w:hAnsi="Times New Roman" w:eastAsia="黑体" w:cs="黑体"/>
          <w:sz w:val="32"/>
          <w:szCs w:val="32"/>
        </w:rPr>
      </w:pPr>
    </w:p>
    <w:p>
      <w:pPr>
        <w:adjustRightInd w:val="0"/>
        <w:snapToGrid w:val="0"/>
        <w:spacing w:line="560" w:lineRule="exact"/>
        <w:rPr>
          <w:rFonts w:ascii="黑体" w:hAnsi="Times New Roman" w:eastAsia="黑体" w:cs="黑体"/>
          <w:sz w:val="32"/>
          <w:szCs w:val="32"/>
        </w:rPr>
      </w:pPr>
    </w:p>
    <w:p>
      <w:pPr>
        <w:adjustRightInd w:val="0"/>
        <w:snapToGrid w:val="0"/>
        <w:spacing w:line="560" w:lineRule="exact"/>
        <w:jc w:val="center"/>
        <w:rPr>
          <w:rFonts w:ascii="黑体" w:hAnsi="Times New Roman" w:eastAsia="黑体" w:cs="黑体"/>
          <w:spacing w:val="-38"/>
          <w:sz w:val="32"/>
          <w:szCs w:val="32"/>
        </w:rPr>
      </w:pPr>
      <w:r>
        <w:rPr>
          <w:rFonts w:hint="eastAsia" w:ascii="黑体" w:hAnsi="Times New Roman" w:eastAsia="黑体" w:cs="黑体"/>
          <w:sz w:val="32"/>
          <w:szCs w:val="32"/>
        </w:rPr>
        <w:t>第二部分</w:t>
      </w:r>
    </w:p>
    <w:p>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平桥区应急管理局</w:t>
      </w:r>
    </w:p>
    <w:p>
      <w:pPr>
        <w:adjustRightInd w:val="0"/>
        <w:snapToGrid w:val="0"/>
        <w:spacing w:line="560" w:lineRule="exact"/>
        <w:jc w:val="center"/>
        <w:rPr>
          <w:rFonts w:ascii="黑体" w:hAnsi="黑体" w:eastAsia="黑体"/>
          <w:sz w:val="32"/>
          <w:szCs w:val="32"/>
        </w:rPr>
      </w:pPr>
      <w:r>
        <w:rPr>
          <w:rFonts w:ascii="黑体" w:hAnsi="Times New Roman" w:eastAsia="黑体" w:cs="黑体"/>
          <w:sz w:val="32"/>
          <w:szCs w:val="32"/>
        </w:rPr>
        <w:t>202</w:t>
      </w:r>
      <w:r>
        <w:rPr>
          <w:rFonts w:hint="eastAsia" w:ascii="黑体" w:hAnsi="Times New Roman" w:eastAsia="黑体" w:cs="黑体"/>
          <w:sz w:val="32"/>
          <w:szCs w:val="32"/>
        </w:rPr>
        <w:t>2年度部门预算情况说明</w:t>
      </w:r>
    </w:p>
    <w:p>
      <w:pPr>
        <w:adjustRightInd w:val="0"/>
        <w:snapToGrid w:val="0"/>
        <w:spacing w:line="560" w:lineRule="exact"/>
        <w:ind w:firstLine="640" w:firstLineChars="200"/>
        <w:rPr>
          <w:rFonts w:ascii="黑体" w:hAnsi="黑体" w:eastAsia="黑体"/>
          <w:sz w:val="32"/>
          <w:szCs w:val="32"/>
        </w:rPr>
      </w:pP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一、收入支出预算总体情况说明</w:t>
      </w:r>
    </w:p>
    <w:p>
      <w:pPr>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eastAsia="仿宋_GB2312"/>
          <w:sz w:val="32"/>
          <w:szCs w:val="32"/>
        </w:rPr>
        <w:t>平桥区应急管理局</w:t>
      </w:r>
      <w:r>
        <w:rPr>
          <w:rFonts w:hint="eastAsia" w:ascii="仿宋_GB2312" w:hAnsi="宋体" w:eastAsia="仿宋_GB2312" w:cs="Courier New"/>
          <w:sz w:val="32"/>
          <w:szCs w:val="32"/>
        </w:rPr>
        <w:t>2022年收入核定总计</w:t>
      </w:r>
      <w:r>
        <w:rPr>
          <w:rFonts w:hint="eastAsia" w:ascii="仿宋_GB2312" w:eastAsia="仿宋_GB2312"/>
          <w:sz w:val="32"/>
          <w:szCs w:val="32"/>
          <w:lang w:eastAsia="zh-CN"/>
        </w:rPr>
        <w:t>1041.49</w:t>
      </w:r>
      <w:r>
        <w:rPr>
          <w:rFonts w:hint="eastAsia" w:ascii="仿宋_GB2312" w:hAnsi="宋体" w:eastAsia="仿宋_GB2312" w:cs="Courier New"/>
          <w:sz w:val="32"/>
          <w:szCs w:val="32"/>
        </w:rPr>
        <w:t>万元，支出总计</w:t>
      </w:r>
      <w:r>
        <w:rPr>
          <w:rFonts w:hint="eastAsia" w:ascii="仿宋_GB2312" w:eastAsia="仿宋_GB2312"/>
          <w:sz w:val="32"/>
          <w:szCs w:val="32"/>
          <w:lang w:eastAsia="zh-CN"/>
        </w:rPr>
        <w:t>1041.49</w:t>
      </w:r>
      <w:r>
        <w:rPr>
          <w:rFonts w:hint="eastAsia" w:ascii="仿宋_GB2312" w:hAnsi="宋体" w:eastAsia="仿宋_GB2312" w:cs="Courier New"/>
          <w:sz w:val="32"/>
          <w:szCs w:val="32"/>
        </w:rPr>
        <w:t>万元，与2021年相比，收、支总计各增加222.89万元，上升</w:t>
      </w:r>
      <w:r>
        <w:rPr>
          <w:rFonts w:hint="eastAsia" w:ascii="仿宋_GB2312" w:eastAsia="仿宋_GB2312"/>
          <w:sz w:val="32"/>
          <w:szCs w:val="32"/>
        </w:rPr>
        <w:t>21.4</w:t>
      </w:r>
      <w:r>
        <w:rPr>
          <w:rFonts w:hint="eastAsia" w:ascii="仿宋_GB2312" w:hAnsi="宋体" w:eastAsia="仿宋_GB2312" w:cs="Courier New"/>
          <w:sz w:val="32"/>
          <w:szCs w:val="32"/>
        </w:rPr>
        <w:t>%。主要原因是：人员工资、奖金，医保、住房公积金、养老保险、专项经费等经费的增加。</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二、收入预算总体情况说明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平桥区应急管理局</w:t>
      </w:r>
      <w:r>
        <w:rPr>
          <w:rFonts w:hint="eastAsia" w:ascii="仿宋_GB2312" w:hAnsi="Times New Roman" w:eastAsia="仿宋_GB2312"/>
          <w:sz w:val="32"/>
          <w:szCs w:val="32"/>
        </w:rPr>
        <w:t>2022年收入核定预算合计</w:t>
      </w:r>
      <w:r>
        <w:rPr>
          <w:rFonts w:hint="eastAsia" w:ascii="仿宋_GB2312" w:eastAsia="仿宋_GB2312"/>
          <w:sz w:val="32"/>
          <w:szCs w:val="32"/>
          <w:lang w:eastAsia="zh-CN"/>
        </w:rPr>
        <w:t>1041.49</w:t>
      </w:r>
      <w:r>
        <w:rPr>
          <w:rFonts w:hint="eastAsia" w:ascii="仿宋_GB2312" w:hAnsi="Times New Roman" w:eastAsia="仿宋_GB2312"/>
          <w:sz w:val="32"/>
          <w:szCs w:val="32"/>
        </w:rPr>
        <w:t>万元，</w:t>
      </w:r>
      <w:r>
        <w:rPr>
          <w:rFonts w:hint="eastAsia" w:ascii="仿宋_GB2312" w:eastAsia="仿宋_GB2312"/>
          <w:sz w:val="32"/>
          <w:szCs w:val="32"/>
        </w:rPr>
        <w:t>其中：一般公共预算</w:t>
      </w:r>
      <w:r>
        <w:rPr>
          <w:rFonts w:hint="eastAsia" w:ascii="仿宋_GB2312" w:eastAsia="仿宋_GB2312"/>
          <w:sz w:val="32"/>
          <w:szCs w:val="32"/>
          <w:lang w:eastAsia="zh-CN"/>
        </w:rPr>
        <w:t>1041.49</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占比100%</w:t>
      </w:r>
      <w:r>
        <w:rPr>
          <w:rFonts w:hint="eastAsia" w:ascii="仿宋_GB2312" w:eastAsia="仿宋_GB2312"/>
          <w:sz w:val="32"/>
          <w:szCs w:val="32"/>
        </w:rPr>
        <w:t>。</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三、支出预算总体情况说明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平桥区应急管理局</w:t>
      </w:r>
      <w:r>
        <w:rPr>
          <w:rFonts w:hint="eastAsia" w:ascii="仿宋_GB2312" w:hAnsi="宋体" w:eastAsia="仿宋_GB2312" w:cs="Courier New"/>
          <w:sz w:val="32"/>
          <w:szCs w:val="32"/>
        </w:rPr>
        <w:t>2022年支出核定预算合计</w:t>
      </w:r>
      <w:r>
        <w:rPr>
          <w:rFonts w:hint="eastAsia" w:ascii="仿宋_GB2312" w:eastAsia="仿宋_GB2312"/>
          <w:sz w:val="32"/>
          <w:szCs w:val="32"/>
          <w:lang w:eastAsia="zh-CN"/>
        </w:rPr>
        <w:t>1041.49</w:t>
      </w:r>
      <w:r>
        <w:rPr>
          <w:rFonts w:hint="eastAsia" w:ascii="仿宋_GB2312" w:hAnsi="宋体" w:eastAsia="仿宋_GB2312" w:cs="Courier New"/>
          <w:sz w:val="32"/>
          <w:szCs w:val="32"/>
        </w:rPr>
        <w:t>万元，其中：</w:t>
      </w:r>
      <w:r>
        <w:rPr>
          <w:rFonts w:hint="eastAsia" w:ascii="仿宋_GB2312" w:eastAsia="仿宋_GB2312"/>
          <w:sz w:val="32"/>
          <w:szCs w:val="32"/>
        </w:rPr>
        <w:t>基本支出</w:t>
      </w:r>
      <w:r>
        <w:rPr>
          <w:rFonts w:hint="eastAsia" w:ascii="仿宋_GB2312" w:eastAsia="仿宋_GB2312"/>
          <w:sz w:val="32"/>
          <w:szCs w:val="32"/>
          <w:lang w:eastAsia="zh-CN"/>
        </w:rPr>
        <w:t>750.36</w:t>
      </w:r>
      <w:r>
        <w:rPr>
          <w:rFonts w:hint="eastAsia" w:ascii="仿宋_GB2312" w:eastAsia="仿宋_GB2312"/>
          <w:sz w:val="32"/>
          <w:szCs w:val="32"/>
        </w:rPr>
        <w:t>万元，占72</w:t>
      </w:r>
      <w:r>
        <w:rPr>
          <w:rFonts w:hint="eastAsia" w:ascii="宋体" w:hAnsi="宋体"/>
          <w:sz w:val="32"/>
          <w:szCs w:val="32"/>
        </w:rPr>
        <w:t>％</w:t>
      </w:r>
      <w:r>
        <w:rPr>
          <w:rFonts w:hint="eastAsia" w:ascii="仿宋_GB2312" w:eastAsia="仿宋_GB2312"/>
          <w:sz w:val="32"/>
          <w:szCs w:val="32"/>
        </w:rPr>
        <w:t>；项目支出</w:t>
      </w:r>
      <w:r>
        <w:rPr>
          <w:rFonts w:hint="eastAsia" w:ascii="仿宋_GB2312" w:eastAsia="仿宋_GB2312"/>
          <w:sz w:val="32"/>
          <w:szCs w:val="32"/>
          <w:lang w:eastAsia="zh-CN"/>
        </w:rPr>
        <w:t xml:space="preserve">291.13 </w:t>
      </w:r>
      <w:r>
        <w:rPr>
          <w:rFonts w:hint="eastAsia" w:ascii="仿宋_GB2312" w:eastAsia="仿宋_GB2312"/>
          <w:sz w:val="32"/>
          <w:szCs w:val="32"/>
        </w:rPr>
        <w:t>万元，占28%。</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四、财政拨款收入支出预算总体情况说明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平桥区应急管理局</w:t>
      </w:r>
      <w:r>
        <w:rPr>
          <w:rFonts w:ascii="仿宋_GB2312" w:hAnsi="宋体" w:eastAsia="仿宋_GB2312" w:cs="Courier New"/>
          <w:sz w:val="32"/>
          <w:szCs w:val="32"/>
        </w:rPr>
        <w:t>202</w:t>
      </w:r>
      <w:r>
        <w:rPr>
          <w:rFonts w:hint="eastAsia" w:ascii="仿宋_GB2312" w:hAnsi="宋体" w:eastAsia="仿宋_GB2312" w:cs="Courier New"/>
          <w:sz w:val="32"/>
          <w:szCs w:val="32"/>
        </w:rPr>
        <w:t>2年一般公共预算收入预算</w:t>
      </w:r>
      <w:r>
        <w:rPr>
          <w:rFonts w:hint="eastAsia" w:ascii="仿宋_GB2312" w:eastAsia="仿宋_GB2312"/>
          <w:sz w:val="32"/>
          <w:szCs w:val="32"/>
          <w:lang w:eastAsia="zh-CN"/>
        </w:rPr>
        <w:t xml:space="preserve">935.36 </w:t>
      </w:r>
      <w:r>
        <w:rPr>
          <w:rFonts w:hint="eastAsia" w:ascii="仿宋_GB2312" w:hAnsi="宋体" w:eastAsia="仿宋_GB2312" w:cs="Courier New"/>
          <w:sz w:val="32"/>
          <w:szCs w:val="32"/>
        </w:rPr>
        <w:t>万元，一般公共预算支出预算</w:t>
      </w:r>
      <w:r>
        <w:rPr>
          <w:rFonts w:hint="eastAsia" w:ascii="仿宋_GB2312" w:eastAsia="仿宋_GB2312"/>
          <w:sz w:val="32"/>
          <w:szCs w:val="32"/>
          <w:lang w:eastAsia="zh-CN"/>
        </w:rPr>
        <w:t xml:space="preserve">935.36 </w:t>
      </w:r>
      <w:r>
        <w:rPr>
          <w:rFonts w:hint="eastAsia" w:ascii="仿宋_GB2312" w:hAnsi="宋体" w:eastAsia="仿宋_GB2312" w:cs="Courier New"/>
          <w:sz w:val="32"/>
          <w:szCs w:val="32"/>
        </w:rPr>
        <w:t>万元。与</w:t>
      </w:r>
      <w:r>
        <w:rPr>
          <w:rFonts w:ascii="仿宋_GB2312" w:hAnsi="宋体" w:eastAsia="仿宋_GB2312" w:cs="Courier New"/>
          <w:sz w:val="32"/>
          <w:szCs w:val="32"/>
        </w:rPr>
        <w:t xml:space="preserve"> 202</w:t>
      </w:r>
      <w:r>
        <w:rPr>
          <w:rFonts w:hint="eastAsia" w:ascii="仿宋_GB2312" w:hAnsi="宋体" w:eastAsia="仿宋_GB2312" w:cs="Courier New"/>
          <w:sz w:val="32"/>
          <w:szCs w:val="32"/>
        </w:rPr>
        <w:t>1年相比，一般公共预算收入预算增加222.89万元，增长</w:t>
      </w:r>
      <w:r>
        <w:rPr>
          <w:rFonts w:hint="eastAsia" w:ascii="仿宋_GB2312" w:eastAsia="仿宋_GB2312"/>
          <w:sz w:val="32"/>
          <w:szCs w:val="32"/>
        </w:rPr>
        <w:t>21.4</w:t>
      </w:r>
      <w:r>
        <w:rPr>
          <w:rFonts w:ascii="仿宋_GB2312" w:hAnsi="宋体" w:eastAsia="仿宋_GB2312" w:cs="Courier New"/>
          <w:sz w:val="32"/>
          <w:szCs w:val="32"/>
        </w:rPr>
        <w:t>%</w:t>
      </w:r>
      <w:r>
        <w:rPr>
          <w:rFonts w:hint="eastAsia" w:ascii="仿宋_GB2312" w:hAnsi="宋体" w:eastAsia="仿宋_GB2312" w:cs="Courier New"/>
          <w:sz w:val="32"/>
          <w:szCs w:val="32"/>
        </w:rPr>
        <w:t>，主要原因是人员工资、奖金，医保、住房公积金、养老保险、专项经费等经费的增加。</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五、一般公共预算支出预算情况说明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平桥区应急管理局</w:t>
      </w:r>
      <w:r>
        <w:rPr>
          <w:rFonts w:ascii="仿宋_GB2312" w:hAnsi="宋体" w:eastAsia="仿宋_GB2312" w:cs="Courier New"/>
          <w:sz w:val="32"/>
          <w:szCs w:val="32"/>
        </w:rPr>
        <w:t>202</w:t>
      </w:r>
      <w:r>
        <w:rPr>
          <w:rFonts w:hint="eastAsia" w:ascii="仿宋_GB2312" w:hAnsi="宋体" w:eastAsia="仿宋_GB2312" w:cs="Courier New"/>
          <w:sz w:val="32"/>
          <w:szCs w:val="32"/>
        </w:rPr>
        <w:t>2年一般公共预算支出年初预算</w:t>
      </w:r>
      <w:r>
        <w:rPr>
          <w:rFonts w:hint="eastAsia" w:ascii="仿宋_GB2312" w:eastAsia="仿宋_GB2312"/>
          <w:sz w:val="32"/>
          <w:szCs w:val="32"/>
          <w:lang w:eastAsia="zh-CN"/>
        </w:rPr>
        <w:t xml:space="preserve">935.36 </w:t>
      </w:r>
      <w:r>
        <w:rPr>
          <w:rFonts w:hint="eastAsia" w:ascii="仿宋_GB2312" w:hAnsi="宋体" w:eastAsia="仿宋_GB2312" w:cs="Courier New"/>
          <w:sz w:val="32"/>
          <w:szCs w:val="32"/>
        </w:rPr>
        <w:t>万元,主要用于以下方面：</w:t>
      </w:r>
      <w:r>
        <w:rPr>
          <w:rFonts w:hint="eastAsia" w:ascii="仿宋_GB2312" w:eastAsia="仿宋_GB2312"/>
          <w:sz w:val="32"/>
          <w:szCs w:val="32"/>
        </w:rPr>
        <w:t>基本支出</w:t>
      </w:r>
      <w:r>
        <w:rPr>
          <w:rFonts w:hint="eastAsia" w:ascii="仿宋_GB2312" w:eastAsia="仿宋_GB2312"/>
          <w:sz w:val="32"/>
          <w:szCs w:val="32"/>
          <w:lang w:eastAsia="zh-CN"/>
        </w:rPr>
        <w:t>750.36</w:t>
      </w:r>
      <w:r>
        <w:rPr>
          <w:rFonts w:hint="eastAsia" w:ascii="仿宋_GB2312" w:eastAsia="仿宋_GB2312"/>
          <w:sz w:val="32"/>
          <w:szCs w:val="32"/>
        </w:rPr>
        <w:t>万元，占</w:t>
      </w:r>
      <w:r>
        <w:rPr>
          <w:rFonts w:hint="eastAsia" w:ascii="仿宋_GB2312" w:eastAsia="仿宋_GB2312"/>
          <w:sz w:val="32"/>
          <w:szCs w:val="32"/>
          <w:lang w:val="en-US" w:eastAsia="zh-CN"/>
        </w:rPr>
        <w:t>80.22</w:t>
      </w:r>
      <w:r>
        <w:rPr>
          <w:rFonts w:hint="eastAsia" w:ascii="宋体" w:hAnsi="宋体"/>
          <w:sz w:val="32"/>
          <w:szCs w:val="32"/>
        </w:rPr>
        <w:t>％</w:t>
      </w:r>
      <w:r>
        <w:rPr>
          <w:rFonts w:hint="eastAsia" w:ascii="仿宋_GB2312" w:eastAsia="仿宋_GB2312"/>
          <w:sz w:val="32"/>
          <w:szCs w:val="32"/>
        </w:rPr>
        <w:t>；项目支出</w:t>
      </w:r>
      <w:r>
        <w:rPr>
          <w:rFonts w:hint="eastAsia" w:ascii="仿宋_GB2312" w:eastAsia="仿宋_GB2312"/>
          <w:sz w:val="32"/>
          <w:szCs w:val="32"/>
          <w:lang w:eastAsia="zh-CN"/>
        </w:rPr>
        <w:t xml:space="preserve">185.00 </w:t>
      </w:r>
      <w:r>
        <w:rPr>
          <w:rFonts w:hint="eastAsia" w:ascii="仿宋_GB2312" w:eastAsia="仿宋_GB2312"/>
          <w:sz w:val="32"/>
          <w:szCs w:val="32"/>
        </w:rPr>
        <w:t>万元，占</w:t>
      </w:r>
      <w:r>
        <w:rPr>
          <w:rFonts w:hint="eastAsia" w:ascii="仿宋_GB2312" w:eastAsia="仿宋_GB2312"/>
          <w:sz w:val="32"/>
          <w:szCs w:val="32"/>
          <w:lang w:val="en-US" w:eastAsia="zh-CN"/>
        </w:rPr>
        <w:t>19.78</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p>
    <w:p>
      <w:pPr>
        <w:pStyle w:val="4"/>
        <w:spacing w:line="360" w:lineRule="auto"/>
        <w:ind w:firstLine="643" w:firstLineChars="200"/>
        <w:rPr>
          <w:rStyle w:val="7"/>
          <w:color w:val="000000"/>
          <w:sz w:val="32"/>
          <w:szCs w:val="32"/>
        </w:rPr>
      </w:pPr>
      <w:r>
        <w:rPr>
          <w:rStyle w:val="7"/>
          <w:rFonts w:hint="eastAsia"/>
          <w:color w:val="000000"/>
          <w:sz w:val="32"/>
          <w:szCs w:val="32"/>
        </w:rPr>
        <w:t>六、一般公共预算基本支出预算情况说明</w:t>
      </w:r>
    </w:p>
    <w:p>
      <w:pPr>
        <w:pStyle w:val="4"/>
        <w:spacing w:line="360" w:lineRule="auto"/>
        <w:ind w:firstLine="640" w:firstLineChars="200"/>
        <w:rPr>
          <w:rFonts w:hint="eastAsia" w:ascii="仿宋_GB2312" w:hAnsi="Calibri" w:eastAsia="仿宋_GB2312" w:cs="Times New Roman"/>
          <w:kern w:val="2"/>
          <w:sz w:val="32"/>
          <w:szCs w:val="32"/>
        </w:rPr>
      </w:pPr>
      <w:r>
        <w:rPr>
          <w:rFonts w:hint="eastAsia" w:ascii="仿宋_GB2312" w:eastAsia="仿宋_GB2312"/>
          <w:sz w:val="32"/>
          <w:szCs w:val="32"/>
        </w:rPr>
        <w:t>平桥区应急管理局</w:t>
      </w:r>
      <w:r>
        <w:rPr>
          <w:rFonts w:hint="eastAsia" w:ascii="仿宋_GB2312" w:hAnsi="Calibri" w:eastAsia="仿宋_GB2312" w:cs="Times New Roman"/>
          <w:kern w:val="2"/>
          <w:sz w:val="32"/>
          <w:szCs w:val="32"/>
        </w:rPr>
        <w:t>2022年一般公共预算基本支出</w:t>
      </w:r>
      <w:r>
        <w:rPr>
          <w:rFonts w:hint="eastAsia" w:ascii="仿宋_GB2312" w:eastAsia="仿宋_GB2312"/>
          <w:sz w:val="32"/>
          <w:szCs w:val="32"/>
          <w:lang w:eastAsia="zh-CN"/>
        </w:rPr>
        <w:t xml:space="preserve">750.36 </w:t>
      </w:r>
      <w:r>
        <w:rPr>
          <w:rFonts w:hint="eastAsia" w:ascii="仿宋_GB2312" w:hAnsi="Calibri" w:eastAsia="仿宋_GB2312" w:cs="Times New Roman"/>
          <w:kern w:val="2"/>
          <w:sz w:val="32"/>
          <w:szCs w:val="32"/>
        </w:rPr>
        <w:t>万元，其中：人员经费670.51 万元，主要包括：基本工资、津贴补贴、奖金、社会保障缴费、伙食补助费、绩效工资、其他工资福利支出。公用经费79.85万元，主要包括：办公费、印刷费、咨询费、手续费、水费、电费、邮电费、取暖费、物业管理费、差旅费、因公出国（境）费、维 修（护）费、租赁费、会议费、培训费、公务接待费、专用材料费、劳务费、委托业务费、工会经费、福利费、公务用车运行维护费、其他交通费用、其他商品和服务支出，办公设备购置、大型修缮、信息网络及软件购置更新。</w:t>
      </w:r>
    </w:p>
    <w:p>
      <w:pPr>
        <w:pStyle w:val="4"/>
        <w:spacing w:line="360" w:lineRule="auto"/>
        <w:ind w:firstLine="643" w:firstLineChars="200"/>
        <w:rPr>
          <w:rStyle w:val="7"/>
          <w:rFonts w:hint="eastAsia" w:ascii="Times New Roman" w:hAnsi="Times New Roman" w:cs="Times New Roman"/>
          <w:color w:val="000000"/>
          <w:sz w:val="32"/>
          <w:szCs w:val="32"/>
        </w:rPr>
      </w:pPr>
    </w:p>
    <w:p>
      <w:pPr>
        <w:pStyle w:val="4"/>
        <w:spacing w:line="360" w:lineRule="auto"/>
        <w:ind w:firstLine="643" w:firstLineChars="200"/>
        <w:rPr>
          <w:rStyle w:val="7"/>
          <w:rFonts w:hint="eastAsia" w:ascii="Times New Roman" w:hAnsi="Times New Roman" w:cs="Times New Roman"/>
          <w:color w:val="000000"/>
          <w:sz w:val="32"/>
          <w:szCs w:val="32"/>
        </w:rPr>
      </w:pPr>
    </w:p>
    <w:p>
      <w:pPr>
        <w:pStyle w:val="4"/>
        <w:spacing w:line="360" w:lineRule="auto"/>
        <w:ind w:firstLine="643" w:firstLineChars="200"/>
        <w:rPr>
          <w:rStyle w:val="7"/>
          <w:rFonts w:hint="eastAsia" w:ascii="Times New Roman" w:hAnsi="Times New Roman" w:cs="Times New Roman"/>
          <w:color w:val="000000"/>
          <w:sz w:val="32"/>
          <w:szCs w:val="32"/>
        </w:rPr>
      </w:pPr>
    </w:p>
    <w:p>
      <w:pPr>
        <w:pStyle w:val="4"/>
        <w:spacing w:line="360" w:lineRule="auto"/>
        <w:ind w:firstLine="643" w:firstLineChars="200"/>
        <w:rPr>
          <w:rStyle w:val="7"/>
          <w:rFonts w:hint="eastAsia" w:ascii="Times New Roman" w:hAnsi="Times New Roman" w:cs="Times New Roman"/>
          <w:color w:val="000000"/>
          <w:sz w:val="32"/>
          <w:szCs w:val="32"/>
        </w:rPr>
      </w:pPr>
      <w:r>
        <w:rPr>
          <w:rStyle w:val="7"/>
          <w:rFonts w:hint="eastAsia" w:ascii="Times New Roman" w:hAnsi="Times New Roman" w:cs="Times New Roman"/>
          <w:color w:val="000000"/>
          <w:sz w:val="32"/>
          <w:szCs w:val="32"/>
        </w:rPr>
        <w:t>七、支出预算经济分类情况说明</w:t>
      </w:r>
    </w:p>
    <w:p>
      <w:pPr>
        <w:pStyle w:val="4"/>
        <w:spacing w:line="360" w:lineRule="auto"/>
        <w:ind w:firstLine="640" w:firstLineChars="200"/>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lang w:val="en-US" w:eastAsia="zh-CN"/>
        </w:rPr>
        <w:t>八</w:t>
      </w:r>
      <w:r>
        <w:rPr>
          <w:rFonts w:hint="eastAsia" w:ascii="黑体" w:hAnsi="Times New Roman" w:eastAsia="黑体" w:cs="黑体"/>
          <w:kern w:val="0"/>
          <w:sz w:val="32"/>
          <w:szCs w:val="32"/>
        </w:rPr>
        <w:t>、“三公”经费支出预算情况说明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平桥区应急管理局</w:t>
      </w:r>
      <w:r>
        <w:rPr>
          <w:rFonts w:hint="eastAsia" w:ascii="仿宋_GB2312" w:hAnsi="宋体" w:eastAsia="仿宋_GB2312" w:cs="Courier New"/>
          <w:sz w:val="32"/>
          <w:szCs w:val="32"/>
        </w:rPr>
        <w:t>2022 年“三公”经费预算为</w:t>
      </w:r>
      <w:r>
        <w:rPr>
          <w:rFonts w:hint="eastAsia" w:ascii="仿宋_GB2312" w:eastAsia="仿宋_GB2312"/>
          <w:sz w:val="32"/>
          <w:szCs w:val="32"/>
        </w:rPr>
        <w:t>0</w:t>
      </w:r>
      <w:r>
        <w:rPr>
          <w:rFonts w:hint="eastAsia" w:ascii="仿宋_GB2312" w:hAnsi="宋体" w:eastAsia="仿宋_GB2312" w:cs="Courier New"/>
          <w:sz w:val="32"/>
          <w:szCs w:val="32"/>
        </w:rPr>
        <w:t>万元。2022年“三公”经费支出预算数与 2021 年相比无增减变动。</w:t>
      </w:r>
    </w:p>
    <w:p>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pPr>
        <w:pStyle w:val="11"/>
        <w:numPr>
          <w:ilvl w:val="0"/>
          <w:numId w:val="2"/>
        </w:numPr>
        <w:kinsoku w:val="0"/>
        <w:overflowPunct w:val="0"/>
        <w:autoSpaceDE w:val="0"/>
        <w:autoSpaceDN w:val="0"/>
        <w:adjustRightInd w:val="0"/>
        <w:snapToGrid w:val="0"/>
        <w:spacing w:line="560" w:lineRule="exact"/>
        <w:ind w:firstLineChars="0"/>
        <w:rPr>
          <w:rFonts w:ascii="楷体" w:hAnsi="楷体" w:eastAsia="楷体"/>
          <w:sz w:val="32"/>
          <w:szCs w:val="32"/>
        </w:rPr>
      </w:pPr>
      <w:r>
        <w:rPr>
          <w:rFonts w:hint="eastAsia" w:ascii="楷体" w:hAnsi="楷体" w:eastAsia="楷体" w:cs="仿宋_GB2312"/>
          <w:spacing w:val="-1"/>
          <w:kern w:val="0"/>
          <w:sz w:val="32"/>
          <w:szCs w:val="32"/>
        </w:rPr>
        <w:t>因公出国（境）费0万元</w:t>
      </w:r>
    </w:p>
    <w:p>
      <w:pPr>
        <w:kinsoku w:val="0"/>
        <w:overflowPunct w:val="0"/>
        <w:autoSpaceDE w:val="0"/>
        <w:autoSpaceDN w:val="0"/>
        <w:adjustRightInd w:val="0"/>
        <w:snapToGrid w:val="0"/>
        <w:spacing w:line="560" w:lineRule="exact"/>
        <w:ind w:firstLine="636" w:firstLineChars="200"/>
        <w:rPr>
          <w:rFonts w:ascii="楷体" w:hAnsi="楷体" w:eastAsia="楷体" w:cs="Courier New"/>
          <w:sz w:val="32"/>
          <w:szCs w:val="32"/>
        </w:rPr>
      </w:pPr>
      <w:r>
        <w:rPr>
          <w:rFonts w:hint="eastAsia" w:ascii="楷体" w:hAnsi="楷体" w:eastAsia="楷体" w:cs="仿宋_GB2312"/>
          <w:spacing w:val="-1"/>
          <w:kern w:val="0"/>
          <w:sz w:val="32"/>
          <w:szCs w:val="32"/>
        </w:rPr>
        <w:t>（二）公务用车购置及运行费</w:t>
      </w:r>
      <w:r>
        <w:rPr>
          <w:rFonts w:hint="eastAsia" w:ascii="楷体" w:hAnsi="楷体" w:eastAsia="楷体"/>
          <w:sz w:val="32"/>
          <w:szCs w:val="32"/>
        </w:rPr>
        <w:t>0</w:t>
      </w:r>
      <w:r>
        <w:rPr>
          <w:rFonts w:hint="eastAsia" w:ascii="楷体" w:hAnsi="楷体" w:eastAsia="楷体" w:cs="仿宋_GB2312"/>
          <w:kern w:val="0"/>
          <w:sz w:val="32"/>
          <w:szCs w:val="32"/>
        </w:rPr>
        <w:t>万</w:t>
      </w:r>
      <w:r>
        <w:rPr>
          <w:rFonts w:hint="eastAsia" w:ascii="楷体" w:hAnsi="楷体" w:eastAsia="楷体" w:cs="Courier New"/>
          <w:sz w:val="32"/>
          <w:szCs w:val="32"/>
        </w:rPr>
        <w:t>元，其中，公务用车购置费0万元，公务用车运行维护费0万元。</w:t>
      </w:r>
    </w:p>
    <w:p>
      <w:pPr>
        <w:kinsoku w:val="0"/>
        <w:overflowPunct w:val="0"/>
        <w:autoSpaceDE w:val="0"/>
        <w:autoSpaceDN w:val="0"/>
        <w:adjustRightInd w:val="0"/>
        <w:snapToGrid w:val="0"/>
        <w:spacing w:line="560" w:lineRule="exact"/>
        <w:ind w:firstLine="636" w:firstLineChars="200"/>
        <w:rPr>
          <w:rFonts w:ascii="楷体" w:hAnsi="楷体" w:eastAsia="楷体" w:cs="Courier New"/>
          <w:sz w:val="32"/>
          <w:szCs w:val="32"/>
        </w:rPr>
      </w:pPr>
      <w:r>
        <w:rPr>
          <w:rFonts w:hint="eastAsia" w:ascii="楷体" w:hAnsi="楷体" w:eastAsia="楷体" w:cs="仿宋_GB2312"/>
          <w:spacing w:val="-1"/>
          <w:kern w:val="0"/>
          <w:sz w:val="32"/>
          <w:szCs w:val="32"/>
        </w:rPr>
        <w:t>（三）公务接待费</w:t>
      </w:r>
      <w:r>
        <w:rPr>
          <w:rFonts w:hint="eastAsia" w:ascii="楷体" w:hAnsi="楷体" w:eastAsia="楷体"/>
          <w:sz w:val="32"/>
          <w:szCs w:val="32"/>
        </w:rPr>
        <w:t>0</w:t>
      </w:r>
      <w:r>
        <w:rPr>
          <w:rFonts w:hint="eastAsia" w:ascii="楷体" w:hAnsi="楷体" w:eastAsia="楷体" w:cs="Courier New"/>
          <w:sz w:val="32"/>
          <w:szCs w:val="32"/>
        </w:rPr>
        <w:t>万元</w:t>
      </w:r>
    </w:p>
    <w:p>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楷体" w:eastAsia="仿宋_GB2312" w:cs="Courier New"/>
          <w:sz w:val="32"/>
          <w:szCs w:val="32"/>
        </w:rPr>
        <w:t>预算数与 2021年相比无增减变动，未安排公务接待费的原因</w:t>
      </w:r>
      <w:r>
        <w:rPr>
          <w:rFonts w:hint="eastAsia" w:ascii="仿宋_GB2312" w:hAnsi="宋体" w:eastAsia="仿宋_GB2312" w:cs="Courier New"/>
          <w:sz w:val="32"/>
          <w:szCs w:val="32"/>
        </w:rPr>
        <w:t>主要是贯彻落实中央“八项”规定精神，厉行勤俭节约。</w:t>
      </w:r>
    </w:p>
    <w:p>
      <w:pPr>
        <w:kinsoku w:val="0"/>
        <w:overflowPunct w:val="0"/>
        <w:autoSpaceDE w:val="0"/>
        <w:autoSpaceDN w:val="0"/>
        <w:adjustRightInd w:val="0"/>
        <w:snapToGrid w:val="0"/>
        <w:spacing w:line="560" w:lineRule="exact"/>
        <w:ind w:firstLine="636" w:firstLineChars="200"/>
        <w:rPr>
          <w:rFonts w:hint="eastAsia" w:ascii="黑体" w:hAnsi="Times New Roman" w:eastAsia="黑体" w:cs="黑体"/>
          <w:spacing w:val="-1"/>
          <w:kern w:val="0"/>
          <w:sz w:val="32"/>
          <w:szCs w:val="32"/>
          <w:lang w:val="en-US" w:eastAsia="zh-CN"/>
        </w:rPr>
      </w:pPr>
    </w:p>
    <w:p>
      <w:pPr>
        <w:kinsoku w:val="0"/>
        <w:overflowPunct w:val="0"/>
        <w:autoSpaceDE w:val="0"/>
        <w:autoSpaceDN w:val="0"/>
        <w:adjustRightInd w:val="0"/>
        <w:snapToGrid w:val="0"/>
        <w:spacing w:line="560" w:lineRule="exact"/>
        <w:ind w:firstLine="636" w:firstLineChars="200"/>
        <w:rPr>
          <w:rFonts w:ascii="仿宋_GB2312" w:eastAsia="仿宋_GB2312"/>
          <w:b/>
          <w:sz w:val="32"/>
          <w:szCs w:val="32"/>
        </w:rPr>
      </w:pPr>
      <w:r>
        <w:rPr>
          <w:rFonts w:hint="eastAsia" w:ascii="黑体" w:hAnsi="Times New Roman" w:eastAsia="黑体" w:cs="黑体"/>
          <w:spacing w:val="-1"/>
          <w:kern w:val="0"/>
          <w:sz w:val="32"/>
          <w:szCs w:val="32"/>
          <w:lang w:val="en-US" w:eastAsia="zh-CN"/>
        </w:rPr>
        <w:t>九</w:t>
      </w:r>
      <w:r>
        <w:rPr>
          <w:rFonts w:hint="eastAsia" w:ascii="黑体" w:hAnsi="Times New Roman" w:eastAsia="黑体" w:cs="黑体"/>
          <w:b/>
          <w:spacing w:val="-1"/>
          <w:kern w:val="0"/>
          <w:sz w:val="32"/>
          <w:szCs w:val="32"/>
        </w:rPr>
        <w:t>、</w:t>
      </w:r>
      <w:r>
        <w:rPr>
          <w:rFonts w:hint="eastAsia" w:ascii="仿宋_GB2312" w:eastAsia="仿宋_GB2312"/>
          <w:b/>
          <w:sz w:val="32"/>
          <w:szCs w:val="32"/>
        </w:rPr>
        <w:t>政府性基金预算支出情况</w:t>
      </w:r>
    </w:p>
    <w:p>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eastAsia="仿宋_GB2312"/>
          <w:sz w:val="32"/>
          <w:szCs w:val="32"/>
        </w:rPr>
        <w:t>2022年我单位无政府性基金预算安排的支出。</w:t>
      </w:r>
    </w:p>
    <w:p>
      <w:pPr>
        <w:kinsoku w:val="0"/>
        <w:overflowPunct w:val="0"/>
        <w:autoSpaceDE w:val="0"/>
        <w:autoSpaceDN w:val="0"/>
        <w:adjustRightInd w:val="0"/>
        <w:snapToGrid w:val="0"/>
        <w:spacing w:line="560" w:lineRule="exact"/>
        <w:ind w:firstLine="636" w:firstLineChars="200"/>
        <w:rPr>
          <w:rFonts w:hint="eastAsia" w:ascii="黑体" w:hAnsi="Times New Roman" w:eastAsia="黑体" w:cs="黑体"/>
          <w:spacing w:val="-1"/>
          <w:kern w:val="0"/>
          <w:sz w:val="32"/>
          <w:szCs w:val="32"/>
          <w:lang w:val="en-US" w:eastAsia="zh-CN"/>
        </w:rPr>
      </w:pPr>
    </w:p>
    <w:p>
      <w:pPr>
        <w:kinsoku w:val="0"/>
        <w:overflowPunct w:val="0"/>
        <w:autoSpaceDE w:val="0"/>
        <w:autoSpaceDN w:val="0"/>
        <w:adjustRightInd w:val="0"/>
        <w:snapToGrid w:val="0"/>
        <w:spacing w:line="560" w:lineRule="exact"/>
        <w:ind w:firstLine="636" w:firstLineChars="200"/>
        <w:rPr>
          <w:rFonts w:hint="eastAsia" w:ascii="黑体" w:hAnsi="Times New Roman" w:eastAsia="黑体" w:cs="黑体"/>
          <w:spacing w:val="-1"/>
          <w:kern w:val="0"/>
          <w:sz w:val="32"/>
          <w:szCs w:val="32"/>
          <w:lang w:val="en-US" w:eastAsia="zh-CN"/>
        </w:rPr>
      </w:pPr>
    </w:p>
    <w:p>
      <w:pPr>
        <w:kinsoku w:val="0"/>
        <w:overflowPunct w:val="0"/>
        <w:autoSpaceDE w:val="0"/>
        <w:autoSpaceDN w:val="0"/>
        <w:adjustRightInd w:val="0"/>
        <w:snapToGrid w:val="0"/>
        <w:spacing w:line="560" w:lineRule="exact"/>
        <w:ind w:firstLine="636" w:firstLineChars="200"/>
        <w:rPr>
          <w:rFonts w:ascii="黑体" w:hAnsi="Times New Roman" w:eastAsia="黑体" w:cs="黑体"/>
          <w:spacing w:val="-1"/>
          <w:kern w:val="0"/>
          <w:sz w:val="32"/>
          <w:szCs w:val="32"/>
        </w:rPr>
      </w:pPr>
      <w:r>
        <w:rPr>
          <w:rFonts w:hint="eastAsia" w:ascii="黑体" w:hAnsi="Times New Roman" w:eastAsia="黑体" w:cs="黑体"/>
          <w:spacing w:val="-1"/>
          <w:kern w:val="0"/>
          <w:sz w:val="32"/>
          <w:szCs w:val="32"/>
          <w:lang w:val="en-US" w:eastAsia="zh-CN"/>
        </w:rPr>
        <w:t>十</w:t>
      </w:r>
      <w:r>
        <w:rPr>
          <w:rFonts w:hint="eastAsia" w:ascii="黑体" w:hAnsi="Times New Roman" w:eastAsia="黑体" w:cs="黑体"/>
          <w:spacing w:val="-1"/>
          <w:kern w:val="0"/>
          <w:sz w:val="32"/>
          <w:szCs w:val="32"/>
        </w:rPr>
        <w:t>、其他重要事项的情况说明</w:t>
      </w:r>
    </w:p>
    <w:p>
      <w:pPr>
        <w:pStyle w:val="4"/>
        <w:spacing w:line="360" w:lineRule="auto"/>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(一)机关运行经费支出情况</w:t>
      </w:r>
    </w:p>
    <w:p>
      <w:pPr>
        <w:pStyle w:val="4"/>
        <w:spacing w:line="360" w:lineRule="auto"/>
        <w:rPr>
          <w:rFonts w:ascii="仿宋_GB2312" w:hAnsi="ˎ̥" w:eastAsia="仿宋_GB2312" w:cs="Arial"/>
          <w:color w:val="000000"/>
          <w:sz w:val="32"/>
          <w:szCs w:val="32"/>
        </w:rPr>
      </w:pPr>
      <w:r>
        <w:rPr>
          <w:rFonts w:hint="eastAsia" w:ascii="仿宋_GB2312" w:hAnsi="ˎ̥" w:eastAsia="仿宋_GB2312" w:cs="Arial"/>
          <w:color w:val="000000"/>
          <w:sz w:val="32"/>
          <w:szCs w:val="32"/>
        </w:rPr>
        <w:t>　　平桥区应急管理局2022年机关运行经费支出预算79.8</w:t>
      </w:r>
      <w:r>
        <w:rPr>
          <w:rFonts w:hint="eastAsia" w:ascii="仿宋_GB2312" w:hAnsi="ˎ̥" w:eastAsia="仿宋_GB2312" w:cs="Arial"/>
          <w:color w:val="000000"/>
          <w:sz w:val="32"/>
          <w:szCs w:val="32"/>
          <w:lang w:val="en-US" w:eastAsia="zh-CN"/>
        </w:rPr>
        <w:t>5</w:t>
      </w:r>
      <w:r>
        <w:rPr>
          <w:rFonts w:hint="eastAsia" w:ascii="仿宋_GB2312" w:hAnsi="ˎ̥" w:eastAsia="仿宋_GB2312" w:cs="Arial"/>
          <w:color w:val="000000"/>
          <w:sz w:val="32"/>
          <w:szCs w:val="32"/>
        </w:rPr>
        <w:t>万元，主要保障机构正常运转及正常履职需要。</w:t>
      </w:r>
    </w:p>
    <w:p>
      <w:pPr>
        <w:pStyle w:val="4"/>
        <w:spacing w:line="360" w:lineRule="auto"/>
        <w:rPr>
          <w:rFonts w:ascii="仿宋_GB2312" w:hAnsi="ˎ̥" w:eastAsia="仿宋_GB2312" w:cs="Arial"/>
          <w:color w:val="000000"/>
          <w:sz w:val="32"/>
          <w:szCs w:val="32"/>
        </w:rPr>
      </w:pPr>
      <w:r>
        <w:rPr>
          <w:rFonts w:hint="eastAsia" w:ascii="仿宋_GB2312" w:hAnsi="ˎ̥" w:eastAsia="仿宋_GB2312" w:cs="Arial"/>
          <w:b/>
          <w:color w:val="000000"/>
          <w:sz w:val="32"/>
          <w:szCs w:val="32"/>
        </w:rPr>
        <w:t>　　</w:t>
      </w:r>
      <w:r>
        <w:rPr>
          <w:rFonts w:hint="eastAsia" w:ascii="仿宋_GB2312" w:hAnsi="ˎ̥" w:eastAsia="仿宋_GB2312" w:cs="Arial"/>
          <w:color w:val="000000"/>
          <w:sz w:val="32"/>
          <w:szCs w:val="32"/>
        </w:rPr>
        <w:t>(二)政府采购支出情况</w:t>
      </w:r>
    </w:p>
    <w:p>
      <w:pPr>
        <w:pStyle w:val="4"/>
        <w:spacing w:line="360" w:lineRule="auto"/>
        <w:rPr>
          <w:rFonts w:ascii="仿宋_GB2312" w:hAnsi="ˎ̥" w:eastAsia="仿宋_GB2312" w:cs="Arial"/>
          <w:color w:val="000000"/>
          <w:sz w:val="32"/>
          <w:szCs w:val="32"/>
        </w:rPr>
      </w:pPr>
      <w:r>
        <w:rPr>
          <w:rFonts w:hint="eastAsia" w:ascii="仿宋_GB2312" w:hAnsi="ˎ̥" w:eastAsia="仿宋_GB2312" w:cs="Arial"/>
          <w:color w:val="000000"/>
          <w:sz w:val="32"/>
          <w:szCs w:val="32"/>
        </w:rPr>
        <w:t>　　2022年政府采购预算我局没有政府采购项目，政府采购预算安排 0万元，其中：政府采购货物预算0万元、政府采购工程预算0万元、政府采购服务预算0万元。</w:t>
      </w:r>
    </w:p>
    <w:p>
      <w:pPr>
        <w:pStyle w:val="4"/>
        <w:spacing w:line="360" w:lineRule="auto"/>
        <w:rPr>
          <w:rFonts w:ascii="仿宋_GB2312" w:hAnsi="ˎ̥" w:eastAsia="仿宋_GB2312" w:cs="Arial"/>
          <w:color w:val="000000"/>
          <w:sz w:val="32"/>
          <w:szCs w:val="32"/>
        </w:rPr>
      </w:pPr>
      <w:r>
        <w:rPr>
          <w:rFonts w:hint="eastAsia" w:ascii="仿宋_GB2312" w:hAnsi="ˎ̥" w:eastAsia="仿宋_GB2312" w:cs="Arial"/>
          <w:color w:val="000000"/>
          <w:sz w:val="32"/>
          <w:szCs w:val="32"/>
        </w:rPr>
        <w:t>　　(三)绩效目标设置情况</w:t>
      </w:r>
    </w:p>
    <w:p>
      <w:pPr>
        <w:pStyle w:val="4"/>
        <w:spacing w:line="360" w:lineRule="auto"/>
        <w:ind w:firstLine="640" w:firstLineChars="200"/>
        <w:rPr>
          <w:rFonts w:hint="eastAsia" w:ascii="仿宋_GB2312" w:hAnsi="ˎ̥" w:eastAsia="仿宋_GB2312" w:cs="Arial"/>
          <w:color w:val="000000"/>
          <w:sz w:val="32"/>
          <w:szCs w:val="32"/>
        </w:rPr>
      </w:pPr>
      <w:r>
        <w:rPr>
          <w:rFonts w:hint="eastAsia" w:ascii="仿宋_GB2312" w:hAnsi="ˎ̥" w:eastAsia="仿宋_GB2312" w:cs="Arial"/>
          <w:color w:val="000000"/>
          <w:sz w:val="32"/>
          <w:szCs w:val="32"/>
        </w:rPr>
        <w:t>我</w:t>
      </w:r>
      <w:r>
        <w:rPr>
          <w:rFonts w:hint="eastAsia" w:ascii="仿宋_GB2312" w:hAnsi="ˎ̥" w:eastAsia="仿宋_GB2312" w:cs="Arial"/>
          <w:color w:val="000000"/>
          <w:sz w:val="32"/>
          <w:szCs w:val="32"/>
          <w:lang w:val="en-US" w:eastAsia="zh-CN"/>
        </w:rPr>
        <w:t>部门</w:t>
      </w:r>
      <w:r>
        <w:rPr>
          <w:rFonts w:hint="eastAsia" w:ascii="仿宋_GB2312" w:hAnsi="ˎ̥" w:eastAsia="仿宋_GB2312" w:cs="Arial"/>
          <w:color w:val="000000"/>
          <w:sz w:val="32"/>
          <w:szCs w:val="32"/>
        </w:rPr>
        <w:t>2022年预算项目均按要求编制了绩效目标，从项目产出、项目效益、满意度等方面设置了绩效目标，综合反映项目预期完成的数量、实效、质量，预期达到的社会经济效益、可持续影响以及对象满意度等情况。</w:t>
      </w:r>
    </w:p>
    <w:p>
      <w:pPr>
        <w:pStyle w:val="4"/>
        <w:spacing w:line="360" w:lineRule="auto"/>
        <w:rPr>
          <w:rFonts w:ascii="仿宋_GB2312" w:hAnsi="ˎ̥" w:eastAsia="仿宋_GB2312" w:cs="Arial"/>
          <w:color w:val="000000"/>
          <w:sz w:val="32"/>
          <w:szCs w:val="32"/>
        </w:rPr>
      </w:pPr>
      <w:r>
        <w:rPr>
          <w:rFonts w:hint="eastAsia" w:ascii="仿宋_GB2312" w:hAnsi="ˎ̥" w:eastAsia="仿宋_GB2312" w:cs="Arial"/>
          <w:color w:val="000000"/>
          <w:sz w:val="32"/>
          <w:szCs w:val="32"/>
        </w:rPr>
        <w:t>　　(四)国有资产占用情况。</w:t>
      </w:r>
    </w:p>
    <w:p>
      <w:pPr>
        <w:pStyle w:val="4"/>
        <w:spacing w:line="360" w:lineRule="auto"/>
        <w:rPr>
          <w:rFonts w:ascii="仿宋_GB2312" w:hAnsi="ˎ̥" w:eastAsia="仿宋_GB2312" w:cs="Arial"/>
          <w:color w:val="000000"/>
          <w:sz w:val="32"/>
          <w:szCs w:val="32"/>
        </w:rPr>
      </w:pPr>
      <w:r>
        <w:rPr>
          <w:rFonts w:hint="eastAsia" w:ascii="仿宋_GB2312" w:hAnsi="ˎ̥" w:eastAsia="仿宋_GB2312" w:cs="Arial"/>
          <w:color w:val="000000"/>
          <w:sz w:val="32"/>
          <w:szCs w:val="32"/>
        </w:rPr>
        <w:t>　　公车改革后，我单位严格按照车改办核准的保留车辆严格执行。2022年底，我单位共有公车0辆，单价50万元以上的通用设备0台（套），单位价值100万以上的专业设备0台（套）。</w:t>
      </w:r>
    </w:p>
    <w:p>
      <w:pPr>
        <w:pStyle w:val="4"/>
        <w:spacing w:line="360" w:lineRule="auto"/>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(五)专项转移支付项目情况</w:t>
      </w:r>
    </w:p>
    <w:p>
      <w:pPr>
        <w:pStyle w:val="4"/>
        <w:spacing w:line="360" w:lineRule="auto"/>
        <w:rPr>
          <w:rFonts w:ascii="仿宋_GB2312" w:hAnsi="ˎ̥" w:eastAsia="仿宋_GB2312" w:cs="Arial"/>
          <w:color w:val="000000"/>
          <w:sz w:val="32"/>
          <w:szCs w:val="32"/>
        </w:rPr>
      </w:pPr>
      <w:r>
        <w:rPr>
          <w:rFonts w:hint="eastAsia" w:ascii="仿宋_GB2312" w:hAnsi="ˎ̥" w:eastAsia="仿宋_GB2312" w:cs="Arial"/>
          <w:color w:val="000000"/>
          <w:sz w:val="32"/>
          <w:szCs w:val="32"/>
        </w:rPr>
        <w:t>　　我</w:t>
      </w:r>
      <w:r>
        <w:rPr>
          <w:rFonts w:hint="eastAsia" w:ascii="仿宋_GB2312" w:hAnsi="ˎ̥" w:eastAsia="仿宋_GB2312" w:cs="Arial"/>
          <w:color w:val="000000"/>
          <w:sz w:val="32"/>
          <w:szCs w:val="32"/>
          <w:lang w:val="en-US" w:eastAsia="zh-CN"/>
        </w:rPr>
        <w:t>部门</w:t>
      </w:r>
      <w:r>
        <w:rPr>
          <w:rFonts w:hint="eastAsia" w:ascii="仿宋_GB2312" w:hAnsi="ˎ̥" w:eastAsia="仿宋_GB2312" w:cs="Arial"/>
          <w:color w:val="000000"/>
          <w:sz w:val="32"/>
          <w:szCs w:val="32"/>
        </w:rPr>
        <w:t>没有负责管理的专项转移支付项目。</w:t>
      </w:r>
    </w:p>
    <w:p>
      <w:pPr>
        <w:pStyle w:val="4"/>
        <w:spacing w:line="360" w:lineRule="auto"/>
        <w:jc w:val="center"/>
        <w:rPr>
          <w:rStyle w:val="7"/>
          <w:rFonts w:ascii="仿宋_GB2312" w:hAnsi="ˎ̥" w:eastAsia="仿宋_GB2312" w:cs="Arial"/>
          <w:color w:val="000000"/>
          <w:sz w:val="32"/>
          <w:szCs w:val="32"/>
        </w:rPr>
      </w:pPr>
    </w:p>
    <w:p>
      <w:pPr>
        <w:pStyle w:val="4"/>
        <w:spacing w:line="360" w:lineRule="auto"/>
        <w:jc w:val="center"/>
        <w:rPr>
          <w:rStyle w:val="7"/>
          <w:rFonts w:ascii="仿宋_GB2312" w:hAnsi="ˎ̥" w:eastAsia="仿宋_GB2312" w:cs="Arial"/>
          <w:color w:val="000000"/>
          <w:sz w:val="32"/>
          <w:szCs w:val="32"/>
        </w:rPr>
      </w:pPr>
    </w:p>
    <w:p>
      <w:pPr>
        <w:pStyle w:val="4"/>
        <w:spacing w:line="360" w:lineRule="auto"/>
        <w:jc w:val="center"/>
        <w:rPr>
          <w:rStyle w:val="7"/>
          <w:rFonts w:ascii="仿宋_GB2312" w:hAnsi="ˎ̥" w:eastAsia="仿宋_GB2312" w:cs="Arial"/>
          <w:color w:val="000000"/>
          <w:sz w:val="32"/>
          <w:szCs w:val="32"/>
        </w:rPr>
      </w:pPr>
      <w:bookmarkStart w:id="0" w:name="_GoBack"/>
      <w:bookmarkEnd w:id="0"/>
    </w:p>
    <w:p>
      <w:pPr>
        <w:pStyle w:val="4"/>
        <w:spacing w:line="360" w:lineRule="auto"/>
        <w:jc w:val="center"/>
        <w:rPr>
          <w:rFonts w:hint="eastAsia" w:ascii="仿宋_GB2312" w:eastAsia="仿宋_GB2312" w:hAnsiTheme="minorEastAsia"/>
          <w:color w:val="000000"/>
          <w:sz w:val="32"/>
        </w:rPr>
      </w:pPr>
      <w:r>
        <w:rPr>
          <w:rStyle w:val="7"/>
          <w:rFonts w:hint="eastAsia" w:ascii="仿宋_GB2312" w:eastAsia="仿宋_GB2312" w:hAnsiTheme="minorEastAsia"/>
          <w:color w:val="000000"/>
          <w:sz w:val="32"/>
        </w:rPr>
        <w:t>第三部分</w:t>
      </w:r>
    </w:p>
    <w:p>
      <w:pPr>
        <w:pStyle w:val="4"/>
        <w:spacing w:line="360" w:lineRule="auto"/>
        <w:jc w:val="center"/>
        <w:rPr>
          <w:rFonts w:hint="eastAsia" w:ascii="仿宋_GB2312" w:eastAsia="仿宋_GB2312" w:hAnsiTheme="minorEastAsia"/>
          <w:color w:val="000000"/>
          <w:sz w:val="32"/>
        </w:rPr>
      </w:pPr>
      <w:r>
        <w:rPr>
          <w:rStyle w:val="7"/>
          <w:rFonts w:hint="eastAsia" w:ascii="仿宋_GB2312" w:eastAsia="仿宋_GB2312" w:hAnsiTheme="minorEastAsia"/>
          <w:color w:val="000000"/>
          <w:sz w:val="32"/>
        </w:rPr>
        <w:t>名词解释</w:t>
      </w:r>
    </w:p>
    <w:p>
      <w:pPr>
        <w:pStyle w:val="4"/>
        <w:spacing w:line="360" w:lineRule="auto"/>
        <w:rPr>
          <w:rFonts w:hint="eastAsia" w:ascii="仿宋_GB2312" w:eastAsia="仿宋_GB2312" w:hAnsiTheme="minorEastAsia"/>
          <w:color w:val="000000"/>
          <w:sz w:val="32"/>
        </w:rPr>
      </w:pPr>
      <w:r>
        <w:rPr>
          <w:rFonts w:hint="eastAsia" w:ascii="仿宋_GB2312" w:eastAsia="仿宋_GB2312" w:hAnsiTheme="minorEastAsia"/>
          <w:color w:val="000000"/>
          <w:sz w:val="32"/>
        </w:rPr>
        <w:t>　　一、财政拨款收入：是指省级财政当年拨付的资金。</w:t>
      </w:r>
    </w:p>
    <w:p>
      <w:pPr>
        <w:pStyle w:val="4"/>
        <w:spacing w:line="360" w:lineRule="auto"/>
        <w:rPr>
          <w:rFonts w:hint="eastAsia" w:ascii="仿宋_GB2312" w:eastAsia="仿宋_GB2312" w:hAnsiTheme="minorEastAsia"/>
          <w:color w:val="000000"/>
          <w:sz w:val="32"/>
        </w:rPr>
      </w:pPr>
      <w:r>
        <w:rPr>
          <w:rFonts w:hint="eastAsia" w:ascii="仿宋_GB2312" w:eastAsia="仿宋_GB2312" w:hAnsiTheme="minorEastAsia"/>
          <w:color w:val="000000"/>
          <w:sz w:val="32"/>
        </w:rPr>
        <w:t>　　二、事业收入：是指事业单位开展专业活动及辅助活动所取得的收入。</w:t>
      </w:r>
    </w:p>
    <w:p>
      <w:pPr>
        <w:pStyle w:val="4"/>
        <w:spacing w:line="360" w:lineRule="auto"/>
        <w:rPr>
          <w:rFonts w:hint="eastAsia" w:ascii="仿宋_GB2312" w:eastAsia="仿宋_GB2312" w:hAnsiTheme="minorEastAsia"/>
          <w:color w:val="000000"/>
          <w:sz w:val="32"/>
        </w:rPr>
      </w:pPr>
      <w:r>
        <w:rPr>
          <w:rFonts w:hint="eastAsia" w:ascii="仿宋_GB2312" w:eastAsia="仿宋_GB2312" w:hAnsiTheme="minorEastAsia"/>
          <w:color w:val="000000"/>
          <w:sz w:val="32"/>
        </w:rPr>
        <w:t>　　三、其他收入：是指部门取得的除“财政拨款”、“事业收入”、“事业单位经营收入”等以外的收入。</w:t>
      </w:r>
    </w:p>
    <w:p>
      <w:pPr>
        <w:pStyle w:val="4"/>
        <w:spacing w:line="360" w:lineRule="auto"/>
        <w:rPr>
          <w:rFonts w:hint="eastAsia" w:ascii="仿宋_GB2312" w:eastAsia="仿宋_GB2312" w:hAnsiTheme="minorEastAsia"/>
          <w:color w:val="000000"/>
          <w:sz w:val="32"/>
        </w:rPr>
      </w:pPr>
      <w:r>
        <w:rPr>
          <w:rFonts w:hint="eastAsia" w:ascii="仿宋_GB2312" w:eastAsia="仿宋_GB2312" w:hAnsiTheme="minorEastAsia"/>
          <w:color w:val="000000"/>
          <w:sz w:val="32"/>
        </w:rPr>
        <w:t>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4"/>
        <w:spacing w:line="360" w:lineRule="auto"/>
        <w:rPr>
          <w:rFonts w:hint="eastAsia" w:ascii="仿宋_GB2312" w:eastAsia="仿宋_GB2312" w:hAnsiTheme="minorEastAsia"/>
          <w:color w:val="000000"/>
          <w:sz w:val="32"/>
        </w:rPr>
      </w:pPr>
      <w:r>
        <w:rPr>
          <w:rFonts w:hint="eastAsia" w:ascii="仿宋_GB2312" w:eastAsia="仿宋_GB2312" w:hAnsiTheme="minorEastAsia"/>
          <w:color w:val="000000"/>
          <w:sz w:val="32"/>
        </w:rPr>
        <w:t>　　五、基本支出：是指为保障机构正常运转、完成日常工作任务所必需的开支，其内容包括人员经费和日常公用经费两部分。</w:t>
      </w:r>
    </w:p>
    <w:p>
      <w:pPr>
        <w:pStyle w:val="4"/>
        <w:spacing w:line="360" w:lineRule="auto"/>
        <w:rPr>
          <w:rFonts w:hint="eastAsia" w:ascii="仿宋_GB2312" w:eastAsia="仿宋_GB2312" w:hAnsiTheme="minorEastAsia"/>
          <w:color w:val="000000"/>
          <w:sz w:val="32"/>
        </w:rPr>
      </w:pPr>
      <w:r>
        <w:rPr>
          <w:rFonts w:hint="eastAsia" w:ascii="仿宋_GB2312" w:eastAsia="仿宋_GB2312" w:hAnsiTheme="minorEastAsia"/>
          <w:color w:val="000000"/>
          <w:sz w:val="32"/>
        </w:rPr>
        <w:t>　　六、项目支出：是指在基本支出之外，为完成特定的行政工作任务或事业发展目标所发生的支出。</w:t>
      </w:r>
    </w:p>
    <w:p>
      <w:pPr>
        <w:pStyle w:val="4"/>
        <w:spacing w:line="360" w:lineRule="auto"/>
        <w:rPr>
          <w:rFonts w:hint="eastAsia" w:ascii="仿宋_GB2312" w:eastAsia="仿宋_GB2312" w:hAnsiTheme="minorEastAsia"/>
          <w:color w:val="000000"/>
          <w:sz w:val="32"/>
        </w:rPr>
      </w:pPr>
      <w:r>
        <w:rPr>
          <w:rFonts w:hint="eastAsia" w:ascii="仿宋_GB2312" w:eastAsia="仿宋_GB2312" w:hAnsiTheme="minorEastAsia"/>
          <w:color w:val="000000"/>
          <w:sz w:val="32"/>
        </w:rPr>
        <w:t>　　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4"/>
        <w:spacing w:line="360" w:lineRule="auto"/>
        <w:rPr>
          <w:rFonts w:hint="eastAsia" w:ascii="仿宋_GB2312" w:eastAsia="仿宋_GB2312" w:hAnsiTheme="minorEastAsia"/>
          <w:color w:val="000000"/>
          <w:sz w:val="32"/>
        </w:rPr>
      </w:pPr>
      <w:r>
        <w:rPr>
          <w:rFonts w:hint="eastAsia" w:ascii="仿宋_GB2312" w:eastAsia="仿宋_GB2312" w:hAnsiTheme="minorEastAsia"/>
          <w:color w:val="000000"/>
          <w:sz w:val="32"/>
        </w:rPr>
        <w:t>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4"/>
        <w:spacing w:line="360" w:lineRule="auto"/>
        <w:rPr>
          <w:rStyle w:val="7"/>
          <w:rFonts w:hint="eastAsia" w:ascii="仿宋_GB2312" w:eastAsia="仿宋_GB2312" w:hAnsiTheme="minorEastAsia"/>
          <w:color w:val="000000"/>
          <w:sz w:val="32"/>
        </w:rPr>
      </w:pPr>
    </w:p>
    <w:p>
      <w:pPr>
        <w:pStyle w:val="4"/>
        <w:spacing w:line="360" w:lineRule="auto"/>
        <w:rPr>
          <w:rStyle w:val="7"/>
          <w:rFonts w:hint="eastAsia" w:ascii="仿宋_GB2312" w:eastAsia="仿宋_GB2312" w:hAnsiTheme="minorEastAsia"/>
          <w:color w:val="000000"/>
          <w:sz w:val="32"/>
        </w:rPr>
      </w:pPr>
    </w:p>
    <w:sectPr>
      <w:pgSz w:w="11906" w:h="16838"/>
      <w:pgMar w:top="1440" w:right="1700"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67971"/>
    <w:multiLevelType w:val="singleLevel"/>
    <w:tmpl w:val="56267971"/>
    <w:lvl w:ilvl="0" w:tentative="0">
      <w:start w:val="1"/>
      <w:numFmt w:val="chineseCounting"/>
      <w:suff w:val="nothing"/>
      <w:lvlText w:val="%1、"/>
      <w:lvlJc w:val="left"/>
      <w:rPr>
        <w:rFonts w:hint="eastAsia"/>
      </w:rPr>
    </w:lvl>
  </w:abstractNum>
  <w:abstractNum w:abstractNumId="1">
    <w:nsid w:val="6EE3596A"/>
    <w:multiLevelType w:val="multilevel"/>
    <w:tmpl w:val="6EE3596A"/>
    <w:lvl w:ilvl="0" w:tentative="0">
      <w:start w:val="1"/>
      <w:numFmt w:val="japaneseCounting"/>
      <w:lvlText w:val="（%1）"/>
      <w:lvlJc w:val="left"/>
      <w:pPr>
        <w:ind w:left="1716" w:hanging="1080"/>
      </w:pPr>
      <w:rPr>
        <w:rFonts w:hint="default" w:cs="仿宋_GB2312"/>
      </w:rPr>
    </w:lvl>
    <w:lvl w:ilvl="1" w:tentative="0">
      <w:start w:val="1"/>
      <w:numFmt w:val="lowerLetter"/>
      <w:lvlText w:val="%2)"/>
      <w:lvlJc w:val="left"/>
      <w:pPr>
        <w:ind w:left="1476" w:hanging="420"/>
      </w:pPr>
    </w:lvl>
    <w:lvl w:ilvl="2" w:tentative="0">
      <w:start w:val="1"/>
      <w:numFmt w:val="lowerRoman"/>
      <w:lvlText w:val="%3."/>
      <w:lvlJc w:val="right"/>
      <w:pPr>
        <w:ind w:left="1896" w:hanging="420"/>
      </w:pPr>
    </w:lvl>
    <w:lvl w:ilvl="3" w:tentative="0">
      <w:start w:val="1"/>
      <w:numFmt w:val="decimal"/>
      <w:lvlText w:val="%4."/>
      <w:lvlJc w:val="left"/>
      <w:pPr>
        <w:ind w:left="2316" w:hanging="420"/>
      </w:pPr>
    </w:lvl>
    <w:lvl w:ilvl="4" w:tentative="0">
      <w:start w:val="1"/>
      <w:numFmt w:val="lowerLetter"/>
      <w:lvlText w:val="%5)"/>
      <w:lvlJc w:val="left"/>
      <w:pPr>
        <w:ind w:left="2736" w:hanging="420"/>
      </w:pPr>
    </w:lvl>
    <w:lvl w:ilvl="5" w:tentative="0">
      <w:start w:val="1"/>
      <w:numFmt w:val="lowerRoman"/>
      <w:lvlText w:val="%6."/>
      <w:lvlJc w:val="right"/>
      <w:pPr>
        <w:ind w:left="3156" w:hanging="420"/>
      </w:pPr>
    </w:lvl>
    <w:lvl w:ilvl="6" w:tentative="0">
      <w:start w:val="1"/>
      <w:numFmt w:val="decimal"/>
      <w:lvlText w:val="%7."/>
      <w:lvlJc w:val="left"/>
      <w:pPr>
        <w:ind w:left="3576" w:hanging="420"/>
      </w:pPr>
    </w:lvl>
    <w:lvl w:ilvl="7" w:tentative="0">
      <w:start w:val="1"/>
      <w:numFmt w:val="lowerLetter"/>
      <w:lvlText w:val="%8)"/>
      <w:lvlJc w:val="left"/>
      <w:pPr>
        <w:ind w:left="3996" w:hanging="420"/>
      </w:pPr>
    </w:lvl>
    <w:lvl w:ilvl="8" w:tentative="0">
      <w:start w:val="1"/>
      <w:numFmt w:val="lowerRoman"/>
      <w:lvlText w:val="%9."/>
      <w:lvlJc w:val="right"/>
      <w:pPr>
        <w:ind w:left="44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Y2E1OWE5ZDExNWM1ZGI4NWI5NjA3NzhkOGM4YzAifQ=="/>
  </w:docVars>
  <w:rsids>
    <w:rsidRoot w:val="000E666A"/>
    <w:rsid w:val="000056FE"/>
    <w:rsid w:val="00006007"/>
    <w:rsid w:val="00007065"/>
    <w:rsid w:val="00007CC9"/>
    <w:rsid w:val="00015F07"/>
    <w:rsid w:val="00016ADC"/>
    <w:rsid w:val="00020A01"/>
    <w:rsid w:val="00020B71"/>
    <w:rsid w:val="000328AD"/>
    <w:rsid w:val="00035016"/>
    <w:rsid w:val="0003777B"/>
    <w:rsid w:val="00046D83"/>
    <w:rsid w:val="00052730"/>
    <w:rsid w:val="00052A03"/>
    <w:rsid w:val="00060437"/>
    <w:rsid w:val="0006520B"/>
    <w:rsid w:val="00065B9E"/>
    <w:rsid w:val="000667EE"/>
    <w:rsid w:val="00082A0D"/>
    <w:rsid w:val="000830E3"/>
    <w:rsid w:val="00092441"/>
    <w:rsid w:val="00092A2C"/>
    <w:rsid w:val="00093C9D"/>
    <w:rsid w:val="000A07A3"/>
    <w:rsid w:val="000A18BD"/>
    <w:rsid w:val="000A32F6"/>
    <w:rsid w:val="000A3662"/>
    <w:rsid w:val="000B2445"/>
    <w:rsid w:val="000C4CC2"/>
    <w:rsid w:val="000D025C"/>
    <w:rsid w:val="000E5387"/>
    <w:rsid w:val="000E666A"/>
    <w:rsid w:val="000E6F0D"/>
    <w:rsid w:val="000F0D3B"/>
    <w:rsid w:val="001003CC"/>
    <w:rsid w:val="001030F5"/>
    <w:rsid w:val="0010654C"/>
    <w:rsid w:val="00120162"/>
    <w:rsid w:val="0012518F"/>
    <w:rsid w:val="001264BC"/>
    <w:rsid w:val="001269AB"/>
    <w:rsid w:val="001316FD"/>
    <w:rsid w:val="001436AF"/>
    <w:rsid w:val="0014394F"/>
    <w:rsid w:val="00145E1A"/>
    <w:rsid w:val="00147BEE"/>
    <w:rsid w:val="0016268A"/>
    <w:rsid w:val="00166082"/>
    <w:rsid w:val="00176038"/>
    <w:rsid w:val="00177B9B"/>
    <w:rsid w:val="001847F6"/>
    <w:rsid w:val="00196982"/>
    <w:rsid w:val="001A0485"/>
    <w:rsid w:val="001A359C"/>
    <w:rsid w:val="001A45D6"/>
    <w:rsid w:val="001A584E"/>
    <w:rsid w:val="001B7D93"/>
    <w:rsid w:val="001C7E81"/>
    <w:rsid w:val="001F24BC"/>
    <w:rsid w:val="001F5F56"/>
    <w:rsid w:val="001F64E1"/>
    <w:rsid w:val="001F657E"/>
    <w:rsid w:val="00202770"/>
    <w:rsid w:val="00204E18"/>
    <w:rsid w:val="00204F67"/>
    <w:rsid w:val="0021471A"/>
    <w:rsid w:val="002155E6"/>
    <w:rsid w:val="002160FE"/>
    <w:rsid w:val="002213D7"/>
    <w:rsid w:val="00230456"/>
    <w:rsid w:val="00240F80"/>
    <w:rsid w:val="00242997"/>
    <w:rsid w:val="00251DE8"/>
    <w:rsid w:val="00254A2A"/>
    <w:rsid w:val="002601F3"/>
    <w:rsid w:val="00267739"/>
    <w:rsid w:val="002854F7"/>
    <w:rsid w:val="002867D6"/>
    <w:rsid w:val="0029236C"/>
    <w:rsid w:val="002B612E"/>
    <w:rsid w:val="002B7F7A"/>
    <w:rsid w:val="002C14D9"/>
    <w:rsid w:val="002E0122"/>
    <w:rsid w:val="002E27DE"/>
    <w:rsid w:val="002E3628"/>
    <w:rsid w:val="002E5C55"/>
    <w:rsid w:val="002E5EBE"/>
    <w:rsid w:val="002F1A34"/>
    <w:rsid w:val="002F6CC2"/>
    <w:rsid w:val="00317D84"/>
    <w:rsid w:val="0032045B"/>
    <w:rsid w:val="00320FEA"/>
    <w:rsid w:val="00322C06"/>
    <w:rsid w:val="00327A9A"/>
    <w:rsid w:val="00327ADF"/>
    <w:rsid w:val="0034481A"/>
    <w:rsid w:val="00352AD6"/>
    <w:rsid w:val="00354588"/>
    <w:rsid w:val="00356056"/>
    <w:rsid w:val="00360B9D"/>
    <w:rsid w:val="003615E5"/>
    <w:rsid w:val="0036503D"/>
    <w:rsid w:val="00374335"/>
    <w:rsid w:val="003761B9"/>
    <w:rsid w:val="003844DF"/>
    <w:rsid w:val="003B6DF2"/>
    <w:rsid w:val="003C5AF1"/>
    <w:rsid w:val="003C5F81"/>
    <w:rsid w:val="003D5305"/>
    <w:rsid w:val="003E0F53"/>
    <w:rsid w:val="003E4F75"/>
    <w:rsid w:val="003F044F"/>
    <w:rsid w:val="00400480"/>
    <w:rsid w:val="00400EC6"/>
    <w:rsid w:val="004078CB"/>
    <w:rsid w:val="004119E0"/>
    <w:rsid w:val="00414D58"/>
    <w:rsid w:val="00415483"/>
    <w:rsid w:val="00423E21"/>
    <w:rsid w:val="00424DB3"/>
    <w:rsid w:val="00425DE7"/>
    <w:rsid w:val="0042656D"/>
    <w:rsid w:val="00431810"/>
    <w:rsid w:val="0045307E"/>
    <w:rsid w:val="004566F7"/>
    <w:rsid w:val="00460D67"/>
    <w:rsid w:val="0046532A"/>
    <w:rsid w:val="00470B16"/>
    <w:rsid w:val="00470E9E"/>
    <w:rsid w:val="004738EF"/>
    <w:rsid w:val="00477172"/>
    <w:rsid w:val="004774BB"/>
    <w:rsid w:val="004842B6"/>
    <w:rsid w:val="004842D5"/>
    <w:rsid w:val="004860B8"/>
    <w:rsid w:val="00495849"/>
    <w:rsid w:val="004A2735"/>
    <w:rsid w:val="004A4973"/>
    <w:rsid w:val="004B1080"/>
    <w:rsid w:val="004B36A7"/>
    <w:rsid w:val="004C0B6C"/>
    <w:rsid w:val="004C3AD6"/>
    <w:rsid w:val="004C7BA0"/>
    <w:rsid w:val="004D069E"/>
    <w:rsid w:val="004D0CCC"/>
    <w:rsid w:val="004E29A1"/>
    <w:rsid w:val="004F460E"/>
    <w:rsid w:val="004F6A76"/>
    <w:rsid w:val="00504D4A"/>
    <w:rsid w:val="005065AB"/>
    <w:rsid w:val="00514F28"/>
    <w:rsid w:val="005271CC"/>
    <w:rsid w:val="005305D6"/>
    <w:rsid w:val="00530C66"/>
    <w:rsid w:val="00534EEF"/>
    <w:rsid w:val="00537FBB"/>
    <w:rsid w:val="00540B6A"/>
    <w:rsid w:val="00542462"/>
    <w:rsid w:val="005433FC"/>
    <w:rsid w:val="00551DFE"/>
    <w:rsid w:val="00554BEE"/>
    <w:rsid w:val="00556BE7"/>
    <w:rsid w:val="00571108"/>
    <w:rsid w:val="0057457C"/>
    <w:rsid w:val="00575177"/>
    <w:rsid w:val="005753FA"/>
    <w:rsid w:val="00583C97"/>
    <w:rsid w:val="00591111"/>
    <w:rsid w:val="00591B0C"/>
    <w:rsid w:val="005924A8"/>
    <w:rsid w:val="005A7520"/>
    <w:rsid w:val="005B09E4"/>
    <w:rsid w:val="005B4803"/>
    <w:rsid w:val="005B7D64"/>
    <w:rsid w:val="005C6D7D"/>
    <w:rsid w:val="005E5E78"/>
    <w:rsid w:val="005E6CB4"/>
    <w:rsid w:val="005F0E25"/>
    <w:rsid w:val="005F36D1"/>
    <w:rsid w:val="00600AAF"/>
    <w:rsid w:val="006059F4"/>
    <w:rsid w:val="00616596"/>
    <w:rsid w:val="00616688"/>
    <w:rsid w:val="00633D1D"/>
    <w:rsid w:val="00635EA1"/>
    <w:rsid w:val="00641E96"/>
    <w:rsid w:val="00643973"/>
    <w:rsid w:val="00646934"/>
    <w:rsid w:val="006519C1"/>
    <w:rsid w:val="006533BE"/>
    <w:rsid w:val="00655CED"/>
    <w:rsid w:val="00655F9F"/>
    <w:rsid w:val="00660094"/>
    <w:rsid w:val="0066274D"/>
    <w:rsid w:val="0066604F"/>
    <w:rsid w:val="00682151"/>
    <w:rsid w:val="006877F1"/>
    <w:rsid w:val="00691130"/>
    <w:rsid w:val="00691306"/>
    <w:rsid w:val="006933B5"/>
    <w:rsid w:val="006A1C28"/>
    <w:rsid w:val="006A2177"/>
    <w:rsid w:val="006B104A"/>
    <w:rsid w:val="006B23FE"/>
    <w:rsid w:val="006B2AF0"/>
    <w:rsid w:val="006B4121"/>
    <w:rsid w:val="006C3AA5"/>
    <w:rsid w:val="006C4B05"/>
    <w:rsid w:val="006C6A3D"/>
    <w:rsid w:val="006C6E8C"/>
    <w:rsid w:val="006D03CD"/>
    <w:rsid w:val="006D0C95"/>
    <w:rsid w:val="006D163E"/>
    <w:rsid w:val="006D36CC"/>
    <w:rsid w:val="006F7ED2"/>
    <w:rsid w:val="00705E29"/>
    <w:rsid w:val="007131C3"/>
    <w:rsid w:val="007267F5"/>
    <w:rsid w:val="00734483"/>
    <w:rsid w:val="00742C70"/>
    <w:rsid w:val="00746A57"/>
    <w:rsid w:val="00754A11"/>
    <w:rsid w:val="00755784"/>
    <w:rsid w:val="00761022"/>
    <w:rsid w:val="007644EC"/>
    <w:rsid w:val="00787607"/>
    <w:rsid w:val="007B748B"/>
    <w:rsid w:val="007C5790"/>
    <w:rsid w:val="007C6035"/>
    <w:rsid w:val="007D582B"/>
    <w:rsid w:val="007F0C11"/>
    <w:rsid w:val="008035D5"/>
    <w:rsid w:val="00803E72"/>
    <w:rsid w:val="00804204"/>
    <w:rsid w:val="00811491"/>
    <w:rsid w:val="00813D8B"/>
    <w:rsid w:val="00813ECE"/>
    <w:rsid w:val="00815377"/>
    <w:rsid w:val="00817547"/>
    <w:rsid w:val="00820B2F"/>
    <w:rsid w:val="00823A89"/>
    <w:rsid w:val="00827977"/>
    <w:rsid w:val="00833376"/>
    <w:rsid w:val="008336B4"/>
    <w:rsid w:val="00836BB8"/>
    <w:rsid w:val="008413E1"/>
    <w:rsid w:val="00850003"/>
    <w:rsid w:val="00850526"/>
    <w:rsid w:val="0085785F"/>
    <w:rsid w:val="00862ACE"/>
    <w:rsid w:val="0086619C"/>
    <w:rsid w:val="008662DA"/>
    <w:rsid w:val="00871827"/>
    <w:rsid w:val="00872A52"/>
    <w:rsid w:val="00872B13"/>
    <w:rsid w:val="00876F50"/>
    <w:rsid w:val="00880C02"/>
    <w:rsid w:val="008831B0"/>
    <w:rsid w:val="008852A0"/>
    <w:rsid w:val="008854C3"/>
    <w:rsid w:val="008A07E9"/>
    <w:rsid w:val="008A6827"/>
    <w:rsid w:val="008B1E1C"/>
    <w:rsid w:val="008B22A2"/>
    <w:rsid w:val="008B29FF"/>
    <w:rsid w:val="008C1726"/>
    <w:rsid w:val="008C5433"/>
    <w:rsid w:val="008D6BFC"/>
    <w:rsid w:val="008D73FF"/>
    <w:rsid w:val="008F0E48"/>
    <w:rsid w:val="009011C6"/>
    <w:rsid w:val="0090127A"/>
    <w:rsid w:val="00903AC2"/>
    <w:rsid w:val="00903B03"/>
    <w:rsid w:val="009053A0"/>
    <w:rsid w:val="00907F29"/>
    <w:rsid w:val="00923715"/>
    <w:rsid w:val="00926C5B"/>
    <w:rsid w:val="00930530"/>
    <w:rsid w:val="00932EE9"/>
    <w:rsid w:val="009330B6"/>
    <w:rsid w:val="009333CD"/>
    <w:rsid w:val="00942EB9"/>
    <w:rsid w:val="0094580F"/>
    <w:rsid w:val="00947589"/>
    <w:rsid w:val="00965DD7"/>
    <w:rsid w:val="009700F9"/>
    <w:rsid w:val="00972A21"/>
    <w:rsid w:val="009819AA"/>
    <w:rsid w:val="00984BB7"/>
    <w:rsid w:val="0099008B"/>
    <w:rsid w:val="00997ABD"/>
    <w:rsid w:val="009A311C"/>
    <w:rsid w:val="009B779E"/>
    <w:rsid w:val="009C5886"/>
    <w:rsid w:val="009C77A5"/>
    <w:rsid w:val="009C79D8"/>
    <w:rsid w:val="009D06CC"/>
    <w:rsid w:val="009D1145"/>
    <w:rsid w:val="009D6176"/>
    <w:rsid w:val="009E3704"/>
    <w:rsid w:val="009F5003"/>
    <w:rsid w:val="00A06622"/>
    <w:rsid w:val="00A1151C"/>
    <w:rsid w:val="00A1196B"/>
    <w:rsid w:val="00A2124E"/>
    <w:rsid w:val="00A23BB0"/>
    <w:rsid w:val="00A354EC"/>
    <w:rsid w:val="00A373A8"/>
    <w:rsid w:val="00A52BBA"/>
    <w:rsid w:val="00A702F0"/>
    <w:rsid w:val="00A7082F"/>
    <w:rsid w:val="00A736F1"/>
    <w:rsid w:val="00A75823"/>
    <w:rsid w:val="00A8214B"/>
    <w:rsid w:val="00AA4E11"/>
    <w:rsid w:val="00AB18CB"/>
    <w:rsid w:val="00AB2328"/>
    <w:rsid w:val="00AC4FB0"/>
    <w:rsid w:val="00AC5410"/>
    <w:rsid w:val="00AD7D1A"/>
    <w:rsid w:val="00AE3ED8"/>
    <w:rsid w:val="00AF0A0E"/>
    <w:rsid w:val="00AF6E81"/>
    <w:rsid w:val="00B01857"/>
    <w:rsid w:val="00B1453C"/>
    <w:rsid w:val="00B31DB5"/>
    <w:rsid w:val="00B377C4"/>
    <w:rsid w:val="00B40914"/>
    <w:rsid w:val="00B40F74"/>
    <w:rsid w:val="00B41E3A"/>
    <w:rsid w:val="00B43E66"/>
    <w:rsid w:val="00B50AE6"/>
    <w:rsid w:val="00B63D4E"/>
    <w:rsid w:val="00B65C21"/>
    <w:rsid w:val="00B665C0"/>
    <w:rsid w:val="00B6705E"/>
    <w:rsid w:val="00B83046"/>
    <w:rsid w:val="00B83D04"/>
    <w:rsid w:val="00B852FC"/>
    <w:rsid w:val="00B92341"/>
    <w:rsid w:val="00B9268E"/>
    <w:rsid w:val="00B932C7"/>
    <w:rsid w:val="00B95788"/>
    <w:rsid w:val="00BA1CDC"/>
    <w:rsid w:val="00BA38DA"/>
    <w:rsid w:val="00BA5E9A"/>
    <w:rsid w:val="00BB59DB"/>
    <w:rsid w:val="00BC54F5"/>
    <w:rsid w:val="00BD1D34"/>
    <w:rsid w:val="00BE4D35"/>
    <w:rsid w:val="00BF0F52"/>
    <w:rsid w:val="00C0162B"/>
    <w:rsid w:val="00C03348"/>
    <w:rsid w:val="00C17E7A"/>
    <w:rsid w:val="00C21E04"/>
    <w:rsid w:val="00C23175"/>
    <w:rsid w:val="00C23F9E"/>
    <w:rsid w:val="00C34B73"/>
    <w:rsid w:val="00C40961"/>
    <w:rsid w:val="00C4757E"/>
    <w:rsid w:val="00C562AA"/>
    <w:rsid w:val="00C63E2B"/>
    <w:rsid w:val="00C65DCF"/>
    <w:rsid w:val="00C65E72"/>
    <w:rsid w:val="00C66F39"/>
    <w:rsid w:val="00C70F12"/>
    <w:rsid w:val="00C738E2"/>
    <w:rsid w:val="00C934AF"/>
    <w:rsid w:val="00CA314A"/>
    <w:rsid w:val="00CA52F8"/>
    <w:rsid w:val="00CB508D"/>
    <w:rsid w:val="00CC4BF6"/>
    <w:rsid w:val="00CC793C"/>
    <w:rsid w:val="00CE7B09"/>
    <w:rsid w:val="00CF1ABE"/>
    <w:rsid w:val="00CF458F"/>
    <w:rsid w:val="00D04BF4"/>
    <w:rsid w:val="00D20C01"/>
    <w:rsid w:val="00D21C47"/>
    <w:rsid w:val="00D2537C"/>
    <w:rsid w:val="00D26956"/>
    <w:rsid w:val="00D26DC2"/>
    <w:rsid w:val="00D31C67"/>
    <w:rsid w:val="00D527ED"/>
    <w:rsid w:val="00D561EE"/>
    <w:rsid w:val="00D6131D"/>
    <w:rsid w:val="00D6158D"/>
    <w:rsid w:val="00D7195F"/>
    <w:rsid w:val="00D74BA4"/>
    <w:rsid w:val="00D8525D"/>
    <w:rsid w:val="00D92623"/>
    <w:rsid w:val="00D93A37"/>
    <w:rsid w:val="00DB673A"/>
    <w:rsid w:val="00DD6034"/>
    <w:rsid w:val="00DD6466"/>
    <w:rsid w:val="00DE3EDA"/>
    <w:rsid w:val="00DE6A63"/>
    <w:rsid w:val="00DF19C8"/>
    <w:rsid w:val="00E04054"/>
    <w:rsid w:val="00E11D47"/>
    <w:rsid w:val="00E1289B"/>
    <w:rsid w:val="00E2542E"/>
    <w:rsid w:val="00E4080C"/>
    <w:rsid w:val="00E43ED0"/>
    <w:rsid w:val="00E53595"/>
    <w:rsid w:val="00E549CB"/>
    <w:rsid w:val="00E64D00"/>
    <w:rsid w:val="00E71AE5"/>
    <w:rsid w:val="00E85C1B"/>
    <w:rsid w:val="00E941A6"/>
    <w:rsid w:val="00E94DC7"/>
    <w:rsid w:val="00EB05F1"/>
    <w:rsid w:val="00EB6F57"/>
    <w:rsid w:val="00EC018A"/>
    <w:rsid w:val="00EC0F25"/>
    <w:rsid w:val="00ED7886"/>
    <w:rsid w:val="00EE05C3"/>
    <w:rsid w:val="00EE59D1"/>
    <w:rsid w:val="00EF0A0B"/>
    <w:rsid w:val="00EF311C"/>
    <w:rsid w:val="00F01287"/>
    <w:rsid w:val="00F1140B"/>
    <w:rsid w:val="00F1283B"/>
    <w:rsid w:val="00F25745"/>
    <w:rsid w:val="00F33362"/>
    <w:rsid w:val="00F34E65"/>
    <w:rsid w:val="00F44EC4"/>
    <w:rsid w:val="00F506ED"/>
    <w:rsid w:val="00F53D8E"/>
    <w:rsid w:val="00F63CE3"/>
    <w:rsid w:val="00F903AD"/>
    <w:rsid w:val="00F93BB7"/>
    <w:rsid w:val="00F955DA"/>
    <w:rsid w:val="00F96393"/>
    <w:rsid w:val="00FB1000"/>
    <w:rsid w:val="00FB334A"/>
    <w:rsid w:val="00FB4F52"/>
    <w:rsid w:val="00FB698F"/>
    <w:rsid w:val="00FC238F"/>
    <w:rsid w:val="00FD05B8"/>
    <w:rsid w:val="00FD493D"/>
    <w:rsid w:val="00FE0BED"/>
    <w:rsid w:val="00FE0EB5"/>
    <w:rsid w:val="00FE21B8"/>
    <w:rsid w:val="00FE3A2E"/>
    <w:rsid w:val="00FE5B62"/>
    <w:rsid w:val="00FE62B1"/>
    <w:rsid w:val="00FE6833"/>
    <w:rsid w:val="00FE7E98"/>
    <w:rsid w:val="00FF37A9"/>
    <w:rsid w:val="00FF613C"/>
    <w:rsid w:val="00FF684C"/>
    <w:rsid w:val="088866CE"/>
    <w:rsid w:val="0CB97A0B"/>
    <w:rsid w:val="15D26B76"/>
    <w:rsid w:val="15E1385E"/>
    <w:rsid w:val="18C22D5B"/>
    <w:rsid w:val="1D845497"/>
    <w:rsid w:val="1DBF4894"/>
    <w:rsid w:val="1F381FF0"/>
    <w:rsid w:val="24165568"/>
    <w:rsid w:val="252D061F"/>
    <w:rsid w:val="27434194"/>
    <w:rsid w:val="27C2316D"/>
    <w:rsid w:val="35831E3A"/>
    <w:rsid w:val="35D732AD"/>
    <w:rsid w:val="40FA31CC"/>
    <w:rsid w:val="44913E48"/>
    <w:rsid w:val="47C85BB9"/>
    <w:rsid w:val="516631F6"/>
    <w:rsid w:val="53E121E6"/>
    <w:rsid w:val="54553489"/>
    <w:rsid w:val="55F5441B"/>
    <w:rsid w:val="566719F6"/>
    <w:rsid w:val="63940F3A"/>
    <w:rsid w:val="661D06B3"/>
    <w:rsid w:val="677F6786"/>
    <w:rsid w:val="68991302"/>
    <w:rsid w:val="6C4E249B"/>
    <w:rsid w:val="6FC713CD"/>
    <w:rsid w:val="706525F9"/>
    <w:rsid w:val="707D334E"/>
    <w:rsid w:val="7EE879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character" w:styleId="8">
    <w:name w:val="page number"/>
    <w:basedOn w:val="6"/>
    <w:qFormat/>
    <w:uiPriority w:val="0"/>
  </w:style>
  <w:style w:type="character" w:customStyle="1" w:styleId="9">
    <w:name w:val="页眉 Char"/>
    <w:basedOn w:val="6"/>
    <w:link w:val="3"/>
    <w:qFormat/>
    <w:uiPriority w:val="0"/>
    <w:rPr>
      <w:rFonts w:ascii="Calibri" w:hAnsi="Calibri"/>
      <w:kern w:val="2"/>
      <w:sz w:val="18"/>
      <w:szCs w:val="18"/>
    </w:rPr>
  </w:style>
  <w:style w:type="character" w:customStyle="1" w:styleId="10">
    <w:name w:val="页脚 Char"/>
    <w:basedOn w:val="6"/>
    <w:link w:val="2"/>
    <w:qFormat/>
    <w:uiPriority w:val="0"/>
    <w:rPr>
      <w:rFonts w:ascii="Calibri" w:hAnsi="Calibri"/>
      <w:kern w:val="2"/>
      <w:sz w:val="18"/>
      <w:szCs w:val="18"/>
    </w:rPr>
  </w:style>
  <w:style w:type="paragraph" w:styleId="11">
    <w:name w:val="List Paragraph"/>
    <w:basedOn w:val="1"/>
    <w:qFormat/>
    <w:uiPriority w:val="34"/>
    <w:pPr>
      <w:ind w:firstLine="420" w:firstLineChars="200"/>
    </w:pPr>
  </w:style>
  <w:style w:type="character" w:customStyle="1" w:styleId="12">
    <w:name w:val="font5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B02192-7A74-4C16-BB29-527113AFE49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4130</Words>
  <Characters>4319</Characters>
  <Lines>34</Lines>
  <Paragraphs>9</Paragraphs>
  <TotalTime>5</TotalTime>
  <ScaleCrop>false</ScaleCrop>
  <LinksUpToDate>false</LinksUpToDate>
  <CharactersWithSpaces>4367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2018-05-21T01:52:00Z</dcterms:created>
  <dc:creator>谢斐</dc:creator>
  <cp:lastModifiedBy>付小倩</cp:lastModifiedBy>
  <cp:lastPrinted>2019-09-02T01:54:00Z</cp:lastPrinted>
  <dcterms:modified xsi:type="dcterms:W3CDTF">2023-04-28T08:45:13Z</dcterms:modified>
  <dc:title>2017年度省级部门预算公开参考格式</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3489BFD16BF64B9A89907F3AD40A92B7</vt:lpwstr>
  </property>
</Properties>
</file>