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r>
        <w:rPr>
          <w:rFonts w:hint="eastAsia" w:ascii="新宋体" w:hAnsi="新宋体" w:eastAsia="新宋体" w:cs="宋体"/>
          <w:b/>
          <w:bCs/>
          <w:kern w:val="0"/>
          <w:sz w:val="44"/>
          <w:szCs w:val="44"/>
          <w:lang w:val="en-US" w:eastAsia="zh-CN" w:bidi="ar-SA"/>
        </w:rPr>
        <w:t>信阳市平桥区城市管理局</w:t>
      </w:r>
    </w:p>
    <w:p>
      <w:pPr>
        <w:pStyle w:val="4"/>
        <w:spacing w:line="360" w:lineRule="auto"/>
        <w:jc w:val="center"/>
        <w:rPr>
          <w:rFonts w:hint="eastAsia" w:ascii="新宋体" w:hAnsi="新宋体" w:eastAsia="新宋体" w:cs="宋体"/>
          <w:b/>
          <w:bCs/>
          <w:kern w:val="0"/>
          <w:sz w:val="44"/>
          <w:szCs w:val="44"/>
          <w:lang w:val="en-US" w:eastAsia="zh-CN" w:bidi="ar-SA"/>
        </w:rPr>
      </w:pPr>
      <w:r>
        <w:rPr>
          <w:rFonts w:hint="eastAsia" w:ascii="新宋体" w:hAnsi="新宋体" w:eastAsia="新宋体" w:cs="宋体"/>
          <w:b/>
          <w:bCs/>
          <w:kern w:val="0"/>
          <w:sz w:val="44"/>
          <w:szCs w:val="44"/>
          <w:lang w:val="en-US" w:eastAsia="zh-CN" w:bidi="ar-SA"/>
        </w:rPr>
        <w:t>2022年单位预算</w:t>
      </w: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　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lang w:eastAsia="zh-CN"/>
        </w:rPr>
        <w:t>信阳市平桥区城市管理局单位</w:t>
      </w:r>
      <w:r>
        <w:rPr>
          <w:rFonts w:ascii="黑体" w:hAnsi="黑体" w:eastAsia="黑体" w:cs="宋体"/>
          <w:bCs/>
          <w:kern w:val="0"/>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w:t>
      </w:r>
      <w:r>
        <w:rPr>
          <w:rFonts w:hint="eastAsia" w:ascii="仿宋" w:hAnsi="仿宋" w:eastAsia="仿宋" w:cs="Arial"/>
          <w:color w:val="313131"/>
          <w:kern w:val="0"/>
          <w:sz w:val="32"/>
          <w:szCs w:val="32"/>
          <w:lang w:eastAsia="zh-CN"/>
        </w:rPr>
        <w:t>单位</w:t>
      </w:r>
      <w:r>
        <w:rPr>
          <w:rFonts w:hint="eastAsia" w:ascii="仿宋" w:hAnsi="仿宋" w:eastAsia="仿宋" w:cs="Arial"/>
          <w:color w:val="313131"/>
          <w:kern w:val="0"/>
          <w:sz w:val="32"/>
          <w:szCs w:val="32"/>
        </w:rPr>
        <w:t>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lang w:eastAsia="zh-CN"/>
        </w:rPr>
        <w:t>信阳市平桥区城市管理局单位2022年度单位</w:t>
      </w:r>
      <w:r>
        <w:rPr>
          <w:rFonts w:ascii="黑体" w:hAnsi="黑体" w:eastAsia="黑体" w:cs="宋体"/>
          <w:bCs/>
          <w:kern w:val="0"/>
          <w:sz w:val="32"/>
          <w:szCs w:val="32"/>
        </w:rPr>
        <w:t>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lang w:eastAsia="zh-CN"/>
        </w:rPr>
        <w:t>信阳市平桥区城市管理局单位2022年度单位</w:t>
      </w:r>
      <w:r>
        <w:rPr>
          <w:rFonts w:ascii="黑体" w:hAnsi="黑体" w:eastAsia="黑体" w:cs="宋体"/>
          <w:bCs/>
          <w:kern w:val="0"/>
          <w:sz w:val="32"/>
          <w:szCs w:val="32"/>
        </w:rPr>
        <w:t>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w:t>
      </w:r>
      <w:r>
        <w:rPr>
          <w:rFonts w:hint="eastAsia" w:ascii="仿宋" w:hAnsi="仿宋" w:eastAsia="仿宋" w:cs="宋体"/>
          <w:kern w:val="0"/>
          <w:sz w:val="32"/>
          <w:szCs w:val="32"/>
          <w:lang w:eastAsia="zh-CN"/>
        </w:rPr>
        <w:t>单位</w:t>
      </w:r>
      <w:r>
        <w:rPr>
          <w:rFonts w:ascii="仿宋" w:hAnsi="仿宋" w:eastAsia="仿宋" w:cs="宋体"/>
          <w:kern w:val="0"/>
          <w:sz w:val="32"/>
          <w:szCs w:val="32"/>
        </w:rPr>
        <w:t>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w:t>
      </w:r>
      <w:r>
        <w:rPr>
          <w:rFonts w:hint="eastAsia" w:ascii="仿宋" w:hAnsi="仿宋" w:eastAsia="仿宋" w:cs="宋体"/>
          <w:kern w:val="0"/>
          <w:sz w:val="32"/>
          <w:szCs w:val="32"/>
          <w:lang w:eastAsia="zh-CN"/>
        </w:rPr>
        <w:t>单位</w:t>
      </w:r>
      <w:r>
        <w:rPr>
          <w:rFonts w:ascii="仿宋" w:hAnsi="仿宋" w:eastAsia="仿宋" w:cs="宋体"/>
          <w:kern w:val="0"/>
          <w:sz w:val="32"/>
          <w:szCs w:val="32"/>
        </w:rPr>
        <w:t>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w:t>
      </w:r>
      <w:r>
        <w:rPr>
          <w:rFonts w:hint="eastAsia" w:ascii="仿宋" w:hAnsi="仿宋" w:eastAsia="仿宋" w:cs="宋体"/>
          <w:kern w:val="0"/>
          <w:sz w:val="32"/>
          <w:szCs w:val="32"/>
          <w:lang w:eastAsia="zh-CN"/>
        </w:rPr>
        <w:t>单位</w:t>
      </w:r>
      <w:r>
        <w:rPr>
          <w:rFonts w:ascii="仿宋" w:hAnsi="仿宋" w:eastAsia="仿宋" w:cs="宋体"/>
          <w:kern w:val="0"/>
          <w:sz w:val="32"/>
          <w:szCs w:val="32"/>
        </w:rPr>
        <w:t>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、财政支出绩效目标表</w:t>
      </w:r>
    </w:p>
    <w:p>
      <w:pPr>
        <w:pStyle w:val="4"/>
        <w:spacing w:line="360" w:lineRule="auto"/>
        <w:rPr>
          <w:rFonts w:ascii="ˎ̥" w:hAnsi="ˎ̥"/>
          <w:color w:val="000000"/>
        </w:rPr>
      </w:pPr>
    </w:p>
    <w:p>
      <w:pPr>
        <w:pStyle w:val="4"/>
        <w:spacing w:line="360" w:lineRule="auto"/>
        <w:jc w:val="center"/>
        <w:rPr>
          <w:rFonts w:ascii="ˎ̥" w:hAnsi="ˎ̥"/>
          <w:color w:val="000000"/>
          <w:sz w:val="32"/>
          <w:szCs w:val="32"/>
        </w:rPr>
      </w:pPr>
      <w:r>
        <w:rPr>
          <w:rFonts w:ascii="ˎ̥" w:hAnsi="ˎ̥"/>
          <w:color w:val="000000"/>
          <w:sz w:val="32"/>
          <w:szCs w:val="32"/>
        </w:rPr>
        <w:t>　</w:t>
      </w:r>
      <w:r>
        <w:rPr>
          <w:rStyle w:val="7"/>
          <w:rFonts w:ascii="ˎ̥" w:hAnsi="ˎ̥"/>
          <w:color w:val="000000"/>
          <w:sz w:val="32"/>
          <w:szCs w:val="32"/>
        </w:rPr>
        <w:t>　第一部分</w:t>
      </w:r>
    </w:p>
    <w:p>
      <w:pPr>
        <w:pStyle w:val="4"/>
        <w:spacing w:line="360" w:lineRule="auto"/>
        <w:jc w:val="center"/>
        <w:rPr>
          <w:rFonts w:ascii="ˎ̥" w:hAnsi="ˎ̥"/>
          <w:color w:val="000000"/>
          <w:sz w:val="32"/>
          <w:szCs w:val="32"/>
        </w:rPr>
      </w:pPr>
      <w:r>
        <w:rPr>
          <w:rStyle w:val="7"/>
          <w:rFonts w:ascii="ˎ̥" w:hAnsi="ˎ̥"/>
          <w:color w:val="000000"/>
          <w:sz w:val="32"/>
          <w:szCs w:val="32"/>
        </w:rPr>
        <w:t>　　</w:t>
      </w:r>
      <w:r>
        <w:rPr>
          <w:rStyle w:val="7"/>
          <w:rFonts w:hint="eastAsia" w:ascii="ˎ̥" w:hAnsi="ˎ̥"/>
          <w:color w:val="000000"/>
          <w:sz w:val="32"/>
          <w:szCs w:val="32"/>
        </w:rPr>
        <w:t>平桥区城市管理局</w:t>
      </w:r>
      <w:r>
        <w:rPr>
          <w:rStyle w:val="7"/>
          <w:rFonts w:ascii="ˎ̥" w:hAnsi="ˎ̥"/>
          <w:color w:val="000000"/>
          <w:sz w:val="32"/>
          <w:szCs w:val="32"/>
        </w:rPr>
        <w:t>概况</w:t>
      </w:r>
    </w:p>
    <w:p>
      <w:pPr>
        <w:pStyle w:val="4"/>
        <w:spacing w:line="360" w:lineRule="auto"/>
        <w:rPr>
          <w:rStyle w:val="7"/>
          <w:rFonts w:asciiTheme="minorEastAsia" w:hAnsiTheme="minorEastAsia" w:eastAsiaTheme="minorEastAsia"/>
          <w:b/>
          <w:bCs w:val="0"/>
          <w:color w:val="000000"/>
          <w:sz w:val="30"/>
          <w:szCs w:val="30"/>
        </w:rPr>
      </w:pPr>
      <w:r>
        <w:rPr>
          <w:rStyle w:val="7"/>
          <w:rFonts w:hint="eastAsia" w:asciiTheme="minorEastAsia" w:hAnsiTheme="minorEastAsia" w:eastAsiaTheme="minorEastAsia"/>
          <w:b/>
          <w:bCs w:val="0"/>
          <w:color w:val="000000"/>
          <w:sz w:val="30"/>
          <w:szCs w:val="30"/>
          <w:lang w:val="en-US" w:eastAsia="zh-CN"/>
        </w:rPr>
        <w:t>一</w:t>
      </w:r>
      <w:r>
        <w:rPr>
          <w:rStyle w:val="7"/>
          <w:rFonts w:hint="eastAsia" w:asciiTheme="minorEastAsia" w:hAnsiTheme="minorEastAsia" w:eastAsiaTheme="minorEastAsia"/>
          <w:b/>
          <w:bCs w:val="0"/>
          <w:color w:val="000000"/>
          <w:sz w:val="30"/>
          <w:szCs w:val="30"/>
        </w:rPr>
        <w:t>、主要职能</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（一）环境卫生管理：负责平桥中心城区周边部分区域的清扫保洁任务和环卫基础设施的建设、管理和维护；负责乡镇生活垃圾集运工作；负责城区部分公厕的管理、维护。</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（二）园林绿化管理：负责平桥城区范围内主次干道、广场及游园的园林绿化设施建设、维护和管理。</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三）市政设施建设管理：负责平桥城区部分道路路灯、世纪广场灯具和城市景观灯的管理和维护。负责城区各主次干道市政设施建设、维护和管理；负责平桥城区防汛排涝工作及内河的日常管理；负责市、区两级政府交办的工程项目建设。</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（四）城市管理监察执法：负责平桥城区管理范围内城市市容、环境卫生、园林绿化、城市秩序等的执法监察管理。</w:t>
      </w:r>
    </w:p>
    <w:p>
      <w:pPr>
        <w:pStyle w:val="4"/>
        <w:spacing w:line="360" w:lineRule="auto"/>
        <w:ind w:firstLine="600" w:firstLineChars="200"/>
        <w:rPr>
          <w:rFonts w:hint="eastAsia" w:asciiTheme="minorEastAsia" w:hAnsiTheme="minorEastAsia" w:eastAsiaTheme="minorEastAsia"/>
          <w:b/>
          <w:sz w:val="30"/>
          <w:szCs w:val="30"/>
          <w:lang w:val="en-US" w:eastAsia="zh-CN"/>
        </w:rPr>
      </w:pPr>
      <w:r>
        <w:rPr>
          <w:rStyle w:val="7"/>
          <w:rFonts w:hint="eastAsia" w:asciiTheme="minorEastAsia" w:hAnsiTheme="minorEastAsia" w:eastAsiaTheme="minorEastAsia"/>
          <w:b w:val="0"/>
          <w:color w:val="000000"/>
          <w:sz w:val="30"/>
          <w:szCs w:val="30"/>
        </w:rPr>
        <w:t>近年来，区</w:t>
      </w:r>
      <w:r>
        <w:rPr>
          <w:rStyle w:val="7"/>
          <w:rFonts w:hint="eastAsia" w:ascii="ˎ̥" w:hAnsi="ˎ̥"/>
          <w:b w:val="0"/>
          <w:bCs w:val="0"/>
          <w:color w:val="000000"/>
          <w:sz w:val="30"/>
          <w:szCs w:val="30"/>
        </w:rPr>
        <w:t>城市管理局</w:t>
      </w:r>
      <w:r>
        <w:rPr>
          <w:rStyle w:val="7"/>
          <w:rFonts w:hint="eastAsia" w:asciiTheme="minorEastAsia" w:hAnsiTheme="minorEastAsia" w:eastAsiaTheme="minorEastAsia"/>
          <w:b w:val="0"/>
          <w:color w:val="000000"/>
          <w:sz w:val="30"/>
          <w:szCs w:val="30"/>
        </w:rPr>
        <w:t>紧紧围绕区委、区政府的工作中心，深入贯彻落实中央及省、市关于城市建设管理的一系列精神，全局上下团结一致，真抓实干，努力进取，完成了上级交给的一个个艰巨任务，形成了一个来之能战、战之能胜的战斗集体，并于2009年被区委、区政府评为“十佳团队”，2014年在创卫工作中成绩突出，被市委、市政府授予“集体三等功”。</w:t>
      </w:r>
    </w:p>
    <w:p>
      <w:pPr>
        <w:rPr>
          <w:rFonts w:hint="eastAsia"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lang w:val="en-US" w:eastAsia="zh-CN"/>
        </w:rPr>
        <w:t>二、机构设置</w:t>
      </w:r>
    </w:p>
    <w:p>
      <w:pPr>
        <w:pStyle w:val="4"/>
        <w:spacing w:line="360" w:lineRule="auto"/>
        <w:ind w:firstLine="600" w:firstLineChars="20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平桥区</w:t>
      </w:r>
      <w:r>
        <w:rPr>
          <w:rStyle w:val="7"/>
          <w:rFonts w:hint="eastAsia" w:ascii="ˎ̥" w:hAnsi="ˎ̥"/>
          <w:b w:val="0"/>
          <w:bCs w:val="0"/>
          <w:color w:val="000000"/>
          <w:sz w:val="30"/>
          <w:szCs w:val="30"/>
        </w:rPr>
        <w:t>城市管理局</w:t>
      </w:r>
      <w:r>
        <w:rPr>
          <w:rStyle w:val="7"/>
          <w:rFonts w:hint="eastAsia" w:asciiTheme="minorEastAsia" w:hAnsiTheme="minorEastAsia" w:eastAsiaTheme="minorEastAsia"/>
          <w:b w:val="0"/>
          <w:color w:val="000000"/>
          <w:sz w:val="30"/>
          <w:szCs w:val="30"/>
        </w:rPr>
        <w:t>是平桥区政府组成</w:t>
      </w:r>
      <w:r>
        <w:rPr>
          <w:rStyle w:val="7"/>
          <w:rFonts w:hint="eastAsia" w:asciiTheme="minorEastAsia" w:hAnsiTheme="minorEastAsia" w:eastAsiaTheme="minorEastAsia"/>
          <w:b w:val="0"/>
          <w:color w:val="000000"/>
          <w:sz w:val="30"/>
          <w:szCs w:val="30"/>
          <w:lang w:eastAsia="zh-CN"/>
        </w:rPr>
        <w:t>单位</w:t>
      </w:r>
      <w:r>
        <w:rPr>
          <w:rStyle w:val="7"/>
          <w:rFonts w:hint="eastAsia" w:asciiTheme="minorEastAsia" w:hAnsiTheme="minorEastAsia" w:eastAsiaTheme="minorEastAsia"/>
          <w:b w:val="0"/>
          <w:color w:val="000000"/>
          <w:sz w:val="30"/>
          <w:szCs w:val="30"/>
        </w:rPr>
        <w:t>，局机关为参公事业单位，局党组及领导班子成员</w:t>
      </w:r>
      <w:r>
        <w:rPr>
          <w:rStyle w:val="7"/>
          <w:rFonts w:hint="eastAsia" w:asciiTheme="minorEastAsia" w:hAnsiTheme="minorEastAsia" w:eastAsiaTheme="minorEastAsia"/>
          <w:b w:val="0"/>
          <w:sz w:val="30"/>
          <w:szCs w:val="30"/>
        </w:rPr>
        <w:t>共6名，</w:t>
      </w:r>
      <w:r>
        <w:rPr>
          <w:rStyle w:val="7"/>
          <w:rFonts w:hint="eastAsia" w:asciiTheme="minorEastAsia" w:hAnsiTheme="minorEastAsia" w:eastAsiaTheme="minorEastAsia"/>
          <w:sz w:val="30"/>
          <w:szCs w:val="30"/>
        </w:rPr>
        <w:t>内设</w:t>
      </w:r>
      <w:r>
        <w:rPr>
          <w:rStyle w:val="7"/>
          <w:rFonts w:hint="eastAsia" w:asciiTheme="minorEastAsia" w:hAnsiTheme="minorEastAsia" w:eastAsiaTheme="minorEastAsia"/>
          <w:sz w:val="30"/>
          <w:szCs w:val="30"/>
          <w:lang w:eastAsia="zh-CN"/>
        </w:rPr>
        <w:t>单位</w:t>
      </w:r>
      <w:r>
        <w:rPr>
          <w:rStyle w:val="7"/>
          <w:rFonts w:hint="eastAsia" w:asciiTheme="minorEastAsia" w:hAnsiTheme="minorEastAsia" w:eastAsiaTheme="minorEastAsia"/>
          <w:sz w:val="30"/>
          <w:szCs w:val="30"/>
        </w:rPr>
        <w:t>有：</w:t>
      </w:r>
      <w:r>
        <w:rPr>
          <w:rStyle w:val="7"/>
          <w:rFonts w:hint="eastAsia" w:asciiTheme="minorEastAsia" w:hAnsiTheme="minorEastAsia" w:eastAsiaTheme="minorEastAsia"/>
          <w:b w:val="0"/>
          <w:sz w:val="30"/>
          <w:szCs w:val="30"/>
        </w:rPr>
        <w:t>办公室、计财股、业务股、人事股、法制信访股，全局现有在职人员239人。下设4个事业单位，分别是：市政管理所（在职人员67人）、环境卫生管理所（在职人员30人）、园林绿化管理所（在职人员45人）、城监执法管理大队（在职人员72人，差供事</w:t>
      </w:r>
      <w:r>
        <w:rPr>
          <w:rStyle w:val="7"/>
          <w:rFonts w:hint="eastAsia" w:asciiTheme="minorEastAsia" w:hAnsiTheme="minorEastAsia" w:eastAsiaTheme="minorEastAsia"/>
          <w:b w:val="0"/>
          <w:color w:val="000000"/>
          <w:sz w:val="30"/>
          <w:szCs w:val="30"/>
        </w:rPr>
        <w:t>业单位）。同时负责平桥区城市防汛办公室的日常工作。</w:t>
      </w:r>
    </w:p>
    <w:p>
      <w:pPr>
        <w:rPr>
          <w:rFonts w:hint="eastAsia" w:asciiTheme="minorEastAsia" w:hAnsiTheme="minorEastAsia" w:eastAsiaTheme="minorEastAsia"/>
          <w:b/>
          <w:sz w:val="30"/>
          <w:szCs w:val="30"/>
        </w:rPr>
      </w:pPr>
    </w:p>
    <w:p>
      <w:pPr>
        <w:rPr>
          <w:rFonts w:asciiTheme="minorEastAsia" w:hAnsiTheme="minorEastAsia" w:eastAsiaTheme="minorEastAsia"/>
          <w:b/>
          <w:sz w:val="30"/>
          <w:szCs w:val="30"/>
        </w:rPr>
      </w:pPr>
      <w:r>
        <w:rPr>
          <w:rFonts w:hint="eastAsia" w:asciiTheme="minorEastAsia" w:hAnsiTheme="minorEastAsia" w:eastAsiaTheme="minorEastAsia"/>
          <w:b/>
          <w:sz w:val="30"/>
          <w:szCs w:val="30"/>
          <w:lang w:val="en-US" w:eastAsia="zh-CN"/>
        </w:rPr>
        <w:t>三</w:t>
      </w:r>
      <w:r>
        <w:rPr>
          <w:rFonts w:hint="eastAsia" w:asciiTheme="minorEastAsia" w:hAnsiTheme="minorEastAsia" w:eastAsiaTheme="minorEastAsia"/>
          <w:b/>
          <w:sz w:val="30"/>
          <w:szCs w:val="30"/>
        </w:rPr>
        <w:t>、</w:t>
      </w:r>
      <w:r>
        <w:rPr>
          <w:rFonts w:hint="eastAsia" w:asciiTheme="minorEastAsia" w:hAnsiTheme="minorEastAsia" w:eastAsiaTheme="minorEastAsia"/>
          <w:b/>
          <w:sz w:val="30"/>
          <w:szCs w:val="30"/>
          <w:lang w:eastAsia="zh-CN"/>
        </w:rPr>
        <w:t>单位</w:t>
      </w:r>
      <w:r>
        <w:rPr>
          <w:rFonts w:hint="eastAsia" w:asciiTheme="minorEastAsia" w:hAnsiTheme="minorEastAsia" w:eastAsiaTheme="minorEastAsia"/>
          <w:b/>
          <w:sz w:val="30"/>
          <w:szCs w:val="30"/>
        </w:rPr>
        <w:t>预算单位构成：</w:t>
      </w:r>
    </w:p>
    <w:p>
      <w:pPr>
        <w:numPr>
          <w:ilvl w:val="0"/>
          <w:numId w:val="0"/>
        </w:numPr>
        <w:ind w:firstLine="600" w:firstLineChars="200"/>
        <w:rPr>
          <w:rStyle w:val="7"/>
          <w:rFonts w:hint="eastAsia" w:ascii="ˎ̥" w:hAnsi="ˎ̥" w:eastAsiaTheme="minorEastAsia"/>
          <w:b w:val="0"/>
          <w:bCs w:val="0"/>
          <w:color w:val="000000"/>
          <w:sz w:val="30"/>
          <w:szCs w:val="30"/>
        </w:rPr>
      </w:pPr>
      <w:r>
        <w:rPr>
          <w:rStyle w:val="7"/>
          <w:rFonts w:hint="eastAsia" w:ascii="ˎ̥" w:hAnsi="ˎ̥"/>
          <w:b w:val="0"/>
          <w:bCs w:val="0"/>
          <w:color w:val="000000"/>
          <w:sz w:val="30"/>
          <w:szCs w:val="30"/>
        </w:rPr>
        <w:t>根据预算管理有关规定，本预算“无下属机构及其他预算单位”仅有本单位预算。</w:t>
      </w:r>
    </w:p>
    <w:p>
      <w:pPr>
        <w:pStyle w:val="4"/>
        <w:spacing w:line="360" w:lineRule="auto"/>
        <w:jc w:val="center"/>
        <w:rPr>
          <w:rStyle w:val="7"/>
          <w:rFonts w:hint="eastAsia" w:asciiTheme="minorEastAsia" w:hAnsiTheme="minorEastAsia" w:eastAsiaTheme="minorEastAsia"/>
          <w:color w:val="000000"/>
        </w:rPr>
      </w:pPr>
    </w:p>
    <w:p>
      <w:pPr>
        <w:pStyle w:val="4"/>
        <w:spacing w:line="360" w:lineRule="auto"/>
        <w:jc w:val="center"/>
        <w:rPr>
          <w:rStyle w:val="7"/>
          <w:rFonts w:hint="eastAsia" w:asciiTheme="minorEastAsia" w:hAnsiTheme="minorEastAsia" w:eastAsiaTheme="minorEastAsia"/>
          <w:color w:val="000000"/>
        </w:rPr>
      </w:pPr>
    </w:p>
    <w:p>
      <w:pPr>
        <w:pStyle w:val="4"/>
        <w:spacing w:line="360" w:lineRule="auto"/>
        <w:jc w:val="center"/>
        <w:rPr>
          <w:rStyle w:val="7"/>
          <w:rFonts w:hint="eastAsia" w:asciiTheme="minorEastAsia" w:hAnsiTheme="minorEastAsia" w:eastAsiaTheme="minorEastAsia"/>
          <w:color w:val="000000"/>
        </w:rPr>
      </w:pPr>
    </w:p>
    <w:p>
      <w:pPr>
        <w:pStyle w:val="4"/>
        <w:spacing w:line="360" w:lineRule="auto"/>
        <w:jc w:val="center"/>
        <w:rPr>
          <w:rStyle w:val="7"/>
          <w:rFonts w:hint="eastAsia" w:asciiTheme="minorEastAsia" w:hAnsiTheme="minorEastAsia" w:eastAsiaTheme="minorEastAsia"/>
          <w:color w:val="000000"/>
        </w:rPr>
      </w:pPr>
    </w:p>
    <w:p>
      <w:pPr>
        <w:pStyle w:val="4"/>
        <w:spacing w:line="360" w:lineRule="auto"/>
        <w:jc w:val="center"/>
        <w:rPr>
          <w:rStyle w:val="7"/>
          <w:rFonts w:hint="eastAsia" w:asciiTheme="minorEastAsia" w:hAnsiTheme="minorEastAsia" w:eastAsiaTheme="minorEastAsia"/>
          <w:color w:val="000000"/>
        </w:rPr>
      </w:pPr>
    </w:p>
    <w:p>
      <w:pPr>
        <w:pStyle w:val="4"/>
        <w:spacing w:line="360" w:lineRule="auto"/>
        <w:jc w:val="center"/>
        <w:rPr>
          <w:rStyle w:val="7"/>
          <w:rFonts w:hint="eastAsia" w:asciiTheme="minorEastAsia" w:hAnsiTheme="minorEastAsia" w:eastAsiaTheme="minorEastAsia"/>
          <w:color w:val="000000"/>
          <w:sz w:val="44"/>
          <w:szCs w:val="44"/>
        </w:rPr>
      </w:pPr>
      <w:r>
        <w:rPr>
          <w:rStyle w:val="7"/>
          <w:rFonts w:hint="eastAsia" w:asciiTheme="minorEastAsia" w:hAnsiTheme="minorEastAsia" w:eastAsiaTheme="minorEastAsia"/>
          <w:color w:val="000000"/>
          <w:sz w:val="44"/>
          <w:szCs w:val="44"/>
        </w:rPr>
        <w:t xml:space="preserve">第二部分 </w:t>
      </w:r>
    </w:p>
    <w:p>
      <w:pPr>
        <w:pStyle w:val="4"/>
        <w:spacing w:line="360" w:lineRule="auto"/>
        <w:jc w:val="center"/>
        <w:rPr>
          <w:rStyle w:val="7"/>
          <w:rFonts w:hint="eastAsia" w:ascii="ˎ̥" w:hAnsi="ˎ̥"/>
          <w:color w:val="000000"/>
          <w:sz w:val="44"/>
          <w:szCs w:val="44"/>
        </w:rPr>
      </w:pPr>
      <w:r>
        <w:rPr>
          <w:rStyle w:val="7"/>
          <w:rFonts w:hint="eastAsia" w:asciiTheme="minorEastAsia" w:hAnsiTheme="minorEastAsia" w:eastAsiaTheme="minorEastAsia"/>
          <w:color w:val="000000"/>
          <w:sz w:val="44"/>
          <w:szCs w:val="44"/>
        </w:rPr>
        <w:t>平桥区</w:t>
      </w:r>
      <w:r>
        <w:rPr>
          <w:rStyle w:val="7"/>
          <w:rFonts w:hint="eastAsia" w:ascii="ˎ̥" w:hAnsi="ˎ̥"/>
          <w:color w:val="000000"/>
          <w:sz w:val="44"/>
          <w:szCs w:val="44"/>
        </w:rPr>
        <w:t>城市管理局</w:t>
      </w:r>
    </w:p>
    <w:p>
      <w:pPr>
        <w:pStyle w:val="4"/>
        <w:spacing w:line="360" w:lineRule="auto"/>
        <w:jc w:val="center"/>
        <w:rPr>
          <w:rStyle w:val="7"/>
          <w:rFonts w:asciiTheme="minorEastAsia" w:hAnsiTheme="minorEastAsia" w:eastAsiaTheme="minorEastAsia"/>
          <w:color w:val="000000"/>
          <w:sz w:val="44"/>
          <w:szCs w:val="44"/>
        </w:rPr>
      </w:pPr>
      <w:r>
        <w:rPr>
          <w:rStyle w:val="7"/>
          <w:rFonts w:hint="eastAsia" w:asciiTheme="minorEastAsia" w:hAnsiTheme="minorEastAsia" w:eastAsiaTheme="minorEastAsia"/>
          <w:color w:val="000000"/>
          <w:sz w:val="44"/>
          <w:szCs w:val="44"/>
        </w:rPr>
        <w:t>2022年度</w:t>
      </w:r>
      <w:r>
        <w:rPr>
          <w:rStyle w:val="7"/>
          <w:rFonts w:hint="eastAsia" w:asciiTheme="minorEastAsia" w:hAnsiTheme="minorEastAsia" w:eastAsiaTheme="minorEastAsia"/>
          <w:color w:val="000000"/>
          <w:sz w:val="44"/>
          <w:szCs w:val="44"/>
          <w:lang w:eastAsia="zh-CN"/>
        </w:rPr>
        <w:t>单位</w:t>
      </w:r>
      <w:r>
        <w:rPr>
          <w:rStyle w:val="7"/>
          <w:rFonts w:hint="eastAsia" w:asciiTheme="minorEastAsia" w:hAnsiTheme="minorEastAsia" w:eastAsiaTheme="minorEastAsia"/>
          <w:color w:val="000000"/>
          <w:sz w:val="44"/>
          <w:szCs w:val="44"/>
        </w:rPr>
        <w:t>预算情况说明</w:t>
      </w: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一、收入支出预算总体情况说明</w:t>
      </w:r>
    </w:p>
    <w:p>
      <w:pPr>
        <w:pStyle w:val="4"/>
        <w:spacing w:line="360" w:lineRule="auto"/>
        <w:ind w:firstLine="480" w:firstLineChars="200"/>
        <w:rPr>
          <w:rStyle w:val="7"/>
          <w:rFonts w:hint="eastAsia" w:asciiTheme="minorEastAsia" w:hAnsiTheme="minorEastAsia" w:eastAsiaTheme="minorEastAsia"/>
          <w:b w:val="0"/>
          <w:color w:val="000000"/>
          <w:highlight w:val="none"/>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2022年收入总计</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万元，支出总计</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万元，与2021年相比</w:t>
      </w:r>
      <w:r>
        <w:rPr>
          <w:rStyle w:val="7"/>
          <w:rFonts w:hint="eastAsia" w:asciiTheme="minorEastAsia" w:hAnsiTheme="minorEastAsia" w:eastAsiaTheme="minorEastAsia"/>
          <w:b w:val="0"/>
          <w:color w:val="000000"/>
          <w:highlight w:val="none"/>
        </w:rPr>
        <w:t>，与2021年相比，收、支各增加100万元，增长16.72%。主要原因是：园林养护面积增加。</w:t>
      </w:r>
    </w:p>
    <w:p>
      <w:pPr>
        <w:pStyle w:val="4"/>
        <w:spacing w:line="360" w:lineRule="auto"/>
        <w:ind w:firstLine="480" w:firstLineChars="200"/>
        <w:rPr>
          <w:rStyle w:val="7"/>
          <w:rFonts w:hint="eastAsia" w:asciiTheme="minorEastAsia" w:hAnsiTheme="minorEastAsia" w:eastAsiaTheme="minorEastAsia"/>
          <w:b w:val="0"/>
          <w:color w:val="000000"/>
          <w:highlight w:val="none"/>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 xml:space="preserve">二、收入预算总体情况说明 </w:t>
      </w:r>
    </w:p>
    <w:p>
      <w:pPr>
        <w:pStyle w:val="4"/>
        <w:spacing w:line="360" w:lineRule="auto"/>
        <w:ind w:firstLine="480" w:firstLineChars="200"/>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2022年收入合计</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万元，其中一般公共预算收入</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万元，占比</w:t>
      </w:r>
      <w:r>
        <w:rPr>
          <w:rStyle w:val="7"/>
          <w:rFonts w:hint="eastAsia" w:asciiTheme="minorEastAsia" w:hAnsiTheme="minorEastAsia" w:eastAsiaTheme="minorEastAsia"/>
          <w:b w:val="0"/>
          <w:color w:val="000000"/>
          <w:lang w:val="en-US" w:eastAsia="zh-CN"/>
        </w:rPr>
        <w:t>100</w:t>
      </w:r>
      <w:r>
        <w:rPr>
          <w:rStyle w:val="7"/>
          <w:rFonts w:hint="eastAsia" w:asciiTheme="minorEastAsia" w:hAnsiTheme="minorEastAsia" w:eastAsiaTheme="minorEastAsia"/>
          <w:b w:val="0"/>
          <w:color w:val="000000"/>
        </w:rPr>
        <w:t>%。</w:t>
      </w:r>
    </w:p>
    <w:p>
      <w:pPr>
        <w:pStyle w:val="4"/>
        <w:spacing w:line="360" w:lineRule="auto"/>
        <w:ind w:firstLine="480" w:firstLineChars="200"/>
        <w:rPr>
          <w:rStyle w:val="7"/>
          <w:rFonts w:hint="eastAsia" w:asciiTheme="minorEastAsia" w:hAnsiTheme="minorEastAsia" w:eastAsiaTheme="minorEastAsia"/>
          <w:b w:val="0"/>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三、支出预算总体情况说明</w:t>
      </w:r>
    </w:p>
    <w:p>
      <w:pPr>
        <w:pStyle w:val="4"/>
        <w:spacing w:line="360" w:lineRule="auto"/>
        <w:ind w:firstLine="480" w:firstLineChars="200"/>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2022年支出合计</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万元，其中：基本支出</w:t>
      </w:r>
      <w:r>
        <w:rPr>
          <w:rStyle w:val="7"/>
          <w:rFonts w:hint="eastAsia" w:asciiTheme="minorEastAsia" w:hAnsiTheme="minorEastAsia" w:eastAsiaTheme="minorEastAsia"/>
          <w:b w:val="0"/>
          <w:color w:val="000000"/>
          <w:lang w:eastAsia="zh-CN"/>
        </w:rPr>
        <w:t>293.15</w:t>
      </w:r>
      <w:r>
        <w:rPr>
          <w:rStyle w:val="7"/>
          <w:rFonts w:hint="eastAsia" w:asciiTheme="minorEastAsia" w:hAnsiTheme="minorEastAsia" w:eastAsiaTheme="minorEastAsia"/>
          <w:b w:val="0"/>
          <w:color w:val="000000"/>
        </w:rPr>
        <w:t>万元，占比84.3%；专项经费支出405万元，占比15.7%。</w:t>
      </w:r>
    </w:p>
    <w:p>
      <w:pPr>
        <w:pStyle w:val="4"/>
        <w:spacing w:line="360" w:lineRule="auto"/>
        <w:ind w:firstLine="480" w:firstLineChars="200"/>
        <w:rPr>
          <w:rStyle w:val="7"/>
          <w:rFonts w:hint="eastAsia" w:asciiTheme="minorEastAsia" w:hAnsiTheme="minorEastAsia" w:eastAsiaTheme="minorEastAsia"/>
          <w:b w:val="0"/>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四、财政拨款收入支出预算总体情况说明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2022年财财政拨款收入、支出预算</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w:t>
      </w:r>
      <w:r>
        <w:rPr>
          <w:rStyle w:val="7"/>
          <w:rFonts w:hint="eastAsia" w:asciiTheme="minorEastAsia" w:hAnsiTheme="minorEastAsia" w:eastAsiaTheme="minorEastAsia"/>
          <w:b w:val="0"/>
          <w:color w:val="000000"/>
          <w:highlight w:val="none"/>
        </w:rPr>
        <w:t>，与2021年相比，收、支各增加100万元，增长16.72%。主要原因是：园林养护面积增加。</w:t>
      </w: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五、一般公共预算支出预算情况说明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2022年一般公共预算支出年初预算为</w:t>
      </w:r>
      <w:r>
        <w:rPr>
          <w:rStyle w:val="7"/>
          <w:rFonts w:hint="eastAsia" w:asciiTheme="minorEastAsia" w:hAnsiTheme="minorEastAsia" w:eastAsiaTheme="minorEastAsia"/>
          <w:b w:val="0"/>
          <w:color w:val="000000"/>
          <w:lang w:eastAsia="zh-CN"/>
        </w:rPr>
        <w:t>698.15</w:t>
      </w:r>
      <w:r>
        <w:rPr>
          <w:rStyle w:val="7"/>
          <w:rFonts w:hint="eastAsia" w:asciiTheme="minorEastAsia" w:hAnsiTheme="minorEastAsia" w:eastAsiaTheme="minorEastAsia"/>
          <w:b w:val="0"/>
          <w:color w:val="000000"/>
        </w:rPr>
        <w:t>万元。主要用于以下方面：基本支出</w:t>
      </w:r>
      <w:r>
        <w:rPr>
          <w:rStyle w:val="7"/>
          <w:rFonts w:hint="eastAsia" w:asciiTheme="minorEastAsia" w:hAnsiTheme="minorEastAsia" w:eastAsiaTheme="minorEastAsia"/>
          <w:b w:val="0"/>
          <w:color w:val="000000"/>
          <w:lang w:eastAsia="zh-CN"/>
        </w:rPr>
        <w:t>293.15</w:t>
      </w:r>
      <w:r>
        <w:rPr>
          <w:rStyle w:val="7"/>
          <w:rFonts w:hint="eastAsia" w:asciiTheme="minorEastAsia" w:hAnsiTheme="minorEastAsia" w:eastAsiaTheme="minorEastAsia"/>
          <w:b w:val="0"/>
          <w:color w:val="000000"/>
        </w:rPr>
        <w:t>万元，占比84.3%；专项经费支出405万元，占比15.7%。</w:t>
      </w:r>
    </w:p>
    <w:p>
      <w:pPr>
        <w:pStyle w:val="4"/>
        <w:spacing w:line="360" w:lineRule="auto"/>
        <w:ind w:firstLine="480" w:firstLineChars="200"/>
        <w:rPr>
          <w:rStyle w:val="7"/>
          <w:rFonts w:asciiTheme="minorEastAsia" w:hAnsiTheme="minorEastAsia" w:eastAsiaTheme="minorEastAsia"/>
          <w:b w:val="0"/>
          <w:color w:val="000000"/>
        </w:rPr>
      </w:pPr>
    </w:p>
    <w:p>
      <w:pPr>
        <w:pStyle w:val="4"/>
        <w:numPr>
          <w:ilvl w:val="0"/>
          <w:numId w:val="1"/>
        </w:numPr>
        <w:spacing w:line="360" w:lineRule="auto"/>
        <w:ind w:firstLine="482" w:firstLineChars="200"/>
        <w:rPr>
          <w:rStyle w:val="7"/>
          <w:rFonts w:asciiTheme="minorEastAsia" w:hAnsiTheme="minorEastAsia" w:eastAsiaTheme="minorEastAsia"/>
          <w:color w:val="000000" w:themeColor="text1"/>
        </w:rPr>
      </w:pPr>
      <w:r>
        <w:rPr>
          <w:rStyle w:val="7"/>
          <w:rFonts w:hint="eastAsia" w:asciiTheme="minorEastAsia" w:hAnsiTheme="minorEastAsia" w:eastAsiaTheme="minorEastAsia"/>
          <w:color w:val="000000" w:themeColor="text1"/>
        </w:rPr>
        <w:t>一般公共预算基本支出预算情况说明</w:t>
      </w:r>
    </w:p>
    <w:p>
      <w:pPr>
        <w:spacing w:line="560" w:lineRule="exact"/>
        <w:ind w:firstLine="480" w:firstLineChars="200"/>
        <w:rPr>
          <w:rStyle w:val="7"/>
          <w:rFonts w:hint="eastAsia" w:asciiTheme="minorEastAsia" w:hAnsiTheme="minorEastAsia" w:eastAsiaTheme="minorEastAsia" w:cstheme="minorBidi"/>
          <w:b w:val="0"/>
          <w:color w:val="000000"/>
          <w:sz w:val="24"/>
        </w:rPr>
      </w:pPr>
      <w:r>
        <w:rPr>
          <w:rStyle w:val="7"/>
          <w:rFonts w:hint="eastAsia" w:asciiTheme="minorEastAsia" w:hAnsiTheme="minorEastAsia" w:eastAsiaTheme="minorEastAsia"/>
          <w:b w:val="0"/>
          <w:color w:val="000000"/>
          <w:sz w:val="24"/>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w:t>
      </w:r>
      <w:r>
        <w:rPr>
          <w:rStyle w:val="7"/>
          <w:rFonts w:hint="eastAsia" w:asciiTheme="minorEastAsia" w:hAnsiTheme="minorEastAsia" w:eastAsiaTheme="minorEastAsia"/>
          <w:b w:val="0"/>
          <w:color w:val="000000"/>
          <w:sz w:val="24"/>
        </w:rPr>
        <w:t>年一般公共预算基本支出为</w:t>
      </w:r>
      <w:r>
        <w:rPr>
          <w:rStyle w:val="7"/>
          <w:rFonts w:hint="eastAsia" w:asciiTheme="minorEastAsia" w:hAnsiTheme="minorEastAsia" w:eastAsiaTheme="minorEastAsia"/>
          <w:b w:val="0"/>
          <w:color w:val="000000"/>
          <w:lang w:eastAsia="zh-CN"/>
        </w:rPr>
        <w:t>293.15</w:t>
      </w:r>
      <w:r>
        <w:rPr>
          <w:rStyle w:val="7"/>
          <w:rFonts w:hint="eastAsia" w:asciiTheme="minorEastAsia" w:hAnsiTheme="minorEastAsia" w:eastAsiaTheme="minorEastAsia"/>
          <w:b w:val="0"/>
          <w:color w:val="000000"/>
          <w:sz w:val="24"/>
        </w:rPr>
        <w:t>万元，其中：人员经费259.84 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33.31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 xml:space="preserve">七、支出预算经济分类情况说明 </w:t>
      </w:r>
    </w:p>
    <w:p>
      <w:pPr>
        <w:pStyle w:val="4"/>
        <w:spacing w:line="360" w:lineRule="auto"/>
        <w:ind w:firstLine="480" w:firstLineChars="200"/>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按照《财政部关于印发〈支出经济分类科目改革方案〉的通知》</w:t>
      </w:r>
      <w:r>
        <w:rPr>
          <w:rStyle w:val="7"/>
          <w:rFonts w:asciiTheme="minorEastAsia" w:hAnsiTheme="minorEastAsia" w:eastAsiaTheme="minorEastAsia"/>
          <w:b w:val="0"/>
          <w:color w:val="000000"/>
        </w:rPr>
        <w:t>(</w:t>
      </w:r>
      <w:r>
        <w:rPr>
          <w:rStyle w:val="7"/>
          <w:rFonts w:hint="eastAsia" w:asciiTheme="minorEastAsia" w:hAnsiTheme="minorEastAsia" w:eastAsiaTheme="minorEastAsia"/>
          <w:b w:val="0"/>
          <w:color w:val="000000"/>
        </w:rPr>
        <w:t>财预﹝2017﹞98号</w:t>
      </w:r>
      <w:r>
        <w:rPr>
          <w:rStyle w:val="7"/>
          <w:rFonts w:asciiTheme="minorEastAsia" w:hAnsiTheme="minorEastAsia" w:eastAsiaTheme="minorEastAsia"/>
          <w:b w:val="0"/>
          <w:color w:val="000000"/>
        </w:rPr>
        <w:t>)</w:t>
      </w:r>
      <w:r>
        <w:rPr>
          <w:rStyle w:val="7"/>
          <w:rFonts w:hint="eastAsia" w:asciiTheme="minorEastAsia" w:hAnsiTheme="minorEastAsia" w:eastAsiaTheme="minorEastAsia"/>
          <w:b w:val="0"/>
          <w:color w:val="000000"/>
        </w:rPr>
        <w:t>要求，从2018年起全面实施支出经济分类科目改革，根据政府预算管理和</w:t>
      </w:r>
      <w:r>
        <w:rPr>
          <w:rStyle w:val="7"/>
          <w:rFonts w:hint="eastAsia" w:asciiTheme="minorEastAsia" w:hAnsiTheme="minorEastAsia" w:eastAsiaTheme="minorEastAsia"/>
          <w:b w:val="0"/>
          <w:color w:val="000000"/>
          <w:lang w:eastAsia="zh-CN"/>
        </w:rPr>
        <w:t>单位</w:t>
      </w:r>
      <w:r>
        <w:rPr>
          <w:rStyle w:val="7"/>
          <w:rFonts w:hint="eastAsia" w:asciiTheme="minorEastAsia" w:hAnsiTheme="minorEastAsia" w:eastAsiaTheme="minorEastAsia"/>
          <w:b w:val="0"/>
          <w:color w:val="000000"/>
        </w:rPr>
        <w:t>预算管理的不同特点，分设</w:t>
      </w:r>
      <w:r>
        <w:rPr>
          <w:rStyle w:val="7"/>
          <w:rFonts w:hint="eastAsia" w:asciiTheme="minorEastAsia" w:hAnsiTheme="minorEastAsia" w:eastAsiaTheme="minorEastAsia"/>
          <w:b w:val="0"/>
          <w:color w:val="000000"/>
          <w:lang w:eastAsia="zh-CN"/>
        </w:rPr>
        <w:t>单位</w:t>
      </w:r>
      <w:r>
        <w:rPr>
          <w:rStyle w:val="7"/>
          <w:rFonts w:hint="eastAsia" w:asciiTheme="minorEastAsia" w:hAnsiTheme="minorEastAsia" w:eastAsiaTheme="minorEastAsia"/>
          <w:b w:val="0"/>
          <w:color w:val="000000"/>
        </w:rPr>
        <w:t>预算支出经济分类科目和政府预算支出经济分类科目，两套科目之间保持对应关系。为适应改革要求，我局《支出经济分类汇总表》由仅反映一般公共预算基本支出经济分类科目预算，调整为按两套经济分类科目分别反映不同资金来源的全部预算支出。</w:t>
      </w:r>
    </w:p>
    <w:p>
      <w:pPr>
        <w:pStyle w:val="4"/>
        <w:spacing w:line="360" w:lineRule="auto"/>
        <w:ind w:firstLine="480" w:firstLineChars="200"/>
        <w:rPr>
          <w:rStyle w:val="7"/>
          <w:rFonts w:hint="eastAsia" w:asciiTheme="minorEastAsia" w:hAnsiTheme="minorEastAsia" w:eastAsiaTheme="minorEastAsia"/>
          <w:b w:val="0"/>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lang w:val="en-US" w:eastAsia="zh-CN"/>
        </w:rPr>
        <w:t>八</w:t>
      </w:r>
      <w:r>
        <w:rPr>
          <w:rStyle w:val="7"/>
          <w:rFonts w:hint="eastAsia" w:asciiTheme="minorEastAsia" w:hAnsiTheme="minorEastAsia" w:eastAsiaTheme="minorEastAsia"/>
          <w:color w:val="000000"/>
        </w:rPr>
        <w:t>、“三公”经费支出预算情况说明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平桥区城市管理局2022年“三公”经费预算0万元，其中公务接待费0万元，因公出国出境费0万元，公务用车运行及购置费0万元，三公经费预算与2021年相比无增减变动；</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具体支出情况如下：</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(一)因公出国(境)费0万元，主要用于单位工作人员公务出国(境)的住宿费、旅费、伙食补助费、杂费、培训费等支出。预算数与2021年持平。</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二)公务用车购置及运行费0万元，其中，公务用车购置费0元；公务用车运行维护费0万元，主要用于开展工作所需公务用车的燃料费、维修费、过路过桥费、保险费等支出。公务用车购置费预算数和公务用车运行维护费预算数与2021年持平。</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(三)公务接待费0万元，主要用于按规定开支的各类公务接待(含外宾接待)支出。预算数与2021年持平。</w:t>
      </w:r>
    </w:p>
    <w:p>
      <w:pPr>
        <w:pStyle w:val="4"/>
        <w:spacing w:line="360" w:lineRule="auto"/>
        <w:ind w:firstLine="422"/>
        <w:rPr>
          <w:rStyle w:val="7"/>
          <w:rFonts w:hint="eastAsia" w:asciiTheme="minorEastAsia" w:hAnsiTheme="minorEastAsia" w:eastAsiaTheme="minorEastAsia"/>
          <w:color w:val="000000"/>
          <w:lang w:val="en-US" w:eastAsia="zh-CN"/>
        </w:rPr>
      </w:pPr>
    </w:p>
    <w:p>
      <w:pPr>
        <w:pStyle w:val="4"/>
        <w:spacing w:line="360" w:lineRule="auto"/>
        <w:ind w:firstLine="422"/>
        <w:rPr>
          <w:rFonts w:asciiTheme="minorEastAsia" w:hAnsiTheme="minorEastAsia" w:eastAsiaTheme="minorEastAsia"/>
          <w:color w:val="000000"/>
        </w:rPr>
      </w:pPr>
      <w:r>
        <w:rPr>
          <w:rStyle w:val="7"/>
          <w:rFonts w:hint="eastAsia" w:asciiTheme="minorEastAsia" w:hAnsiTheme="minorEastAsia" w:eastAsiaTheme="minorEastAsia"/>
          <w:color w:val="000000"/>
          <w:lang w:val="en-US" w:eastAsia="zh-CN"/>
        </w:rPr>
        <w:t>九</w:t>
      </w:r>
      <w:r>
        <w:rPr>
          <w:rStyle w:val="7"/>
          <w:rFonts w:hint="eastAsia" w:asciiTheme="minorEastAsia" w:hAnsiTheme="minorEastAsia" w:eastAsiaTheme="minorEastAsia"/>
          <w:color w:val="000000"/>
        </w:rPr>
        <w:t>、</w:t>
      </w:r>
      <w:r>
        <w:rPr>
          <w:rStyle w:val="7"/>
          <w:rFonts w:asciiTheme="minorEastAsia" w:hAnsiTheme="minorEastAsia" w:eastAsiaTheme="minorEastAsia"/>
          <w:color w:val="000000"/>
        </w:rPr>
        <w:t>政府性基金预算支出情况说明</w:t>
      </w:r>
    </w:p>
    <w:p>
      <w:pPr>
        <w:pStyle w:val="4"/>
        <w:spacing w:line="360" w:lineRule="auto"/>
        <w:rPr>
          <w:rStyle w:val="7"/>
          <w:rFonts w:hint="eastAsia" w:asciiTheme="minorEastAsia" w:hAnsiTheme="minorEastAsia" w:eastAsiaTheme="minorEastAsia"/>
          <w:color w:val="000000"/>
        </w:rPr>
      </w:pPr>
      <w:r>
        <w:rPr>
          <w:rFonts w:asciiTheme="minorEastAsia" w:hAnsiTheme="minorEastAsia" w:eastAsiaTheme="minorEastAsia"/>
          <w:color w:val="000000"/>
        </w:rPr>
        <w:t>　　我</w:t>
      </w:r>
      <w:r>
        <w:rPr>
          <w:rFonts w:hint="eastAsia" w:asciiTheme="minorEastAsia" w:hAnsiTheme="minorEastAsia" w:eastAsiaTheme="minorEastAsia"/>
          <w:color w:val="000000"/>
        </w:rPr>
        <w:t>局</w:t>
      </w:r>
      <w:r>
        <w:rPr>
          <w:rFonts w:asciiTheme="minorEastAsia" w:hAnsiTheme="minorEastAsia" w:eastAsiaTheme="minorEastAsia"/>
          <w:color w:val="000000"/>
        </w:rPr>
        <w:t>202</w:t>
      </w:r>
      <w:r>
        <w:rPr>
          <w:rFonts w:hint="eastAsia" w:asciiTheme="minorEastAsia" w:hAnsiTheme="minorEastAsia" w:eastAsiaTheme="minorEastAsia"/>
          <w:color w:val="000000"/>
        </w:rPr>
        <w:t>2</w:t>
      </w:r>
      <w:r>
        <w:rPr>
          <w:rFonts w:asciiTheme="minorEastAsia" w:hAnsiTheme="minorEastAsia" w:eastAsiaTheme="minorEastAsia"/>
          <w:color w:val="000000"/>
        </w:rPr>
        <w:t>年没有使用政府性基金预算拨款安排的支出。</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Fonts w:asciiTheme="minorEastAsia" w:hAnsiTheme="minorEastAsia" w:eastAsiaTheme="minorEastAsia"/>
          <w:color w:val="000000"/>
        </w:rPr>
      </w:pPr>
      <w:r>
        <w:rPr>
          <w:rStyle w:val="7"/>
          <w:rFonts w:hint="eastAsia" w:asciiTheme="minorEastAsia" w:hAnsiTheme="minorEastAsia" w:eastAsiaTheme="minorEastAsia"/>
          <w:color w:val="000000"/>
        </w:rPr>
        <w:t>十</w:t>
      </w:r>
      <w:r>
        <w:rPr>
          <w:rStyle w:val="7"/>
          <w:rFonts w:asciiTheme="minorEastAsia" w:hAnsiTheme="minorEastAsia" w:eastAsiaTheme="minorEastAsia"/>
          <w:color w:val="000000"/>
        </w:rPr>
        <w:t>、其他重要事项的情况说明</w:t>
      </w:r>
    </w:p>
    <w:p>
      <w:pPr>
        <w:pStyle w:val="4"/>
        <w:spacing w:line="360" w:lineRule="auto"/>
        <w:ind w:firstLine="240" w:firstLineChars="100"/>
        <w:rPr>
          <w:rFonts w:asciiTheme="minorEastAsia" w:hAnsiTheme="minorEastAsia" w:eastAsiaTheme="minorEastAsia"/>
          <w:color w:val="000000"/>
        </w:rPr>
      </w:pPr>
      <w:r>
        <w:rPr>
          <w:rFonts w:asciiTheme="minorEastAsia" w:hAnsiTheme="minorEastAsia" w:eastAsiaTheme="minorEastAsia"/>
          <w:color w:val="000000"/>
        </w:rPr>
        <w:t>　(一)机关运行经费支出情况</w:t>
      </w:r>
    </w:p>
    <w:p>
      <w:pPr>
        <w:pStyle w:val="4"/>
        <w:spacing w:line="360" w:lineRule="auto"/>
        <w:ind w:firstLine="480" w:firstLineChars="200"/>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2022年机关运行经费支出预算33.31 万元，主要保障机关人员工资发放、机构正常运转及正常履职需要。</w:t>
      </w:r>
    </w:p>
    <w:p>
      <w:pPr>
        <w:pStyle w:val="4"/>
        <w:spacing w:line="360" w:lineRule="auto"/>
        <w:ind w:firstLine="480" w:firstLineChars="200"/>
        <w:rPr>
          <w:rStyle w:val="7"/>
          <w:rFonts w:hint="eastAsia" w:asciiTheme="minorEastAsia" w:hAnsiTheme="minorEastAsia" w:eastAsiaTheme="minorEastAsia"/>
          <w:b w:val="0"/>
          <w:color w:val="000000"/>
        </w:rPr>
      </w:pPr>
    </w:p>
    <w:p>
      <w:pPr>
        <w:pStyle w:val="4"/>
        <w:spacing w:line="360" w:lineRule="auto"/>
        <w:ind w:firstLine="420"/>
        <w:rPr>
          <w:rFonts w:cs="Arial" w:asciiTheme="minorEastAsia" w:hAnsiTheme="minorEastAsia" w:eastAsiaTheme="minorEastAsia"/>
          <w:color w:val="000000"/>
        </w:rPr>
      </w:pPr>
      <w:r>
        <w:rPr>
          <w:rFonts w:cs="Arial" w:asciiTheme="minorEastAsia" w:hAnsiTheme="minorEastAsia" w:eastAsiaTheme="minorEastAsia"/>
          <w:color w:val="000000"/>
        </w:rPr>
        <w:t>(二)政府采购支出情况</w:t>
      </w:r>
    </w:p>
    <w:p>
      <w:pPr>
        <w:pStyle w:val="4"/>
        <w:spacing w:line="360" w:lineRule="auto"/>
        <w:ind w:firstLine="480"/>
        <w:rPr>
          <w:rFonts w:hint="eastAsia" w:cs="Arial" w:asciiTheme="minorEastAsia" w:hAnsiTheme="minorEastAsia" w:eastAsiaTheme="minorEastAsia"/>
        </w:rPr>
      </w:pPr>
      <w:r>
        <w:rPr>
          <w:rFonts w:hint="eastAsia" w:cs="Arial" w:asciiTheme="minorEastAsia" w:hAnsiTheme="minorEastAsia" w:eastAsiaTheme="minorEastAsia"/>
        </w:rPr>
        <w:t>2022年，我单位政府采购预算为0万元，全部为市政相关设施采购，其中工程类采购0万，货物类采购0万元。</w:t>
      </w:r>
    </w:p>
    <w:p>
      <w:pPr>
        <w:pStyle w:val="4"/>
        <w:spacing w:line="360" w:lineRule="auto"/>
        <w:ind w:firstLine="480"/>
        <w:rPr>
          <w:rFonts w:hint="eastAsia" w:cs="Arial" w:asciiTheme="minorEastAsia" w:hAnsiTheme="minorEastAsia" w:eastAsiaTheme="minorEastAsia"/>
        </w:rPr>
      </w:pPr>
    </w:p>
    <w:p>
      <w:pPr>
        <w:pStyle w:val="4"/>
        <w:spacing w:line="360" w:lineRule="auto"/>
        <w:ind w:firstLine="470" w:firstLineChars="196"/>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（三）绩效目标设置情况</w:t>
      </w:r>
    </w:p>
    <w:p>
      <w:pPr>
        <w:pStyle w:val="4"/>
        <w:spacing w:line="360" w:lineRule="auto"/>
        <w:ind w:firstLine="470" w:firstLineChars="196"/>
        <w:rPr>
          <w:rFonts w:hint="eastAsia" w:cs="Arial" w:asciiTheme="minorEastAsia" w:hAnsiTheme="minorEastAsia" w:eastAsiaTheme="minorEastAsia"/>
          <w:color w:val="000000"/>
        </w:rPr>
      </w:pPr>
      <w:r>
        <w:rPr>
          <w:rStyle w:val="7"/>
          <w:rFonts w:hint="eastAsia" w:asciiTheme="minorEastAsia" w:hAnsiTheme="minorEastAsia" w:eastAsiaTheme="minorEastAsia"/>
          <w:b w:val="0"/>
          <w:color w:val="000000"/>
        </w:rPr>
        <w:t>我单位2022年预算项目均按要求编制了绩效目标，从项目产出、项目效益、满意度等方面设置了绩效目标，综合反映项目预期完成的数量、实效、质量，预期达到的社会经济效益、可持续影响以及对象满意度等情况。</w:t>
      </w:r>
      <w:r>
        <w:rPr>
          <w:rFonts w:cs="Arial" w:asciiTheme="minorEastAsia" w:hAnsiTheme="minorEastAsia" w:eastAsiaTheme="minorEastAsia"/>
          <w:color w:val="000000"/>
        </w:rPr>
        <w:t>　</w:t>
      </w:r>
      <w:r>
        <w:rPr>
          <w:rFonts w:hint="eastAsia" w:cs="Arial" w:asciiTheme="minorEastAsia" w:hAnsiTheme="minorEastAsia" w:eastAsiaTheme="minorEastAsia"/>
          <w:color w:val="000000"/>
        </w:rPr>
        <w:t xml:space="preserve">     </w:t>
      </w:r>
    </w:p>
    <w:p>
      <w:pPr>
        <w:pStyle w:val="4"/>
        <w:spacing w:line="360" w:lineRule="auto"/>
        <w:ind w:firstLine="470" w:firstLineChars="196"/>
        <w:rPr>
          <w:rFonts w:hint="eastAsia" w:cs="Arial" w:asciiTheme="minorEastAsia" w:hAnsiTheme="minorEastAsia" w:eastAsiaTheme="minorEastAsia"/>
          <w:color w:val="000000"/>
        </w:rPr>
      </w:pPr>
    </w:p>
    <w:p>
      <w:pPr>
        <w:pStyle w:val="4"/>
        <w:spacing w:line="360" w:lineRule="auto"/>
        <w:ind w:firstLine="240" w:firstLineChars="100"/>
        <w:rPr>
          <w:rFonts w:asciiTheme="minorEastAsia" w:hAnsiTheme="minorEastAsia" w:eastAsiaTheme="minorEastAsia"/>
          <w:color w:val="000000"/>
        </w:rPr>
      </w:pPr>
      <w:r>
        <w:rPr>
          <w:rFonts w:asciiTheme="minorEastAsia" w:hAnsiTheme="minorEastAsia" w:eastAsiaTheme="minorEastAsia"/>
          <w:color w:val="000000"/>
        </w:rPr>
        <w:t>　(</w:t>
      </w:r>
      <w:r>
        <w:rPr>
          <w:rFonts w:hint="eastAsia" w:asciiTheme="minorEastAsia" w:hAnsiTheme="minorEastAsia" w:eastAsiaTheme="minorEastAsia"/>
          <w:color w:val="000000"/>
          <w:lang w:val="en-US" w:eastAsia="zh-CN"/>
        </w:rPr>
        <w:t>四</w:t>
      </w:r>
      <w:r>
        <w:rPr>
          <w:rFonts w:asciiTheme="minorEastAsia" w:hAnsiTheme="minorEastAsia" w:eastAsiaTheme="minorEastAsia"/>
          <w:color w:val="000000"/>
        </w:rPr>
        <w:t>)国有资产占用情况</w:t>
      </w:r>
    </w:p>
    <w:p>
      <w:pPr>
        <w:pStyle w:val="4"/>
        <w:spacing w:line="360" w:lineRule="auto"/>
        <w:ind w:firstLine="480" w:firstLineChars="200"/>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公车改革后，核准我单位1辆防汛用车，其他车辆已交由车改办进行处置。2020年末，该辆防汛车已完善报废手续，故2022年我单位相关公务用车数量为0辆。单价50万元以上的通用设备0台（套），单位价值100万以上的专业设备0台（套）。</w:t>
      </w:r>
    </w:p>
    <w:p>
      <w:pPr>
        <w:pStyle w:val="4"/>
        <w:spacing w:line="360" w:lineRule="auto"/>
        <w:ind w:firstLine="480" w:firstLineChars="200"/>
        <w:rPr>
          <w:rStyle w:val="7"/>
          <w:rFonts w:hint="eastAsia" w:asciiTheme="minorEastAsia" w:hAnsiTheme="minorEastAsia" w:eastAsiaTheme="minorEastAsia"/>
          <w:b w:val="0"/>
          <w:color w:val="000000"/>
        </w:rPr>
      </w:pPr>
    </w:p>
    <w:p>
      <w:pPr>
        <w:pStyle w:val="4"/>
        <w:spacing w:line="360" w:lineRule="auto"/>
        <w:ind w:firstLine="470" w:firstLineChars="196"/>
        <w:rPr>
          <w:rFonts w:cs="Arial" w:asciiTheme="minorEastAsia" w:hAnsiTheme="minorEastAsia" w:eastAsiaTheme="minorEastAsia"/>
          <w:color w:val="000000"/>
        </w:rPr>
      </w:pPr>
      <w:r>
        <w:rPr>
          <w:rFonts w:cs="Arial" w:asciiTheme="minorEastAsia" w:hAnsiTheme="minorEastAsia" w:eastAsiaTheme="minorEastAsia"/>
          <w:color w:val="000000"/>
        </w:rPr>
        <w:t>(</w:t>
      </w:r>
      <w:r>
        <w:rPr>
          <w:rFonts w:hint="eastAsia" w:cs="Arial" w:asciiTheme="minorEastAsia" w:hAnsiTheme="minorEastAsia" w:eastAsiaTheme="minorEastAsia"/>
          <w:color w:val="000000"/>
        </w:rPr>
        <w:t>五</w:t>
      </w:r>
      <w:r>
        <w:rPr>
          <w:rFonts w:cs="Arial" w:asciiTheme="minorEastAsia" w:hAnsiTheme="minorEastAsia" w:eastAsiaTheme="minorEastAsia"/>
          <w:color w:val="000000"/>
        </w:rPr>
        <w:t>)专项转移支付项目情况</w:t>
      </w:r>
    </w:p>
    <w:p>
      <w:pPr>
        <w:pStyle w:val="4"/>
        <w:spacing w:line="360" w:lineRule="auto"/>
        <w:ind w:firstLine="480"/>
        <w:rPr>
          <w:rFonts w:cs="Arial" w:asciiTheme="minorEastAsia" w:hAnsiTheme="minorEastAsia" w:eastAsiaTheme="minorEastAsia"/>
          <w:color w:val="000000"/>
        </w:rPr>
      </w:pPr>
      <w:r>
        <w:rPr>
          <w:rFonts w:cs="Arial" w:asciiTheme="minorEastAsia" w:hAnsiTheme="minorEastAsia" w:eastAsiaTheme="minorEastAsia"/>
          <w:color w:val="000000"/>
        </w:rPr>
        <w:t>我单位没有负责管理的专项转移支付项目。</w:t>
      </w:r>
    </w:p>
    <w:p>
      <w:pPr>
        <w:pStyle w:val="4"/>
        <w:spacing w:line="360" w:lineRule="auto"/>
        <w:rPr>
          <w:rStyle w:val="7"/>
          <w:rFonts w:asciiTheme="minorEastAsia" w:hAnsiTheme="minorEastAsia" w:eastAsiaTheme="minorEastAsia"/>
          <w:color w:val="000000"/>
        </w:rPr>
      </w:pPr>
      <w:bookmarkStart w:id="0" w:name="_GoBack"/>
      <w:bookmarkEnd w:id="0"/>
    </w:p>
    <w:p>
      <w:pPr>
        <w:pStyle w:val="4"/>
        <w:spacing w:line="360" w:lineRule="auto"/>
        <w:jc w:val="center"/>
        <w:rPr>
          <w:rFonts w:asciiTheme="minorEastAsia" w:hAnsiTheme="minorEastAsia" w:eastAsiaTheme="minorEastAsia"/>
          <w:color w:val="000000"/>
        </w:rPr>
      </w:pPr>
      <w:r>
        <w:rPr>
          <w:rStyle w:val="7"/>
          <w:rFonts w:asciiTheme="minorEastAsia" w:hAnsiTheme="minorEastAsia" w:eastAsiaTheme="minorEastAsia"/>
          <w:color w:val="000000"/>
        </w:rPr>
        <w:t>第三部分</w:t>
      </w:r>
    </w:p>
    <w:p>
      <w:pPr>
        <w:pStyle w:val="4"/>
        <w:spacing w:line="360" w:lineRule="auto"/>
        <w:jc w:val="center"/>
        <w:rPr>
          <w:rFonts w:asciiTheme="minorEastAsia" w:hAnsiTheme="minorEastAsia" w:eastAsiaTheme="minorEastAsia"/>
          <w:color w:val="000000"/>
        </w:rPr>
      </w:pPr>
      <w:r>
        <w:rPr>
          <w:rStyle w:val="7"/>
          <w:rFonts w:asciiTheme="minorEastAsia" w:hAnsiTheme="minorEastAsia" w:eastAsiaTheme="minorEastAsia"/>
          <w:color w:val="000000"/>
        </w:rPr>
        <w:t>名词解释</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一、财政拨款收入：是指省级财政当年拨付的资金。</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二、事业收入：是指事业单位开展专业活动及辅助活动所取得的收入。</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三、其他收入：是指</w:t>
      </w:r>
      <w:r>
        <w:rPr>
          <w:rFonts w:hint="eastAsia" w:asciiTheme="minorEastAsia" w:hAnsiTheme="minorEastAsia" w:eastAsiaTheme="minorEastAsia"/>
          <w:color w:val="000000"/>
          <w:lang w:eastAsia="zh-CN"/>
        </w:rPr>
        <w:t>单位</w:t>
      </w:r>
      <w:r>
        <w:rPr>
          <w:rFonts w:asciiTheme="minorEastAsia" w:hAnsiTheme="minorEastAsia" w:eastAsiaTheme="minorEastAsia"/>
          <w:color w:val="000000"/>
        </w:rPr>
        <w:t>取得的除“财政拨款”、“事业收入”、“事业单位经营收入”等以外的收入。</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五、基本支出：是指为保障机构正常运转、完成日常工作任务所必需的开支，其内容包括人员经费和日常公用经费两部分。</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六、项目支出：是指在基本支出之外，为完成特定的行政工作任务或事业发展目标所发生的支出。</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七、“三公”经费：是指纳入省级财政预算管理，</w:t>
      </w:r>
      <w:r>
        <w:rPr>
          <w:rFonts w:hint="eastAsia" w:asciiTheme="minorEastAsia" w:hAnsiTheme="minorEastAsia" w:eastAsiaTheme="minorEastAsia"/>
          <w:color w:val="000000"/>
          <w:lang w:eastAsia="zh-CN"/>
        </w:rPr>
        <w:t>单位</w:t>
      </w:r>
      <w:r>
        <w:rPr>
          <w:rFonts w:asciiTheme="minorEastAsia" w:hAnsiTheme="minorEastAsia" w:eastAsiaTheme="minorEastAsia"/>
          <w:color w:val="000000"/>
        </w:rPr>
        <w:t>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4"/>
        <w:spacing w:line="360" w:lineRule="auto"/>
        <w:rPr>
          <w:rStyle w:val="7"/>
          <w:rFonts w:asciiTheme="minorEastAsia" w:hAnsiTheme="minorEastAsia" w:eastAsiaTheme="minorEastAsia"/>
          <w:color w:val="000000"/>
        </w:rPr>
      </w:pPr>
    </w:p>
    <w:p>
      <w:pPr>
        <w:pStyle w:val="4"/>
        <w:spacing w:line="360" w:lineRule="auto"/>
        <w:rPr>
          <w:rStyle w:val="7"/>
          <w:rFonts w:asciiTheme="minorEastAsia" w:hAnsiTheme="minorEastAsia" w:eastAsiaTheme="minorEastAsia"/>
          <w:color w:val="000000"/>
        </w:rPr>
      </w:pPr>
    </w:p>
    <w:p>
      <w:pPr>
        <w:jc w:val="right"/>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DD077"/>
    <w:multiLevelType w:val="singleLevel"/>
    <w:tmpl w:val="03DDD07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1Y2E1OWE5ZDExNWM1ZGI4NWI5NjA3NzhkOGM4YzAifQ=="/>
  </w:docVars>
  <w:rsids>
    <w:rsidRoot w:val="00A67F78"/>
    <w:rsid w:val="00041B05"/>
    <w:rsid w:val="000804AD"/>
    <w:rsid w:val="000F1AA2"/>
    <w:rsid w:val="000F4D4E"/>
    <w:rsid w:val="001207CD"/>
    <w:rsid w:val="001751C9"/>
    <w:rsid w:val="002335D7"/>
    <w:rsid w:val="00250E58"/>
    <w:rsid w:val="00314688"/>
    <w:rsid w:val="00320FE3"/>
    <w:rsid w:val="0038160C"/>
    <w:rsid w:val="003D0FE3"/>
    <w:rsid w:val="003D254F"/>
    <w:rsid w:val="004D2473"/>
    <w:rsid w:val="004E0160"/>
    <w:rsid w:val="00523564"/>
    <w:rsid w:val="005339ED"/>
    <w:rsid w:val="00552897"/>
    <w:rsid w:val="00552A31"/>
    <w:rsid w:val="005570E1"/>
    <w:rsid w:val="005755B2"/>
    <w:rsid w:val="005C68D6"/>
    <w:rsid w:val="00600FE5"/>
    <w:rsid w:val="006967A1"/>
    <w:rsid w:val="006E4596"/>
    <w:rsid w:val="006F3CA2"/>
    <w:rsid w:val="00773BFC"/>
    <w:rsid w:val="007802FC"/>
    <w:rsid w:val="007A4ED9"/>
    <w:rsid w:val="007A55C6"/>
    <w:rsid w:val="00860CD6"/>
    <w:rsid w:val="008E01C2"/>
    <w:rsid w:val="009562C8"/>
    <w:rsid w:val="00967559"/>
    <w:rsid w:val="009740F6"/>
    <w:rsid w:val="00983C83"/>
    <w:rsid w:val="009A57E9"/>
    <w:rsid w:val="009A6910"/>
    <w:rsid w:val="009B224A"/>
    <w:rsid w:val="009C378A"/>
    <w:rsid w:val="00A162F9"/>
    <w:rsid w:val="00A16C62"/>
    <w:rsid w:val="00A36BDF"/>
    <w:rsid w:val="00A548D7"/>
    <w:rsid w:val="00A67F78"/>
    <w:rsid w:val="00A70BB0"/>
    <w:rsid w:val="00A97B5E"/>
    <w:rsid w:val="00AD65F6"/>
    <w:rsid w:val="00AE5EF6"/>
    <w:rsid w:val="00B07F4C"/>
    <w:rsid w:val="00B15602"/>
    <w:rsid w:val="00B57F3D"/>
    <w:rsid w:val="00BA45A5"/>
    <w:rsid w:val="00BA63AF"/>
    <w:rsid w:val="00C072F9"/>
    <w:rsid w:val="00C64370"/>
    <w:rsid w:val="00CB1259"/>
    <w:rsid w:val="00CD087A"/>
    <w:rsid w:val="00D301F3"/>
    <w:rsid w:val="00D549CB"/>
    <w:rsid w:val="00D8364C"/>
    <w:rsid w:val="00D93390"/>
    <w:rsid w:val="00DF6ECB"/>
    <w:rsid w:val="00E03A83"/>
    <w:rsid w:val="00E92EA9"/>
    <w:rsid w:val="00F43CB0"/>
    <w:rsid w:val="00F45806"/>
    <w:rsid w:val="00FD7364"/>
    <w:rsid w:val="071F3BA9"/>
    <w:rsid w:val="093D1493"/>
    <w:rsid w:val="094F78CE"/>
    <w:rsid w:val="0F47642C"/>
    <w:rsid w:val="180C5992"/>
    <w:rsid w:val="245D32AD"/>
    <w:rsid w:val="25360115"/>
    <w:rsid w:val="28204772"/>
    <w:rsid w:val="3952526D"/>
    <w:rsid w:val="395A3D70"/>
    <w:rsid w:val="448652F6"/>
    <w:rsid w:val="6CBD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3277</Words>
  <Characters>3471</Characters>
  <Lines>27</Lines>
  <Paragraphs>7</Paragraphs>
  <TotalTime>2</TotalTime>
  <ScaleCrop>false</ScaleCrop>
  <LinksUpToDate>false</LinksUpToDate>
  <CharactersWithSpaces>3524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2018-05-22T01:15:00Z</dcterms:created>
  <dc:creator>Administrator</dc:creator>
  <cp:lastModifiedBy>付小倩</cp:lastModifiedBy>
  <cp:lastPrinted>2018-05-22T01:53:00Z</cp:lastPrinted>
  <dcterms:modified xsi:type="dcterms:W3CDTF">2023-04-28T11:43:33Z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00FC62349E25492FAD87CBD745995576</vt:lpwstr>
  </property>
</Properties>
</file>