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3092" w:firstLineChars="700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2022年度</w:t>
      </w:r>
    </w:p>
    <w:p>
      <w:pPr>
        <w:spacing w:line="600" w:lineRule="exact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/>
        </w:rPr>
        <w:t xml:space="preserve">          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信阳市平桥区信钢学校预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</w:t>
      </w: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ind w:firstLine="2209" w:firstLineChars="500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信阳市平桥区信钢学校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三、预算单位构成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信阳市平桥区信钢学校2022年度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信阳市平桥区信钢学校2022年度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十一、财政支出绩效目标表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960" w:firstLineChars="3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960" w:firstLineChars="3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信阳市平桥区信钢学校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信阳市平桥区信钢学校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widowControl/>
        <w:shd w:val="clear" w:color="auto" w:fill="FFFFFF"/>
        <w:spacing w:line="58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（一）研究拟定全校教育发展战略法，贯彻执行党和国家的教育方针、政策、法规。</w:t>
      </w:r>
    </w:p>
    <w:p>
      <w:pPr>
        <w:widowControl/>
        <w:shd w:val="clear" w:color="auto" w:fill="FFFFFF"/>
        <w:spacing w:line="58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（二）研究拟定学校发展规划和年度计划，组织实施教育体制和办学体制改革。</w:t>
      </w:r>
    </w:p>
    <w:p>
      <w:pPr>
        <w:widowControl/>
        <w:shd w:val="clear" w:color="auto" w:fill="FFFFFF"/>
        <w:spacing w:line="58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（三）管理和指导学校基础教育工作;确保普及九年义务教育工作成果。</w:t>
      </w:r>
    </w:p>
    <w:p>
      <w:pPr>
        <w:widowControl/>
        <w:shd w:val="clear" w:color="auto" w:fill="FFFFFF"/>
        <w:spacing w:line="58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（四）管理学校教育经费:管理学校教育经费，执行财务管理制度。</w:t>
      </w:r>
    </w:p>
    <w:p>
      <w:pPr>
        <w:widowControl/>
        <w:shd w:val="clear" w:color="auto" w:fill="FFFFFF"/>
        <w:spacing w:line="58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（五）负责和指导学校教职工的思想政治工作，规划学校品德教育、体育卫生教育、艺术教育和国防教育工作;负责做好社会治安综合治理及安全保卫工作。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信阳市平桥区信钢学校</w:t>
      </w:r>
      <w:r>
        <w:rPr>
          <w:rFonts w:hint="eastAsia" w:ascii="黑体" w:hAnsi="黑体" w:eastAsia="黑体"/>
          <w:kern w:val="0"/>
          <w:sz w:val="32"/>
          <w:szCs w:val="32"/>
        </w:rPr>
        <w:t>的机构设置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信阳市平桥区信钢学校下设7个内设机构。分别是党支部、办公室、总务处、教务处、政教处、团委办、工会办。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信阳市平桥区信钢学校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960" w:firstLineChars="3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此次公开的预算“无下属机构及其他预算单位”仅有本单位预算。</w:t>
      </w:r>
    </w:p>
    <w:p>
      <w:pPr>
        <w:adjustRightInd w:val="0"/>
        <w:snapToGrid w:val="0"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520" w:firstLineChars="11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信阳市平桥区信钢学校2022年度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信阳市平桥区信钢学校2022年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</w:rPr>
        <w:t>1698.84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</w:rPr>
        <w:t>1698.84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相比，收、支总计各增加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380.21</w:t>
      </w:r>
      <w:r>
        <w:rPr>
          <w:rFonts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</w:rPr>
        <w:t>22.38</w:t>
      </w:r>
      <w:r>
        <w:rPr>
          <w:rFonts w:ascii="仿宋" w:hAnsi="仿宋" w:eastAsia="仿宋" w:cs="宋体"/>
          <w:kern w:val="0"/>
          <w:sz w:val="32"/>
          <w:szCs w:val="32"/>
        </w:rPr>
        <w:t>%。主要原因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新招聘教师增加，工资晋级，人员工资社保缴费增加。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信阳市平桥区信钢学校2022年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</w:rPr>
        <w:t>1698.84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收入1698.84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信阳市平桥区信钢学校2022年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</w:rPr>
        <w:t>1698.84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1698.84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信阳市平桥区信钢学校2022年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1698.84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380.21</w:t>
      </w:r>
      <w:r>
        <w:rPr>
          <w:rFonts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</w:rPr>
        <w:t>22.38</w:t>
      </w:r>
      <w:r>
        <w:rPr>
          <w:rFonts w:ascii="仿宋" w:hAnsi="仿宋" w:eastAsia="仿宋" w:cs="宋体"/>
          <w:kern w:val="0"/>
          <w:sz w:val="32"/>
          <w:szCs w:val="32"/>
        </w:rPr>
        <w:t>%，主要原因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新招聘教师增加，工资晋级，人员工资社保缴费增加。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信阳市平桥区信钢学校2022年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</w:rPr>
        <w:t>1698.84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万元。主要用于以下方面：教育（类）支出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1410.72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</w:rPr>
        <w:t>83.04</w:t>
      </w:r>
      <w:r>
        <w:rPr>
          <w:rFonts w:ascii="仿宋" w:hAnsi="仿宋" w:eastAsia="仿宋" w:cs="宋体"/>
          <w:kern w:val="0"/>
          <w:sz w:val="32"/>
          <w:szCs w:val="32"/>
        </w:rPr>
        <w:t>%；社会保障和就业（类）支出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164.64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</w:rPr>
        <w:t>9.69</w:t>
      </w:r>
      <w:r>
        <w:rPr>
          <w:rFonts w:ascii="仿宋" w:hAnsi="仿宋" w:eastAsia="仿宋" w:cs="宋体"/>
          <w:kern w:val="0"/>
          <w:sz w:val="32"/>
          <w:szCs w:val="32"/>
        </w:rPr>
        <w:t>%住房保障（类）支出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123.48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</w:rPr>
        <w:t>7.27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六</w:t>
      </w:r>
      <w:r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2022年一般公共预算基本支出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1698.84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万元，其中：人员经费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1698.84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万元，主要包括：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基本工资、奖金、绩效工资、其他工资福利支出、社会保障缴费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color w:val="0000FF"/>
          <w:kern w:val="0"/>
          <w:sz w:val="32"/>
          <w:szCs w:val="32"/>
          <w:highlight w:val="magenta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预算管理的不同特点，分设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信阳市平桥区信钢学校</w:t>
      </w:r>
      <w:r>
        <w:rPr>
          <w:rFonts w:ascii="仿宋_GB2312" w:hAnsi="宋体" w:eastAsia="仿宋_GB2312" w:cs="Courier New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</w:rPr>
        <w:t>2年三公经费预算为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“三公”经费支出预算数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相比无变动。</w:t>
      </w: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相比无变动。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相比无变动。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相比无变动</w:t>
      </w:r>
      <w:r>
        <w:rPr>
          <w:rFonts w:ascii="仿宋" w:hAnsi="仿宋" w:eastAsia="仿宋" w:cs="宋体"/>
          <w:kern w:val="0"/>
          <w:sz w:val="32"/>
          <w:szCs w:val="32"/>
        </w:rPr>
        <w:t>；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相比无变动。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信阳市平桥区信钢学校2022年度无政府性基金预算支出。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由于本单位不属于行政单位或参照公务员法管理的事业单位，故没有该项开支。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因此不涉及绩效目标设置情况。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我单位2022年度无</w:t>
      </w:r>
      <w:r>
        <w:rPr>
          <w:rFonts w:ascii="仿宋" w:hAnsi="仿宋" w:eastAsia="仿宋" w:cs="宋体"/>
          <w:kern w:val="0"/>
          <w:sz w:val="32"/>
          <w:szCs w:val="32"/>
        </w:rPr>
        <w:t>负责管理的</w:t>
      </w:r>
      <w:r>
        <w:rPr>
          <w:rFonts w:hint="eastAsia" w:ascii="仿宋" w:hAnsi="仿宋" w:eastAsia="仿宋" w:cs="宋体"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kern w:val="0"/>
          <w:sz w:val="32"/>
          <w:szCs w:val="32"/>
        </w:rPr>
        <w:t>转移支付项目。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</w:t>
      </w:r>
      <w:r>
        <w:rPr>
          <w:rFonts w:ascii="仿宋" w:hAnsi="仿宋" w:eastAsia="仿宋" w:cs="宋体"/>
          <w:kern w:val="0"/>
          <w:sz w:val="32"/>
          <w:szCs w:val="32"/>
        </w:rPr>
        <w:t>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</w:t>
      </w:r>
      <w:r>
        <w:rPr>
          <w:rFonts w:ascii="仿宋" w:hAnsi="仿宋" w:eastAsia="仿宋" w:cs="宋体"/>
          <w:kern w:val="0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 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</w:rPr>
        <w:t>信阳市平桥区信钢学校2022年预算表</w:t>
      </w:r>
      <w:r>
        <w:rPr>
          <w:rFonts w:hint="eastAsia" w:ascii="仿宋" w:hAnsi="仿宋" w:eastAsia="仿宋" w:cs="宋体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8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8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FC2A9"/>
    <w:multiLevelType w:val="singleLevel"/>
    <w:tmpl w:val="4B3FC2A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1Y2E1OWE5ZDExNWM1ZGI4NWI5NjA3NzhkOGM4YzAifQ=="/>
  </w:docVars>
  <w:rsids>
    <w:rsidRoot w:val="00396003"/>
    <w:rsid w:val="00054BBE"/>
    <w:rsid w:val="000629AF"/>
    <w:rsid w:val="000E780A"/>
    <w:rsid w:val="001408C6"/>
    <w:rsid w:val="00177316"/>
    <w:rsid w:val="00396003"/>
    <w:rsid w:val="006C5285"/>
    <w:rsid w:val="00946ABA"/>
    <w:rsid w:val="00A25802"/>
    <w:rsid w:val="00B3595E"/>
    <w:rsid w:val="037416AA"/>
    <w:rsid w:val="09364543"/>
    <w:rsid w:val="0A6F1B02"/>
    <w:rsid w:val="0D3D5F5E"/>
    <w:rsid w:val="0EC010AA"/>
    <w:rsid w:val="0F6B6D3C"/>
    <w:rsid w:val="180D7774"/>
    <w:rsid w:val="1A8B2298"/>
    <w:rsid w:val="1C34759A"/>
    <w:rsid w:val="1D9C09E6"/>
    <w:rsid w:val="1E940EEE"/>
    <w:rsid w:val="1E9822A1"/>
    <w:rsid w:val="1F073C5F"/>
    <w:rsid w:val="1F310DAE"/>
    <w:rsid w:val="2069348A"/>
    <w:rsid w:val="21627873"/>
    <w:rsid w:val="22382002"/>
    <w:rsid w:val="23425013"/>
    <w:rsid w:val="23665D2F"/>
    <w:rsid w:val="23DC2C13"/>
    <w:rsid w:val="24133DF1"/>
    <w:rsid w:val="26B86B17"/>
    <w:rsid w:val="29C8276C"/>
    <w:rsid w:val="2BCB7B04"/>
    <w:rsid w:val="323D6B00"/>
    <w:rsid w:val="32EB6CD2"/>
    <w:rsid w:val="3CDB255C"/>
    <w:rsid w:val="3F095A68"/>
    <w:rsid w:val="424119A9"/>
    <w:rsid w:val="43FF1225"/>
    <w:rsid w:val="44BF192F"/>
    <w:rsid w:val="46FC6FF6"/>
    <w:rsid w:val="49F61DEB"/>
    <w:rsid w:val="506D0E6D"/>
    <w:rsid w:val="50AD2EA7"/>
    <w:rsid w:val="578D049F"/>
    <w:rsid w:val="59D14FBA"/>
    <w:rsid w:val="59E51817"/>
    <w:rsid w:val="5D6E48CE"/>
    <w:rsid w:val="5F552F7D"/>
    <w:rsid w:val="602D71A5"/>
    <w:rsid w:val="678A0557"/>
    <w:rsid w:val="67C0189B"/>
    <w:rsid w:val="68707874"/>
    <w:rsid w:val="6A014E5B"/>
    <w:rsid w:val="6C450EF0"/>
    <w:rsid w:val="6C9854C4"/>
    <w:rsid w:val="6F616041"/>
    <w:rsid w:val="757B4E75"/>
    <w:rsid w:val="766A0C9D"/>
    <w:rsid w:val="7994240D"/>
    <w:rsid w:val="7B4A02D1"/>
    <w:rsid w:val="7B633C51"/>
    <w:rsid w:val="7DA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2">
    <w:name w:val="页眉 Char"/>
    <w:link w:val="6"/>
    <w:qFormat/>
    <w:uiPriority w:val="99"/>
    <w:rPr>
      <w:sz w:val="18"/>
      <w:szCs w:val="18"/>
    </w:rPr>
  </w:style>
  <w:style w:type="character" w:customStyle="1" w:styleId="13">
    <w:name w:val="页脚 Char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2321</Words>
  <Characters>2503</Characters>
  <Lines>19</Lines>
  <Paragraphs>5</Paragraphs>
  <TotalTime>0</TotalTime>
  <ScaleCrop>false</ScaleCrop>
  <LinksUpToDate>false</LinksUpToDate>
  <CharactersWithSpaces>2538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2023-04-12T09:07:00Z</dcterms:created>
  <dc:creator>预算</dc:creator>
  <cp:lastModifiedBy>付小倩</cp:lastModifiedBy>
  <cp:lastPrinted>2020-06-04T09:09:00Z</cp:lastPrinted>
  <dcterms:modified xsi:type="dcterms:W3CDTF">2023-04-28T12:10:47Z</dcterms:modified>
  <dc:title>看过后删除的备注：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BBDEB252E46B4AD9AE408713DD16B038</vt:lpwstr>
  </property>
</Properties>
</file>