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信阳市平桥区彭家湾乡中心学校</w:t>
      </w: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2022年度预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信阳市平桥区彭家湾乡中心学校 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信阳市平桥区彭家湾乡中心学校2022年度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信阳市平桥区彭家湾乡中心学校2022年度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信阳市平桥区彭家湾乡中心学校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信阳市平桥区彭家湾乡中心学校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信阳市平桥区彭家湾乡中心学校的主要职责是：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（一）实施九年义务教育，统筹辖区内中小学，幼儿园。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（二）开展教育活动，促进基础教育发展。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（三）相关社会服务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二、信阳市平桥区彭家湾乡中心学校的机构设置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平桥区彭家湾乡中心学校含辖区内初中1所，小学3所，公办幼儿园1所，民办幼儿园4所。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信阳市平桥区彭家湾乡中心学校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此次公开的预算“无下属机构及其他预算单位”仅有本单位预算。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信阳市平桥区彭家湾乡中心学校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2022年收入总计1601.40万元，支出总计1601.4万元.，比2021年预算减少121.3万元，下降7.04%，主要原因：2022年在职人员减少。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2022年收入合计1601.40万元，其中：一般公共预算1601.4万元。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2022年支出合计1601.40万元，其中：基本支出1601.40万元，占</w:t>
      </w:r>
      <w:bookmarkStart w:id="0" w:name="PO_part2A3Amount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2022年一般公共预算收支预算1601.40万元</w:t>
      </w:r>
      <w:r>
        <w:rPr>
          <w:rFonts w:hint="eastAsia" w:ascii="仿宋_GB2312" w:hAnsi="Times New Roman" w:eastAsia="仿宋_GB2312"/>
          <w:sz w:val="32"/>
          <w:szCs w:val="32"/>
        </w:rPr>
        <w:t>，其中：一般公共预算收支预算比2021年预算减少121.3万元，下降7.04%，主要原因：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2022年在职人员减少。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平桥区彭家湾乡中心学校2022年一般公共预算支出年初预算为1601.40万元。</w:t>
      </w:r>
      <w:r>
        <w:rPr>
          <w:rFonts w:ascii="仿宋" w:hAnsi="仿宋" w:eastAsia="仿宋"/>
          <w:color w:val="000000"/>
          <w:sz w:val="32"/>
          <w:szCs w:val="32"/>
        </w:rPr>
        <w:t>主要用于以下方面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基本支出1601.40万元，占100%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、一般公共预算基本支出预算情况说明</w:t>
      </w:r>
    </w:p>
    <w:p>
      <w:pPr>
        <w:tabs>
          <w:tab w:val="left" w:pos="804"/>
        </w:tabs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ascii="仿宋_GB2312" w:eastAsia="仿宋_GB2312"/>
          <w:sz w:val="32"/>
          <w:szCs w:val="32"/>
        </w:rPr>
        <w:t>1601.40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r>
        <w:rPr>
          <w:rFonts w:hint="eastAsia" w:ascii="仿宋_GB2312" w:hAnsi="宋体" w:eastAsia="仿宋_GB2312"/>
          <w:bCs/>
          <w:sz w:val="32"/>
          <w:szCs w:val="32"/>
        </w:rPr>
        <w:t>1546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96.54%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公用经费支出</w:t>
      </w:r>
      <w:r>
        <w:rPr>
          <w:rFonts w:hint="eastAsia" w:ascii="仿宋_GB2312" w:hAnsi="宋体" w:eastAsia="仿宋_GB2312"/>
          <w:bCs/>
          <w:sz w:val="32"/>
          <w:szCs w:val="32"/>
        </w:rPr>
        <w:t>55.4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3.47%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pacing w:line="58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FF"/>
          <w:kern w:val="0"/>
          <w:sz w:val="32"/>
          <w:szCs w:val="32"/>
          <w:highlight w:val="magent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预算管理的不同特点，分设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平桥区彭家湾乡中心学校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2022年“三公”经费预算为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万元,</w:t>
      </w:r>
      <w:r>
        <w:rPr>
          <w:rFonts w:hint="eastAsia" w:ascii="仿宋_GB2312" w:hAnsi="Times New Roman" w:eastAsia="仿宋_GB2312"/>
          <w:sz w:val="32"/>
          <w:szCs w:val="32"/>
        </w:rPr>
        <w:t>2022年无预算安排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2022年无预算安排.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（二）公务用车购置及运行维护费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Times New Roman" w:eastAsia="仿宋_GB2312"/>
          <w:sz w:val="32"/>
          <w:szCs w:val="32"/>
        </w:rPr>
        <w:t>2022年无预算安排.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（三）公务接待费</w:t>
      </w:r>
      <w:r>
        <w:rPr>
          <w:rFonts w:hint="eastAsia" w:ascii="仿宋_GB2312" w:hAnsi="宋体" w:eastAsia="仿宋_GB2312"/>
          <w:bCs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2022年无预算安排.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2022年本没有政府性基金预算拨款收入，也没有政府性基金预算安排的支出，故无数据情况说明.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由于本单位不属于行政单位或参照公务员法管理的事业单位，故没有该项开支。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2022年政府采购预算安排</w:t>
      </w:r>
      <w:r>
        <w:rPr>
          <w:rFonts w:hint="eastAsia" w:ascii="仿宋_GB2312" w:hAnsi="宋体" w:eastAsia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宋体" w:eastAsia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宋体" w:eastAsia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宋体" w:eastAsia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因此不涉及项目绩效目标设置情况。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（五）专项转移支付项目情况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信阳市平桥区彭家湾乡中心学校无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1" w:name="_GoBack"/>
      <w:bookmarkEnd w:id="1"/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信阳市平桥区彭家湾乡中心学校 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7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7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396003"/>
    <w:rsid w:val="00156BBE"/>
    <w:rsid w:val="00177316"/>
    <w:rsid w:val="002957A7"/>
    <w:rsid w:val="003129F2"/>
    <w:rsid w:val="00396003"/>
    <w:rsid w:val="00501685"/>
    <w:rsid w:val="0084516F"/>
    <w:rsid w:val="009C1566"/>
    <w:rsid w:val="00A25802"/>
    <w:rsid w:val="00AE6E6D"/>
    <w:rsid w:val="00F14F00"/>
    <w:rsid w:val="00F554B2"/>
    <w:rsid w:val="09364543"/>
    <w:rsid w:val="0A6F1B02"/>
    <w:rsid w:val="1C34759A"/>
    <w:rsid w:val="1D9C09E6"/>
    <w:rsid w:val="1E940EEE"/>
    <w:rsid w:val="1F310DAE"/>
    <w:rsid w:val="2069348A"/>
    <w:rsid w:val="21E77065"/>
    <w:rsid w:val="24133DF1"/>
    <w:rsid w:val="26B86B17"/>
    <w:rsid w:val="29C8276C"/>
    <w:rsid w:val="2A073682"/>
    <w:rsid w:val="2BCB7B04"/>
    <w:rsid w:val="32EB6CD2"/>
    <w:rsid w:val="34D73D99"/>
    <w:rsid w:val="3DD80594"/>
    <w:rsid w:val="3F095A68"/>
    <w:rsid w:val="424119A9"/>
    <w:rsid w:val="46FC6FF6"/>
    <w:rsid w:val="49F61DEB"/>
    <w:rsid w:val="506D0E6D"/>
    <w:rsid w:val="50AD2EA7"/>
    <w:rsid w:val="5F552F7D"/>
    <w:rsid w:val="67C0189B"/>
    <w:rsid w:val="68707874"/>
    <w:rsid w:val="6A014E5B"/>
    <w:rsid w:val="6C9854C4"/>
    <w:rsid w:val="743E25C7"/>
    <w:rsid w:val="7994240D"/>
    <w:rsid w:val="7B633C51"/>
    <w:rsid w:val="7DA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2547</Words>
  <Characters>2728</Characters>
  <Lines>19</Lines>
  <Paragraphs>5</Paragraphs>
  <TotalTime>0</TotalTime>
  <ScaleCrop>false</ScaleCrop>
  <LinksUpToDate>false</LinksUpToDate>
  <CharactersWithSpaces>2758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2023-04-12T09:07:00Z</dcterms:created>
  <dc:creator>预算</dc:creator>
  <cp:lastModifiedBy>付小倩</cp:lastModifiedBy>
  <cp:lastPrinted>2020-06-04T09:09:00Z</cp:lastPrinted>
  <dcterms:modified xsi:type="dcterms:W3CDTF">2023-04-28T12:24:22Z</dcterms:modified>
  <dc:title>看过后删除的备注：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