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000000">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3F7B79" w:rsidRDefault="00000000">
      <w:pPr>
        <w:jc w:val="center"/>
        <w:rPr>
          <w:rFonts w:ascii="黑体" w:eastAsia="黑体" w:hAnsi="黑体" w:cs="黑体"/>
          <w:sz w:val="52"/>
          <w:szCs w:val="52"/>
        </w:rPr>
      </w:pPr>
      <w:r>
        <w:rPr>
          <w:rFonts w:ascii="黑体" w:eastAsia="黑体" w:hAnsi="黑体" w:cs="黑体" w:hint="eastAsia"/>
          <w:sz w:val="52"/>
          <w:szCs w:val="52"/>
        </w:rPr>
        <w:t>信阳市平桥区交通运输执法局</w:t>
      </w:r>
    </w:p>
    <w:p w:rsidR="003F7B79" w:rsidRDefault="00000000">
      <w:pPr>
        <w:jc w:val="center"/>
        <w:rPr>
          <w:rFonts w:ascii="黑体" w:eastAsia="黑体" w:hAnsi="黑体" w:cs="黑体"/>
          <w:sz w:val="52"/>
          <w:szCs w:val="52"/>
        </w:rPr>
      </w:pPr>
      <w:r>
        <w:rPr>
          <w:rFonts w:ascii="黑体" w:eastAsia="黑体" w:hAnsi="黑体" w:cs="黑体" w:hint="eastAsia"/>
          <w:sz w:val="52"/>
          <w:szCs w:val="52"/>
        </w:rPr>
        <w:t>部门决算</w:t>
      </w:r>
    </w:p>
    <w:p w:rsidR="003F7B79" w:rsidRDefault="003F7B79">
      <w:pPr>
        <w:jc w:val="center"/>
        <w:rPr>
          <w:rFonts w:ascii="黑体" w:eastAsia="黑体" w:hAnsi="黑体" w:cs="黑体"/>
          <w:sz w:val="52"/>
          <w:szCs w:val="52"/>
        </w:rPr>
      </w:pPr>
    </w:p>
    <w:p w:rsidR="003F7B79" w:rsidRDefault="003F7B79">
      <w:pPr>
        <w:jc w:val="center"/>
        <w:rPr>
          <w:rFonts w:ascii="黑体" w:eastAsia="黑体" w:hAnsi="黑体" w:cs="黑体"/>
          <w:sz w:val="52"/>
          <w:szCs w:val="52"/>
        </w:rPr>
      </w:pPr>
    </w:p>
    <w:p w:rsidR="003F7B79" w:rsidRDefault="003F7B79">
      <w:pPr>
        <w:jc w:val="center"/>
        <w:rPr>
          <w:rFonts w:ascii="黑体" w:eastAsia="黑体" w:hAnsi="黑体" w:cs="黑体"/>
          <w:sz w:val="52"/>
          <w:szCs w:val="52"/>
        </w:rPr>
      </w:pPr>
    </w:p>
    <w:p w:rsidR="003F7B79" w:rsidRDefault="003F7B79">
      <w:pPr>
        <w:jc w:val="center"/>
        <w:rPr>
          <w:rFonts w:ascii="黑体" w:eastAsia="黑体" w:hAnsi="黑体" w:cs="黑体"/>
          <w:sz w:val="52"/>
          <w:szCs w:val="52"/>
        </w:rPr>
      </w:pPr>
    </w:p>
    <w:p w:rsidR="003F7B79" w:rsidRDefault="003F7B79">
      <w:pPr>
        <w:jc w:val="center"/>
        <w:rPr>
          <w:rFonts w:ascii="黑体" w:eastAsia="黑体" w:hAnsi="黑体" w:cs="黑体"/>
          <w:sz w:val="52"/>
          <w:szCs w:val="52"/>
        </w:rPr>
      </w:pPr>
    </w:p>
    <w:p w:rsidR="003F7B79" w:rsidRDefault="003F7B79">
      <w:pPr>
        <w:jc w:val="center"/>
        <w:rPr>
          <w:rFonts w:ascii="黑体" w:eastAsia="黑体" w:hAnsi="黑体" w:cs="黑体"/>
          <w:sz w:val="52"/>
          <w:szCs w:val="52"/>
        </w:rPr>
      </w:pPr>
    </w:p>
    <w:p w:rsidR="003F7B79" w:rsidRDefault="00000000">
      <w:pPr>
        <w:jc w:val="center"/>
        <w:rPr>
          <w:rFonts w:ascii="黑体" w:eastAsia="黑体" w:hAnsi="黑体" w:cs="黑体"/>
          <w:sz w:val="32"/>
          <w:szCs w:val="32"/>
        </w:rPr>
        <w:sectPr w:rsidR="003F7B79">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rsidR="003F7B79"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3F7B79" w:rsidRDefault="00000000">
      <w:pPr>
        <w:jc w:val="left"/>
        <w:rPr>
          <w:rFonts w:ascii="黑体" w:eastAsia="黑体" w:hAnsi="黑体" w:cs="黑体"/>
          <w:sz w:val="32"/>
          <w:szCs w:val="32"/>
        </w:rPr>
      </w:pPr>
      <w:r>
        <w:rPr>
          <w:rFonts w:ascii="黑体" w:eastAsia="黑体" w:hAnsi="黑体" w:cs="黑体" w:hint="eastAsia"/>
          <w:sz w:val="32"/>
          <w:szCs w:val="32"/>
        </w:rPr>
        <w:t>第一部分　信阳市平桥区交通运输执法局概况</w:t>
      </w:r>
    </w:p>
    <w:p w:rsidR="003F7B79"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3F7B79"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3F7B79" w:rsidRDefault="00000000">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二、收入决算表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三、支出决算表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3F7B79" w:rsidRDefault="00000000">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3F7B79" w:rsidRDefault="00000000">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lastRenderedPageBreak/>
        <w:t>八、政府性基金预算财政拨款支出决算情况说明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九、机关运行经费支出情况说明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十、政府采购支出情况说明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十一、国有资产占用情况说明</w:t>
      </w:r>
    </w:p>
    <w:p w:rsidR="003F7B79" w:rsidRDefault="00000000">
      <w:pPr>
        <w:ind w:firstLineChars="200" w:firstLine="640"/>
        <w:jc w:val="left"/>
        <w:rPr>
          <w:rFonts w:ascii="宋体" w:hAnsi="宋体" w:cs="宋体"/>
          <w:sz w:val="32"/>
          <w:szCs w:val="32"/>
        </w:rPr>
      </w:pPr>
      <w:r>
        <w:rPr>
          <w:rFonts w:ascii="宋体" w:hAnsi="宋体" w:cs="宋体" w:hint="eastAsia"/>
          <w:sz w:val="32"/>
          <w:szCs w:val="32"/>
        </w:rPr>
        <w:t>十二、预算绩效情况说明</w:t>
      </w:r>
    </w:p>
    <w:p w:rsidR="003F7B79" w:rsidRDefault="00000000">
      <w:pPr>
        <w:jc w:val="left"/>
        <w:rPr>
          <w:rFonts w:ascii="黑体" w:eastAsia="黑体" w:hAnsi="黑体" w:cs="黑体"/>
          <w:sz w:val="32"/>
          <w:szCs w:val="32"/>
        </w:rPr>
      </w:pPr>
      <w:r>
        <w:rPr>
          <w:rFonts w:ascii="黑体" w:eastAsia="黑体" w:hAnsi="黑体" w:cs="黑体" w:hint="eastAsia"/>
          <w:sz w:val="32"/>
          <w:szCs w:val="32"/>
        </w:rPr>
        <w:t>第四部分　　名词解释</w:t>
      </w: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000000">
      <w:pPr>
        <w:widowControl/>
        <w:jc w:val="center"/>
        <w:outlineLvl w:val="0"/>
        <w:rPr>
          <w:rFonts w:ascii="黑体" w:eastAsia="黑体" w:hAnsi="黑体" w:cs="黑体"/>
          <w:sz w:val="48"/>
          <w:szCs w:val="48"/>
        </w:rPr>
      </w:pPr>
      <w:r>
        <w:rPr>
          <w:rFonts w:ascii="黑体" w:eastAsia="黑体" w:hAnsi="黑体" w:cs="黑体" w:hint="eastAsia"/>
          <w:sz w:val="48"/>
          <w:szCs w:val="48"/>
        </w:rPr>
        <w:lastRenderedPageBreak/>
        <w:t>第一部分 信阳市平桥区交通运输</w:t>
      </w:r>
    </w:p>
    <w:p w:rsidR="003F7B79" w:rsidRDefault="00000000">
      <w:pPr>
        <w:widowControl/>
        <w:ind w:firstLineChars="600" w:firstLine="2880"/>
        <w:outlineLvl w:val="0"/>
        <w:rPr>
          <w:rFonts w:ascii="黑体" w:eastAsia="黑体" w:hAnsi="宋体" w:cs="宋体"/>
          <w:kern w:val="0"/>
          <w:sz w:val="28"/>
          <w:szCs w:val="28"/>
        </w:rPr>
      </w:pPr>
      <w:r>
        <w:rPr>
          <w:rFonts w:ascii="黑体" w:eastAsia="黑体" w:hAnsi="黑体" w:cs="黑体" w:hint="eastAsia"/>
          <w:sz w:val="48"/>
          <w:szCs w:val="48"/>
        </w:rPr>
        <w:t>执法局概况</w:t>
      </w:r>
    </w:p>
    <w:p w:rsidR="003F7B79" w:rsidRDefault="003F7B79">
      <w:pPr>
        <w:widowControl/>
        <w:ind w:firstLineChars="200" w:firstLine="640"/>
        <w:jc w:val="left"/>
        <w:outlineLvl w:val="1"/>
        <w:rPr>
          <w:rFonts w:ascii="黑体" w:eastAsia="黑体" w:hAnsi="黑体" w:cs="黑体"/>
          <w:kern w:val="0"/>
          <w:sz w:val="32"/>
          <w:szCs w:val="32"/>
        </w:rPr>
      </w:pPr>
    </w:p>
    <w:p w:rsidR="003F7B79" w:rsidRDefault="0000000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3F7B79" w:rsidRDefault="00000000">
      <w:pPr>
        <w:numPr>
          <w:ilvl w:val="0"/>
          <w:numId w:val="2"/>
        </w:numPr>
        <w:ind w:left="0" w:firstLine="750"/>
        <w:rPr>
          <w:rFonts w:ascii="Calibri" w:eastAsia="仿宋_GB2312" w:hAnsi="Calibri"/>
          <w:sz w:val="32"/>
          <w:szCs w:val="32"/>
        </w:rPr>
      </w:pPr>
      <w:r>
        <w:rPr>
          <w:rFonts w:ascii="Calibri" w:eastAsia="仿宋_GB2312" w:hAnsi="Calibri" w:hint="eastAsia"/>
          <w:sz w:val="32"/>
          <w:szCs w:val="32"/>
        </w:rPr>
        <w:t>贯彻执行国家、省、市、区有关交通运输管理法律、法规、办法和方针政策，行使辖区内道路运输路面执法工作；负责辖区内货运源头治超工作及流动治超工作；负责辖区内路政执法工作。</w:t>
      </w:r>
    </w:p>
    <w:p w:rsidR="003F7B79" w:rsidRDefault="00000000">
      <w:pPr>
        <w:numPr>
          <w:ilvl w:val="0"/>
          <w:numId w:val="2"/>
        </w:numPr>
        <w:ind w:left="0" w:firstLine="750"/>
        <w:rPr>
          <w:rFonts w:ascii="Calibri" w:eastAsia="仿宋_GB2312" w:hAnsi="Calibri"/>
          <w:sz w:val="32"/>
          <w:szCs w:val="32"/>
        </w:rPr>
      </w:pPr>
      <w:r>
        <w:rPr>
          <w:rFonts w:ascii="Calibri" w:eastAsia="仿宋_GB2312" w:hAnsi="Calibri" w:hint="eastAsia"/>
          <w:sz w:val="32"/>
          <w:szCs w:val="32"/>
        </w:rPr>
        <w:t>负责实施辖区交通运输执法机构信息化和执法队伍标准化建设；组织辖区交通运输行政执法宣传教育和人员业务培训工作；加强辖区交通运输执法人员的执法资格管理工作。</w:t>
      </w:r>
    </w:p>
    <w:p w:rsidR="003F7B79" w:rsidRDefault="00000000">
      <w:pPr>
        <w:numPr>
          <w:ilvl w:val="0"/>
          <w:numId w:val="2"/>
        </w:numPr>
        <w:ind w:left="0" w:firstLine="750"/>
        <w:rPr>
          <w:rFonts w:ascii="Calibri" w:eastAsia="仿宋_GB2312" w:hAnsi="Calibri"/>
          <w:sz w:val="32"/>
          <w:szCs w:val="32"/>
        </w:rPr>
      </w:pPr>
      <w:r>
        <w:rPr>
          <w:rFonts w:ascii="Calibri" w:eastAsia="仿宋_GB2312" w:hAnsi="Calibri" w:hint="eastAsia"/>
          <w:sz w:val="32"/>
          <w:szCs w:val="32"/>
        </w:rPr>
        <w:t>负责辖区交通运输执法中的安全管理工作，参与交通运输行业安全生产事故和重大自然灾害的应急处置以及安全生产有关事故调查处理工作。</w:t>
      </w:r>
    </w:p>
    <w:p w:rsidR="003F7B79" w:rsidRDefault="00000000">
      <w:pPr>
        <w:numPr>
          <w:ilvl w:val="0"/>
          <w:numId w:val="2"/>
        </w:numPr>
        <w:ind w:left="0" w:firstLine="750"/>
        <w:rPr>
          <w:rFonts w:ascii="Calibri" w:eastAsia="仿宋_GB2312" w:hAnsi="Calibri"/>
          <w:sz w:val="32"/>
          <w:szCs w:val="32"/>
        </w:rPr>
      </w:pPr>
      <w:r>
        <w:rPr>
          <w:rFonts w:ascii="Calibri" w:eastAsia="仿宋_GB2312" w:hAnsi="Calibri" w:hint="eastAsia"/>
          <w:sz w:val="32"/>
          <w:szCs w:val="32"/>
        </w:rPr>
        <w:t>承办辖区政府和交通运输主管交办的其他工作。</w:t>
      </w:r>
    </w:p>
    <w:p w:rsidR="003F7B79" w:rsidRDefault="0000000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3F7B79" w:rsidRDefault="00000000">
      <w:pPr>
        <w:spacing w:line="657" w:lineRule="atLeast"/>
        <w:ind w:firstLineChars="200" w:firstLine="600"/>
        <w:textAlignment w:val="bottom"/>
        <w:rPr>
          <w:rFonts w:ascii="仿宋" w:eastAsia="仿宋" w:hAnsi="仿宋" w:cs="仿宋"/>
          <w:sz w:val="32"/>
          <w:szCs w:val="32"/>
        </w:rPr>
      </w:pPr>
      <w:r>
        <w:rPr>
          <w:rFonts w:ascii="Calibri" w:eastAsia="仿宋_GB2312" w:hAnsi="Calibri" w:hint="eastAsia"/>
          <w:sz w:val="30"/>
          <w:szCs w:val="30"/>
        </w:rPr>
        <w:t>信阳市平桥区交通运输执法局</w:t>
      </w:r>
      <w:r>
        <w:rPr>
          <w:rFonts w:ascii="仿宋_GB2312" w:eastAsia="仿宋_GB2312" w:hAnsi="Calibri" w:hint="eastAsia"/>
          <w:sz w:val="30"/>
          <w:szCs w:val="30"/>
        </w:rPr>
        <w:t>是平桥区交通运输局直属事业单位，内设综合办公室、行政法规股、执法监督股三个股室，下设</w:t>
      </w:r>
      <w:r>
        <w:rPr>
          <w:rFonts w:ascii="仿宋" w:eastAsia="仿宋" w:hAnsi="仿宋" w:cs="仿宋" w:hint="eastAsia"/>
          <w:sz w:val="32"/>
          <w:szCs w:val="32"/>
        </w:rPr>
        <w:t>明港公路超限检测站、平桥中队、明港中队、机动执法中队四个机构。</w:t>
      </w:r>
    </w:p>
    <w:p w:rsidR="003F7B79" w:rsidRDefault="000000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从决算单位构成看，</w:t>
      </w:r>
      <w:r>
        <w:rPr>
          <w:rFonts w:ascii="Calibri" w:eastAsia="仿宋_GB2312" w:hAnsi="Calibri" w:hint="eastAsia"/>
          <w:sz w:val="30"/>
          <w:szCs w:val="30"/>
        </w:rPr>
        <w:t>信阳市平桥区交通运输执法局</w:t>
      </w:r>
      <w:r>
        <w:rPr>
          <w:rFonts w:ascii="仿宋_GB2312" w:eastAsia="仿宋_GB2312" w:hAnsi="仿宋_GB2312" w:cs="仿宋_GB2312" w:hint="eastAsia"/>
          <w:kern w:val="0"/>
          <w:sz w:val="32"/>
          <w:szCs w:val="32"/>
        </w:rPr>
        <w:t>部门决算包括：本级决算。</w:t>
      </w:r>
    </w:p>
    <w:p w:rsidR="003F7B79" w:rsidRDefault="003F7B79">
      <w:pPr>
        <w:widowControl/>
        <w:ind w:firstLineChars="200" w:firstLine="640"/>
        <w:jc w:val="left"/>
        <w:rPr>
          <w:rFonts w:ascii="仿宋_GB2312" w:eastAsia="仿宋_GB2312" w:hAnsi="仿宋_GB2312" w:cs="仿宋_GB2312"/>
          <w:kern w:val="0"/>
          <w:sz w:val="32"/>
          <w:szCs w:val="32"/>
        </w:rPr>
      </w:pPr>
    </w:p>
    <w:p w:rsidR="003F7B79" w:rsidRDefault="003F7B79">
      <w:pPr>
        <w:widowControl/>
        <w:jc w:val="left"/>
        <w:rPr>
          <w:rFonts w:ascii="黑体" w:eastAsia="黑体" w:hAnsi="宋体" w:cs="宋体"/>
          <w:kern w:val="0"/>
          <w:sz w:val="28"/>
          <w:szCs w:val="28"/>
        </w:rPr>
        <w:sectPr w:rsidR="003F7B79">
          <w:footerReference w:type="even" r:id="rId8"/>
          <w:footerReference w:type="default" r:id="rId9"/>
          <w:pgSz w:w="11906" w:h="16838"/>
          <w:pgMar w:top="1440" w:right="1800" w:bottom="1440" w:left="1800" w:header="720" w:footer="720" w:gutter="0"/>
          <w:pgNumType w:fmt="numberInDash"/>
          <w:cols w:space="720"/>
          <w:docGrid w:type="lines" w:linePitch="312"/>
        </w:sect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000000">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sectPr w:rsidR="003F7B79">
          <w:pgSz w:w="11906" w:h="16838"/>
          <w:pgMar w:top="1440" w:right="1800" w:bottom="1440" w:left="180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F7B79">
        <w:trPr>
          <w:trHeight w:val="360"/>
        </w:trPr>
        <w:tc>
          <w:tcPr>
            <w:tcW w:w="13988" w:type="dxa"/>
            <w:gridSpan w:val="6"/>
            <w:tcBorders>
              <w:top w:val="nil"/>
              <w:left w:val="nil"/>
              <w:bottom w:val="nil"/>
              <w:right w:val="nil"/>
            </w:tcBorders>
            <w:noWrap/>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收入支出决算总表</w:t>
            </w:r>
          </w:p>
        </w:tc>
      </w:tr>
      <w:tr w:rsidR="003F7B79">
        <w:trPr>
          <w:trHeight w:val="199"/>
        </w:trPr>
        <w:tc>
          <w:tcPr>
            <w:tcW w:w="4279"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公开01表</w:t>
            </w:r>
          </w:p>
        </w:tc>
      </w:tr>
      <w:tr w:rsidR="003F7B79">
        <w:trPr>
          <w:trHeight w:val="300"/>
        </w:trPr>
        <w:tc>
          <w:tcPr>
            <w:tcW w:w="4279"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部门：信阳市平桥区交通运输执法局</w:t>
            </w:r>
          </w:p>
        </w:tc>
        <w:tc>
          <w:tcPr>
            <w:tcW w:w="825"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w:t>
            </w: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951.90</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w:t>
            </w:r>
            <w:r>
              <w:rPr>
                <w:rFonts w:ascii="宋体" w:hAnsi="宋体" w:cs="宋体"/>
                <w:color w:val="000000"/>
                <w:kern w:val="0"/>
                <w:sz w:val="20"/>
                <w:szCs w:val="20"/>
                <w:lang w:bidi="ar"/>
              </w:rPr>
              <w:t>预算财政拨款</w:t>
            </w:r>
            <w:r>
              <w:rPr>
                <w:rFonts w:ascii="宋体" w:hAnsi="宋体" w:cs="宋体" w:hint="eastAsia"/>
                <w:color w:val="000000"/>
                <w:kern w:val="0"/>
                <w:sz w:val="20"/>
                <w:szCs w:val="20"/>
                <w:lang w:bidi="ar"/>
              </w:rPr>
              <w:t>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三、国有资本</w:t>
            </w:r>
            <w:r>
              <w:rPr>
                <w:rFonts w:ascii="宋体" w:hAnsi="宋体" w:cs="宋体"/>
                <w:color w:val="000000"/>
                <w:kern w:val="0"/>
                <w:sz w:val="20"/>
                <w:szCs w:val="20"/>
                <w:lang w:bidi="ar"/>
              </w:rPr>
              <w:t>经营预算财政拨款</w:t>
            </w:r>
            <w:r>
              <w:rPr>
                <w:rFonts w:ascii="宋体" w:hAnsi="宋体" w:cs="宋体" w:hint="eastAsia"/>
                <w:color w:val="000000"/>
                <w:kern w:val="0"/>
                <w:sz w:val="20"/>
                <w:szCs w:val="20"/>
                <w:lang w:bidi="ar"/>
              </w:rPr>
              <w:t>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四、上级补助收入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widowControl/>
              <w:jc w:val="center"/>
              <w:textAlignment w:val="center"/>
              <w:rPr>
                <w:rFonts w:ascii="宋体" w:hAnsi="宋体" w:cs="宋体"/>
                <w:color w:val="000000"/>
                <w:kern w:val="0"/>
                <w:sz w:val="20"/>
                <w:szCs w:val="20"/>
                <w:lang w:bidi="ar"/>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widowControl/>
              <w:jc w:val="center"/>
              <w:textAlignment w:val="center"/>
              <w:rPr>
                <w:rFonts w:ascii="宋体" w:hAnsi="宋体" w:cs="宋体"/>
                <w:color w:val="000000"/>
                <w:kern w:val="0"/>
                <w:sz w:val="20"/>
                <w:szCs w:val="20"/>
                <w:lang w:bidi="ar"/>
              </w:rPr>
            </w:pP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六、经营收入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widowControl/>
              <w:jc w:val="center"/>
              <w:textAlignment w:val="center"/>
              <w:rPr>
                <w:rFonts w:ascii="宋体" w:hAnsi="宋体" w:cs="宋体"/>
                <w:color w:val="000000"/>
                <w:kern w:val="0"/>
                <w:sz w:val="20"/>
                <w:szCs w:val="20"/>
                <w:lang w:bidi="ar"/>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widowControl/>
              <w:jc w:val="center"/>
              <w:textAlignment w:val="center"/>
              <w:rPr>
                <w:rFonts w:ascii="宋体" w:hAnsi="宋体" w:cs="宋体"/>
                <w:color w:val="000000"/>
                <w:kern w:val="0"/>
                <w:sz w:val="20"/>
                <w:szCs w:val="20"/>
                <w:lang w:bidi="ar"/>
              </w:rPr>
            </w:pP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七、附属单位上缴收入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七、交通运输支出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1,233.12</w:t>
            </w: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八、其他收入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4.72</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widowControl/>
              <w:jc w:val="left"/>
              <w:textAlignment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956.62</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1,233.12</w:t>
            </w: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4.14</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272.36</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76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467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699" w:type="dxa"/>
            <w:tcBorders>
              <w:top w:val="single" w:sz="4" w:space="0" w:color="000000"/>
              <w:left w:val="nil"/>
              <w:bottom w:val="nil"/>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39"/>
        </w:trPr>
        <w:tc>
          <w:tcPr>
            <w:tcW w:w="4279"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76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1,233.12</w:t>
            </w:r>
          </w:p>
        </w:tc>
        <w:tc>
          <w:tcPr>
            <w:tcW w:w="4671"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699"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1,233.12</w:t>
            </w:r>
          </w:p>
        </w:tc>
      </w:tr>
      <w:tr w:rsidR="003F7B79">
        <w:trPr>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注：本表反映部门本年度的总收支和年末结转结余情况。本表金额转换为万元时，因四舍五入可能存在尾差。</w:t>
            </w:r>
          </w:p>
        </w:tc>
      </w:tr>
    </w:tbl>
    <w:p w:rsidR="003F7B79" w:rsidRDefault="003F7B79">
      <w:pPr>
        <w:rPr>
          <w:rFonts w:ascii="仿宋_GB2312" w:eastAsia="仿宋_GB2312" w:hAnsi="仿宋_GB2312" w:cs="仿宋_GB2312"/>
          <w:sz w:val="32"/>
          <w:szCs w:val="32"/>
        </w:rPr>
      </w:pPr>
    </w:p>
    <w:p w:rsidR="003F7B79" w:rsidRDefault="003F7B79">
      <w:pPr>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027"/>
        <w:gridCol w:w="60"/>
        <w:gridCol w:w="1271"/>
        <w:gridCol w:w="1553"/>
        <w:gridCol w:w="88"/>
        <w:gridCol w:w="1465"/>
        <w:gridCol w:w="176"/>
        <w:gridCol w:w="1377"/>
        <w:gridCol w:w="264"/>
        <w:gridCol w:w="1289"/>
        <w:gridCol w:w="352"/>
        <w:gridCol w:w="1201"/>
        <w:gridCol w:w="440"/>
        <w:gridCol w:w="1113"/>
        <w:gridCol w:w="528"/>
        <w:gridCol w:w="1642"/>
      </w:tblGrid>
      <w:tr w:rsidR="003F7B79">
        <w:trPr>
          <w:trHeight w:val="435"/>
        </w:trPr>
        <w:tc>
          <w:tcPr>
            <w:tcW w:w="13845" w:type="dxa"/>
            <w:gridSpan w:val="16"/>
            <w:tcBorders>
              <w:top w:val="nil"/>
              <w:left w:val="nil"/>
              <w:bottom w:val="nil"/>
              <w:right w:val="nil"/>
            </w:tcBorders>
            <w:noWrap/>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收入决算表</w:t>
            </w:r>
          </w:p>
        </w:tc>
      </w:tr>
      <w:tr w:rsidR="003F7B79">
        <w:trPr>
          <w:trHeight w:val="285"/>
        </w:trPr>
        <w:tc>
          <w:tcPr>
            <w:tcW w:w="1027"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公开02表</w:t>
            </w:r>
          </w:p>
        </w:tc>
      </w:tr>
      <w:tr w:rsidR="003F7B79">
        <w:trPr>
          <w:trHeight w:val="300"/>
        </w:trPr>
        <w:tc>
          <w:tcPr>
            <w:tcW w:w="1027"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59"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824"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jc w:val="right"/>
              <w:rPr>
                <w:rFonts w:ascii="宋体" w:hAnsi="宋体" w:cs="宋体"/>
                <w:color w:val="000000"/>
                <w:sz w:val="20"/>
                <w:szCs w:val="20"/>
              </w:rPr>
            </w:pPr>
            <w:r>
              <w:rPr>
                <w:rFonts w:ascii="宋体" w:hAnsi="宋体" w:cs="宋体" w:hint="eastAsia"/>
                <w:color w:val="000000"/>
                <w:sz w:val="20"/>
                <w:szCs w:val="20"/>
              </w:rPr>
              <w:t>信阳市平桥区交通运输执法局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450"/>
        </w:trPr>
        <w:tc>
          <w:tcPr>
            <w:tcW w:w="235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财政拨款收入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r>
      <w:tr w:rsidR="003F7B79">
        <w:trPr>
          <w:trHeight w:val="450"/>
        </w:trPr>
        <w:tc>
          <w:tcPr>
            <w:tcW w:w="108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108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2357"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3F7B79">
        <w:trPr>
          <w:trHeight w:val="450"/>
        </w:trPr>
        <w:tc>
          <w:tcPr>
            <w:tcW w:w="2357"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956.62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951.90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4.72</w:t>
            </w:r>
          </w:p>
        </w:tc>
      </w:tr>
      <w:tr w:rsidR="003F7B7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214</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交通运输支出</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956.62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951.90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4.72</w:t>
            </w:r>
          </w:p>
        </w:tc>
      </w:tr>
      <w:tr w:rsidR="003F7B7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21401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公路水路运输</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956.62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951.90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4.72</w:t>
            </w:r>
          </w:p>
        </w:tc>
      </w:tr>
      <w:tr w:rsidR="003F7B7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2140199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其他公路水路运输支出</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956.62</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951.90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4.72</w:t>
            </w:r>
          </w:p>
        </w:tc>
      </w:tr>
      <w:tr w:rsidR="003F7B7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50"/>
        </w:trPr>
        <w:tc>
          <w:tcPr>
            <w:tcW w:w="1086"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71"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642"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615"/>
        </w:trPr>
        <w:tc>
          <w:tcPr>
            <w:tcW w:w="13845" w:type="dxa"/>
            <w:gridSpan w:val="16"/>
            <w:tcBorders>
              <w:top w:val="single" w:sz="8" w:space="0" w:color="000000"/>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注：本表反映部门本年度取得的各项收入情况。本表金额转换为万元时，因四舍五入可能存在尾差。</w:t>
            </w:r>
          </w:p>
        </w:tc>
      </w:tr>
    </w:tbl>
    <w:p w:rsidR="003F7B79" w:rsidRDefault="003F7B79">
      <w:pPr>
        <w:rPr>
          <w:rFonts w:ascii="仿宋_GB2312" w:eastAsia="仿宋_GB2312" w:hAnsi="仿宋_GB2312" w:cs="仿宋_GB2312"/>
          <w:sz w:val="32"/>
          <w:szCs w:val="32"/>
        </w:rPr>
      </w:pPr>
    </w:p>
    <w:p w:rsidR="003F7B79" w:rsidRDefault="003F7B79">
      <w:pPr>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120"/>
        <w:gridCol w:w="90"/>
        <w:gridCol w:w="1376"/>
        <w:gridCol w:w="1774"/>
        <w:gridCol w:w="130"/>
        <w:gridCol w:w="1672"/>
        <w:gridCol w:w="232"/>
        <w:gridCol w:w="1569"/>
        <w:gridCol w:w="335"/>
        <w:gridCol w:w="1467"/>
        <w:gridCol w:w="437"/>
        <w:gridCol w:w="1364"/>
        <w:gridCol w:w="540"/>
        <w:gridCol w:w="1909"/>
      </w:tblGrid>
      <w:tr w:rsidR="003F7B79">
        <w:trPr>
          <w:trHeight w:val="435"/>
        </w:trPr>
        <w:tc>
          <w:tcPr>
            <w:tcW w:w="13988" w:type="dxa"/>
            <w:gridSpan w:val="14"/>
            <w:tcBorders>
              <w:top w:val="nil"/>
              <w:left w:val="nil"/>
              <w:bottom w:val="nil"/>
              <w:right w:val="nil"/>
            </w:tcBorders>
            <w:noWrap/>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支出决算表</w:t>
            </w:r>
          </w:p>
        </w:tc>
      </w:tr>
      <w:tr w:rsidR="003F7B79">
        <w:trPr>
          <w:trHeight w:val="285"/>
        </w:trPr>
        <w:tc>
          <w:tcPr>
            <w:tcW w:w="112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公开03表</w:t>
            </w:r>
          </w:p>
        </w:tc>
      </w:tr>
      <w:tr w:rsidR="003F7B79">
        <w:trPr>
          <w:trHeight w:val="300"/>
        </w:trPr>
        <w:tc>
          <w:tcPr>
            <w:tcW w:w="1120"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9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3123"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r>
              <w:rPr>
                <w:rFonts w:ascii="宋体" w:hAnsi="宋体" w:cs="宋体" w:hint="eastAsia"/>
                <w:color w:val="000000"/>
                <w:sz w:val="20"/>
                <w:szCs w:val="20"/>
              </w:rPr>
              <w:t>信阳市平桥区交通运输执法局</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450"/>
        </w:trPr>
        <w:tc>
          <w:tcPr>
            <w:tcW w:w="2559"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上缴上级支出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经营支出</w:t>
            </w:r>
          </w:p>
        </w:tc>
        <w:tc>
          <w:tcPr>
            <w:tcW w:w="1909"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对附属单位补助支出</w:t>
            </w:r>
          </w:p>
        </w:tc>
      </w:tr>
      <w:tr w:rsidR="003F7B79">
        <w:trPr>
          <w:trHeight w:val="450"/>
        </w:trPr>
        <w:tc>
          <w:tcPr>
            <w:tcW w:w="1183"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1183"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2559"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0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3F7B79">
        <w:trPr>
          <w:trHeight w:val="450"/>
        </w:trPr>
        <w:tc>
          <w:tcPr>
            <w:tcW w:w="2559"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r>
      <w:tr w:rsidR="003F7B79">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214</w:t>
            </w: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交通运输支出</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r>
      <w:tr w:rsidR="003F7B79">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21401</w:t>
            </w: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公路水路运输</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r>
      <w:tr w:rsidR="003F7B79">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2140199</w:t>
            </w: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其他公路水路运输支出</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1,233.12</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3F7B79">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9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450"/>
        </w:trPr>
        <w:tc>
          <w:tcPr>
            <w:tcW w:w="1183" w:type="dxa"/>
            <w:gridSpan w:val="2"/>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376"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909"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r>
      <w:tr w:rsidR="003F7B79">
        <w:trPr>
          <w:trHeight w:val="630"/>
        </w:trPr>
        <w:tc>
          <w:tcPr>
            <w:tcW w:w="13988" w:type="dxa"/>
            <w:gridSpan w:val="14"/>
            <w:tcBorders>
              <w:top w:val="single" w:sz="8" w:space="0" w:color="000000"/>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注：本表反映部门本年度各项支出情况。本表金额转换为万元时，因四舍五入可能存在尾差。</w:t>
            </w:r>
          </w:p>
        </w:tc>
      </w:tr>
    </w:tbl>
    <w:p w:rsidR="003F7B79" w:rsidRDefault="003F7B79">
      <w:pPr>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3417"/>
        <w:gridCol w:w="1297"/>
        <w:gridCol w:w="1210"/>
        <w:gridCol w:w="2596"/>
        <w:gridCol w:w="993"/>
        <w:gridCol w:w="954"/>
        <w:gridCol w:w="1185"/>
        <w:gridCol w:w="320"/>
        <w:gridCol w:w="943"/>
        <w:gridCol w:w="1058"/>
      </w:tblGrid>
      <w:tr w:rsidR="003F7B79">
        <w:trPr>
          <w:trHeight w:val="360"/>
        </w:trPr>
        <w:tc>
          <w:tcPr>
            <w:tcW w:w="12915" w:type="dxa"/>
            <w:gridSpan w:val="9"/>
            <w:tcBorders>
              <w:top w:val="nil"/>
              <w:left w:val="nil"/>
              <w:bottom w:val="nil"/>
              <w:right w:val="nil"/>
            </w:tcBorders>
            <w:noWrap/>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财政拨款收入支出决算总表</w:t>
            </w:r>
          </w:p>
        </w:tc>
        <w:tc>
          <w:tcPr>
            <w:tcW w:w="1058" w:type="dxa"/>
            <w:tcBorders>
              <w:top w:val="nil"/>
              <w:left w:val="nil"/>
              <w:bottom w:val="nil"/>
              <w:right w:val="nil"/>
            </w:tcBorders>
          </w:tcPr>
          <w:p w:rsidR="003F7B79" w:rsidRDefault="003F7B79">
            <w:pPr>
              <w:widowControl/>
              <w:jc w:val="center"/>
              <w:textAlignment w:val="center"/>
              <w:rPr>
                <w:rFonts w:ascii="华文中宋" w:eastAsia="华文中宋" w:hAnsi="华文中宋" w:cs="华文中宋"/>
                <w:color w:val="000000"/>
                <w:kern w:val="0"/>
                <w:sz w:val="32"/>
                <w:szCs w:val="32"/>
                <w:lang w:bidi="ar"/>
              </w:rPr>
            </w:pPr>
          </w:p>
        </w:tc>
      </w:tr>
      <w:tr w:rsidR="003F7B79">
        <w:trPr>
          <w:trHeight w:val="199"/>
        </w:trPr>
        <w:tc>
          <w:tcPr>
            <w:tcW w:w="3417"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954"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05"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ordWrap w:val="0"/>
              <w:jc w:val="righ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widowControl/>
              <w:jc w:val="right"/>
              <w:textAlignment w:val="center"/>
              <w:rPr>
                <w:rFonts w:ascii="宋体" w:hAnsi="宋体" w:cs="宋体"/>
                <w:color w:val="000000"/>
                <w:kern w:val="0"/>
                <w:sz w:val="20"/>
                <w:szCs w:val="20"/>
                <w:lang w:bidi="ar"/>
              </w:rPr>
            </w:pPr>
          </w:p>
        </w:tc>
        <w:tc>
          <w:tcPr>
            <w:tcW w:w="1058" w:type="dxa"/>
            <w:tcBorders>
              <w:top w:val="nil"/>
              <w:left w:val="nil"/>
              <w:bottom w:val="nil"/>
              <w:right w:val="nil"/>
            </w:tcBorders>
            <w:shd w:val="clear" w:color="auto" w:fill="FFFFFF"/>
            <w:vAlign w:val="center"/>
          </w:tcPr>
          <w:p w:rsidR="003F7B79" w:rsidRDefault="0000000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公开04表</w:t>
            </w:r>
          </w:p>
        </w:tc>
      </w:tr>
      <w:tr w:rsidR="003F7B79">
        <w:trPr>
          <w:trHeight w:val="300"/>
        </w:trPr>
        <w:tc>
          <w:tcPr>
            <w:tcW w:w="3417"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部门：信阳市平桥区交通运输执法局</w:t>
            </w:r>
          </w:p>
        </w:tc>
        <w:tc>
          <w:tcPr>
            <w:tcW w:w="1297"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954"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505"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rsidR="003F7B79" w:rsidRDefault="003F7B79">
            <w:pPr>
              <w:widowControl/>
              <w:jc w:val="right"/>
              <w:textAlignment w:val="center"/>
              <w:rPr>
                <w:rFonts w:ascii="宋体" w:hAnsi="宋体" w:cs="宋体"/>
                <w:color w:val="000000"/>
                <w:kern w:val="0"/>
                <w:sz w:val="20"/>
                <w:szCs w:val="20"/>
                <w:lang w:bidi="ar"/>
              </w:rPr>
            </w:pPr>
          </w:p>
        </w:tc>
        <w:tc>
          <w:tcPr>
            <w:tcW w:w="1058" w:type="dxa"/>
            <w:tcBorders>
              <w:top w:val="nil"/>
              <w:left w:val="nil"/>
              <w:bottom w:val="nil"/>
              <w:right w:val="nil"/>
            </w:tcBorders>
            <w:shd w:val="clear" w:color="auto" w:fill="FFFFFF"/>
            <w:vAlign w:val="center"/>
          </w:tcPr>
          <w:p w:rsidR="003F7B79" w:rsidRDefault="0000000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单位：万元</w:t>
            </w:r>
          </w:p>
        </w:tc>
      </w:tr>
      <w:tr w:rsidR="003F7B79">
        <w:trPr>
          <w:trHeight w:val="402"/>
        </w:trPr>
        <w:tc>
          <w:tcPr>
            <w:tcW w:w="5924"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8049" w:type="dxa"/>
            <w:gridSpan w:val="7"/>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支出</w:t>
            </w:r>
          </w:p>
        </w:tc>
      </w:tr>
      <w:tr w:rsidR="003F7B79">
        <w:trPr>
          <w:trHeight w:val="630"/>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9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一般公共预算财政拨款</w:t>
            </w:r>
          </w:p>
        </w:tc>
        <w:tc>
          <w:tcPr>
            <w:tcW w:w="126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政府性基金预算财政拨款</w:t>
            </w:r>
          </w:p>
        </w:tc>
        <w:tc>
          <w:tcPr>
            <w:tcW w:w="1058" w:type="dxa"/>
            <w:tcBorders>
              <w:top w:val="single" w:sz="4" w:space="0" w:color="000000"/>
              <w:left w:val="single" w:sz="4" w:space="0" w:color="000000"/>
              <w:bottom w:val="single" w:sz="4" w:space="0" w:color="000000"/>
              <w:right w:val="single" w:sz="8" w:space="0" w:color="000000"/>
            </w:tcBorders>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sz w:val="20"/>
                <w:szCs w:val="20"/>
              </w:rPr>
              <w:t>国有资本经营预算财政拨款</w:t>
            </w: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63" w:type="dxa"/>
            <w:gridSpan w:val="2"/>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58" w:type="dxa"/>
            <w:tcBorders>
              <w:top w:val="single" w:sz="4" w:space="0" w:color="000000"/>
              <w:left w:val="single" w:sz="4" w:space="0" w:color="000000"/>
              <w:bottom w:val="single" w:sz="4" w:space="0" w:color="000000"/>
              <w:right w:val="single" w:sz="8" w:space="0" w:color="000000"/>
            </w:tcBorders>
            <w:shd w:val="clear" w:color="auto" w:fill="FFFFFF"/>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w:t>
            </w: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951.90</w:t>
            </w: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jc w:val="left"/>
              <w:rPr>
                <w:rFonts w:ascii="宋体" w:hAnsi="宋体" w:cs="宋体"/>
                <w:color w:val="000000"/>
                <w:sz w:val="20"/>
                <w:szCs w:val="20"/>
              </w:rPr>
            </w:pPr>
            <w:r>
              <w:rPr>
                <w:rFonts w:ascii="宋体" w:hAnsi="宋体" w:cs="宋体" w:hint="eastAsia"/>
                <w:color w:val="000000"/>
                <w:sz w:val="20"/>
                <w:szCs w:val="20"/>
              </w:rPr>
              <w:t>三、国有资本经营预算财政拨款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七、交通运输支出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95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118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1263"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3F7B79" w:rsidRDefault="003F7B79">
            <w:pPr>
              <w:jc w:val="right"/>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954"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rsidR="003F7B79" w:rsidRDefault="003F7B79">
            <w:pPr>
              <w:jc w:val="center"/>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951.90</w:t>
            </w: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954"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1263"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b/>
                <w:color w:val="000000"/>
                <w:sz w:val="20"/>
                <w:szCs w:val="20"/>
              </w:rPr>
            </w:pPr>
          </w:p>
        </w:tc>
        <w:tc>
          <w:tcPr>
            <w:tcW w:w="1058" w:type="dxa"/>
            <w:tcBorders>
              <w:top w:val="single" w:sz="4" w:space="0" w:color="000000"/>
              <w:left w:val="nil"/>
              <w:bottom w:val="single" w:sz="4" w:space="0" w:color="000000"/>
              <w:right w:val="single" w:sz="8" w:space="0" w:color="000000"/>
            </w:tcBorders>
          </w:tcPr>
          <w:p w:rsidR="003F7B79" w:rsidRDefault="003F7B79">
            <w:pPr>
              <w:rPr>
                <w:rFonts w:ascii="宋体" w:hAnsi="宋体" w:cs="宋体"/>
                <w:b/>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年初财政拨款结转和结余</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243.27</w:t>
            </w: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年末财政拨款结转和结余</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954"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rsidR="003F7B79" w:rsidRDefault="003F7B79">
            <w:pPr>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一般公共预算财政拨款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243.27</w:t>
            </w: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954"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rsidR="003F7B79" w:rsidRDefault="003F7B79">
            <w:pPr>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政府性基金预算财政拨款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954" w:type="dxa"/>
            <w:tcBorders>
              <w:top w:val="single" w:sz="4" w:space="0" w:color="000000"/>
              <w:left w:val="nil"/>
              <w:bottom w:val="nil"/>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nil"/>
              <w:bottom w:val="nil"/>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1058" w:type="dxa"/>
            <w:tcBorders>
              <w:top w:val="single" w:sz="4" w:space="0" w:color="000000"/>
              <w:left w:val="nil"/>
              <w:bottom w:val="nil"/>
              <w:right w:val="single" w:sz="8" w:space="0" w:color="000000"/>
            </w:tcBorders>
          </w:tcPr>
          <w:p w:rsidR="003F7B79" w:rsidRDefault="003F7B79">
            <w:pPr>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3F7B79" w:rsidRDefault="00000000">
            <w:pPr>
              <w:jc w:val="center"/>
              <w:rPr>
                <w:rFonts w:ascii="宋体" w:hAnsi="宋体" w:cs="宋体"/>
                <w:color w:val="000000"/>
                <w:sz w:val="20"/>
                <w:szCs w:val="20"/>
              </w:rPr>
            </w:pPr>
            <w:r>
              <w:rPr>
                <w:rFonts w:ascii="宋体" w:hAnsi="宋体" w:cs="宋体" w:hint="eastAsia"/>
                <w:color w:val="000000"/>
                <w:sz w:val="20"/>
                <w:szCs w:val="20"/>
              </w:rPr>
              <w:lastRenderedPageBreak/>
              <w:t xml:space="preserve">       国有资本经营预算财政拨款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259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3F7B79" w:rsidRDefault="003F7B79">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954" w:type="dxa"/>
            <w:tcBorders>
              <w:top w:val="single" w:sz="4" w:space="0" w:color="000000"/>
              <w:left w:val="nil"/>
              <w:bottom w:val="nil"/>
              <w:right w:val="nil"/>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63" w:type="dxa"/>
            <w:gridSpan w:val="2"/>
            <w:tcBorders>
              <w:top w:val="single" w:sz="4" w:space="0" w:color="000000"/>
              <w:left w:val="nil"/>
              <w:bottom w:val="nil"/>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1058" w:type="dxa"/>
            <w:tcBorders>
              <w:top w:val="single" w:sz="4" w:space="0" w:color="000000"/>
              <w:left w:val="nil"/>
              <w:bottom w:val="nil"/>
              <w:right w:val="single" w:sz="8" w:space="0" w:color="000000"/>
            </w:tcBorders>
          </w:tcPr>
          <w:p w:rsidR="003F7B79" w:rsidRDefault="003F7B79">
            <w:pPr>
              <w:rPr>
                <w:rFonts w:ascii="宋体" w:hAnsi="宋体" w:cs="宋体"/>
                <w:color w:val="000000"/>
                <w:sz w:val="20"/>
                <w:szCs w:val="20"/>
              </w:rPr>
            </w:pPr>
          </w:p>
        </w:tc>
      </w:tr>
      <w:tr w:rsidR="003F7B79">
        <w:trPr>
          <w:trHeight w:val="402"/>
        </w:trPr>
        <w:tc>
          <w:tcPr>
            <w:tcW w:w="3417"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21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3F7B79" w:rsidRDefault="00000000">
            <w:pPr>
              <w:jc w:val="right"/>
              <w:rPr>
                <w:rFonts w:ascii="宋体" w:hAnsi="宋体" w:cs="宋体"/>
                <w:color w:val="000000"/>
                <w:sz w:val="20"/>
                <w:szCs w:val="20"/>
              </w:rPr>
            </w:pPr>
            <w:r>
              <w:rPr>
                <w:rFonts w:ascii="宋体" w:hAnsi="宋体" w:cs="宋体" w:hint="eastAsia"/>
                <w:color w:val="000000"/>
                <w:kern w:val="0"/>
                <w:sz w:val="20"/>
                <w:szCs w:val="20"/>
                <w:lang w:bidi="ar"/>
              </w:rPr>
              <w:t>1,195.17</w:t>
            </w:r>
          </w:p>
        </w:tc>
        <w:tc>
          <w:tcPr>
            <w:tcW w:w="2596"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954" w:type="dxa"/>
            <w:tcBorders>
              <w:top w:val="single" w:sz="4" w:space="0" w:color="000000"/>
              <w:left w:val="nil"/>
              <w:bottom w:val="nil"/>
              <w:right w:val="nil"/>
            </w:tcBorders>
            <w:shd w:val="clear" w:color="auto" w:fill="FFFFFF"/>
            <w:noWrap/>
            <w:tcMar>
              <w:top w:w="15" w:type="dxa"/>
              <w:left w:w="15" w:type="dxa"/>
              <w:right w:w="15" w:type="dxa"/>
            </w:tcMar>
            <w:vAlign w:val="center"/>
          </w:tcPr>
          <w:p w:rsidR="003F7B79"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1185"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3F7B79"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1263" w:type="dxa"/>
            <w:gridSpan w:val="2"/>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3F7B79" w:rsidRDefault="003F7B79">
            <w:pPr>
              <w:rPr>
                <w:rFonts w:ascii="宋体" w:hAnsi="宋体" w:cs="宋体"/>
                <w:b/>
                <w:color w:val="000000"/>
                <w:sz w:val="20"/>
                <w:szCs w:val="20"/>
              </w:rPr>
            </w:pPr>
          </w:p>
        </w:tc>
        <w:tc>
          <w:tcPr>
            <w:tcW w:w="1058" w:type="dxa"/>
            <w:tcBorders>
              <w:top w:val="single" w:sz="4" w:space="0" w:color="000000"/>
              <w:left w:val="nil"/>
              <w:bottom w:val="single" w:sz="8" w:space="0" w:color="000000"/>
              <w:right w:val="single" w:sz="8" w:space="0" w:color="000000"/>
            </w:tcBorders>
          </w:tcPr>
          <w:p w:rsidR="003F7B79" w:rsidRDefault="003F7B79">
            <w:pPr>
              <w:rPr>
                <w:rFonts w:ascii="宋体" w:hAnsi="宋体" w:cs="宋体"/>
                <w:b/>
                <w:color w:val="000000"/>
                <w:sz w:val="20"/>
                <w:szCs w:val="20"/>
              </w:rPr>
            </w:pPr>
          </w:p>
        </w:tc>
      </w:tr>
      <w:tr w:rsidR="003F7B79">
        <w:trPr>
          <w:trHeight w:val="585"/>
        </w:trPr>
        <w:tc>
          <w:tcPr>
            <w:tcW w:w="12915" w:type="dxa"/>
            <w:gridSpan w:val="9"/>
            <w:tcBorders>
              <w:top w:val="single" w:sz="8" w:space="0" w:color="000000"/>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sz="8" w:space="0" w:color="000000"/>
              <w:left w:val="nil"/>
              <w:bottom w:val="nil"/>
              <w:right w:val="nil"/>
            </w:tcBorders>
          </w:tcPr>
          <w:p w:rsidR="003F7B79" w:rsidRDefault="003F7B79">
            <w:pPr>
              <w:widowControl/>
              <w:jc w:val="left"/>
              <w:textAlignment w:val="center"/>
              <w:rPr>
                <w:rFonts w:ascii="宋体" w:hAnsi="宋体" w:cs="宋体"/>
                <w:color w:val="000000"/>
                <w:kern w:val="0"/>
                <w:sz w:val="20"/>
                <w:szCs w:val="20"/>
                <w:lang w:bidi="ar"/>
              </w:rPr>
            </w:pPr>
          </w:p>
        </w:tc>
      </w:tr>
    </w:tbl>
    <w:p w:rsidR="003F7B79" w:rsidRDefault="003F7B79">
      <w:pPr>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726"/>
        <w:gridCol w:w="282"/>
        <w:gridCol w:w="406"/>
        <w:gridCol w:w="2225"/>
        <w:gridCol w:w="3449"/>
        <w:gridCol w:w="3449"/>
        <w:gridCol w:w="3451"/>
      </w:tblGrid>
      <w:tr w:rsidR="003F7B79">
        <w:trPr>
          <w:trHeight w:val="600"/>
        </w:trPr>
        <w:tc>
          <w:tcPr>
            <w:tcW w:w="13988" w:type="dxa"/>
            <w:gridSpan w:val="7"/>
            <w:tcBorders>
              <w:top w:val="nil"/>
              <w:left w:val="nil"/>
              <w:bottom w:val="nil"/>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一般公共预算财政拨款支出决算表</w:t>
            </w:r>
          </w:p>
        </w:tc>
      </w:tr>
      <w:tr w:rsidR="003F7B79">
        <w:trPr>
          <w:trHeight w:val="222"/>
        </w:trPr>
        <w:tc>
          <w:tcPr>
            <w:tcW w:w="726"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688" w:type="dxa"/>
            <w:gridSpan w:val="2"/>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w:t>
            </w:r>
            <w:r>
              <w:rPr>
                <w:rStyle w:val="font11"/>
                <w:rFonts w:hint="default"/>
                <w:lang w:bidi="ar"/>
              </w:rPr>
              <w:t>5表</w:t>
            </w:r>
          </w:p>
        </w:tc>
      </w:tr>
      <w:tr w:rsidR="003F7B79">
        <w:trPr>
          <w:trHeight w:val="300"/>
        </w:trPr>
        <w:tc>
          <w:tcPr>
            <w:tcW w:w="1008"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2631" w:type="dxa"/>
            <w:gridSpan w:val="2"/>
            <w:tcBorders>
              <w:top w:val="nil"/>
              <w:left w:val="nil"/>
              <w:bottom w:val="nil"/>
              <w:right w:val="nil"/>
            </w:tcBorders>
            <w:shd w:val="clear" w:color="auto" w:fill="FFFFFF"/>
            <w:tcMar>
              <w:top w:w="15" w:type="dxa"/>
              <w:left w:w="15" w:type="dxa"/>
              <w:right w:w="15" w:type="dxa"/>
            </w:tcMar>
            <w:vAlign w:val="center"/>
          </w:tcPr>
          <w:p w:rsidR="003F7B79" w:rsidRDefault="00000000">
            <w:pPr>
              <w:jc w:val="center"/>
              <w:rPr>
                <w:rFonts w:ascii="宋体" w:hAnsi="宋体" w:cs="宋体"/>
                <w:color w:val="000000"/>
                <w:sz w:val="20"/>
                <w:szCs w:val="20"/>
              </w:rPr>
            </w:pPr>
            <w:r>
              <w:rPr>
                <w:rFonts w:ascii="宋体" w:hAnsi="宋体" w:cs="宋体" w:hint="eastAsia"/>
                <w:color w:val="000000"/>
                <w:sz w:val="20"/>
                <w:szCs w:val="20"/>
              </w:rPr>
              <w:t>信阳市平桥区交通运输执法局</w:t>
            </w:r>
          </w:p>
        </w:tc>
        <w:tc>
          <w:tcPr>
            <w:tcW w:w="3449"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405"/>
        </w:trPr>
        <w:tc>
          <w:tcPr>
            <w:tcW w:w="3639" w:type="dxa"/>
            <w:gridSpan w:val="4"/>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项 </w:t>
            </w:r>
            <w:r>
              <w:rPr>
                <w:rStyle w:val="font01"/>
                <w:rFonts w:hint="default"/>
                <w:sz w:val="20"/>
                <w:szCs w:val="20"/>
                <w:lang w:bidi="ar"/>
              </w:rPr>
              <w:t xml:space="preserve">   </w:t>
            </w:r>
            <w:r>
              <w:rPr>
                <w:rStyle w:val="font51"/>
                <w:rFonts w:hint="default"/>
                <w:sz w:val="20"/>
                <w:szCs w:val="20"/>
                <w:lang w:bidi="ar"/>
              </w:rPr>
              <w:t>目</w:t>
            </w:r>
          </w:p>
        </w:tc>
        <w:tc>
          <w:tcPr>
            <w:tcW w:w="10349"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r>
      <w:tr w:rsidR="003F7B79">
        <w:trPr>
          <w:trHeight w:val="495"/>
        </w:trPr>
        <w:tc>
          <w:tcPr>
            <w:tcW w:w="1414" w:type="dxa"/>
            <w:gridSpan w:val="3"/>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2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3F7B79">
        <w:trPr>
          <w:trHeight w:val="360"/>
        </w:trPr>
        <w:tc>
          <w:tcPr>
            <w:tcW w:w="1414" w:type="dxa"/>
            <w:gridSpan w:val="3"/>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1414" w:type="dxa"/>
            <w:gridSpan w:val="3"/>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3639" w:type="dxa"/>
            <w:gridSpan w:val="4"/>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3F7B79">
        <w:trPr>
          <w:trHeight w:val="450"/>
        </w:trPr>
        <w:tc>
          <w:tcPr>
            <w:tcW w:w="3639" w:type="dxa"/>
            <w:gridSpan w:val="4"/>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1,195.17</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1,195.17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r>
      <w:tr w:rsidR="003F7B79">
        <w:trPr>
          <w:trHeight w:val="450"/>
        </w:trPr>
        <w:tc>
          <w:tcPr>
            <w:tcW w:w="141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214</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交通运输支出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1,195.17</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1,195.17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r>
      <w:tr w:rsidR="003F7B79">
        <w:trPr>
          <w:trHeight w:val="450"/>
        </w:trPr>
        <w:tc>
          <w:tcPr>
            <w:tcW w:w="141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21401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公路水路运输</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1,195.17</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1,195.17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0.00</w:t>
            </w:r>
          </w:p>
        </w:tc>
      </w:tr>
      <w:tr w:rsidR="003F7B79">
        <w:trPr>
          <w:trHeight w:val="450"/>
        </w:trPr>
        <w:tc>
          <w:tcPr>
            <w:tcW w:w="141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2140199</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其他公路水路运输支出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1,195.17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3F7B79">
        <w:trPr>
          <w:trHeight w:val="450"/>
        </w:trPr>
        <w:tc>
          <w:tcPr>
            <w:tcW w:w="141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41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414" w:type="dxa"/>
            <w:gridSpan w:val="3"/>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22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645"/>
        </w:trPr>
        <w:tc>
          <w:tcPr>
            <w:tcW w:w="13988" w:type="dxa"/>
            <w:gridSpan w:val="7"/>
            <w:tcBorders>
              <w:top w:val="nil"/>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注：本表反映部门本年度一般公共预算财政拨款支出情况。本表金额转换为万元时，因四舍五入可能存在尾差。</w:t>
            </w:r>
          </w:p>
        </w:tc>
      </w:tr>
    </w:tbl>
    <w:p w:rsidR="003F7B79" w:rsidRDefault="003F7B79">
      <w:pPr>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008"/>
        <w:gridCol w:w="2785"/>
        <w:gridCol w:w="938"/>
        <w:gridCol w:w="870"/>
        <w:gridCol w:w="2066"/>
        <w:gridCol w:w="938"/>
        <w:gridCol w:w="870"/>
        <w:gridCol w:w="3575"/>
        <w:gridCol w:w="938"/>
      </w:tblGrid>
      <w:tr w:rsidR="003F7B79">
        <w:trPr>
          <w:trHeight w:val="435"/>
        </w:trPr>
        <w:tc>
          <w:tcPr>
            <w:tcW w:w="13988" w:type="dxa"/>
            <w:gridSpan w:val="9"/>
            <w:tcBorders>
              <w:top w:val="nil"/>
              <w:left w:val="nil"/>
              <w:bottom w:val="nil"/>
              <w:right w:val="nil"/>
            </w:tcBorders>
            <w:noWrap/>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一般公共预算财政拨款基本支出决算明细表</w:t>
            </w:r>
          </w:p>
        </w:tc>
      </w:tr>
      <w:tr w:rsidR="003F7B79">
        <w:trPr>
          <w:trHeight w:val="405"/>
        </w:trPr>
        <w:tc>
          <w:tcPr>
            <w:tcW w:w="1008"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2785"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公开06表</w:t>
            </w:r>
          </w:p>
        </w:tc>
      </w:tr>
      <w:tr w:rsidR="003F7B79">
        <w:trPr>
          <w:trHeight w:val="300"/>
        </w:trPr>
        <w:tc>
          <w:tcPr>
            <w:tcW w:w="1008" w:type="dxa"/>
            <w:tcBorders>
              <w:top w:val="nil"/>
              <w:left w:val="nil"/>
              <w:bottom w:val="nil"/>
              <w:right w:val="nil"/>
            </w:tcBorders>
            <w:noWrap/>
            <w:tcMar>
              <w:top w:w="15" w:type="dxa"/>
              <w:left w:w="15" w:type="dxa"/>
              <w:right w:w="15" w:type="dxa"/>
            </w:tcMar>
            <w:vAlign w:val="center"/>
          </w:tcPr>
          <w:p w:rsidR="003F7B79" w:rsidRDefault="00000000">
            <w:pPr>
              <w:widowControl/>
              <w:jc w:val="left"/>
              <w:textAlignment w:val="center"/>
              <w:rPr>
                <w:rFonts w:ascii="Arial" w:hAnsi="Arial" w:cs="Arial"/>
                <w:color w:val="000000"/>
                <w:sz w:val="20"/>
                <w:szCs w:val="20"/>
              </w:rPr>
            </w:pPr>
            <w:r>
              <w:rPr>
                <w:rFonts w:ascii="宋体" w:hAnsi="宋体" w:cs="宋体" w:hint="eastAsia"/>
                <w:color w:val="000000"/>
                <w:kern w:val="0"/>
                <w:sz w:val="20"/>
                <w:szCs w:val="20"/>
                <w:lang w:bidi="ar"/>
              </w:rPr>
              <w:t>部门</w:t>
            </w:r>
            <w:r>
              <w:rPr>
                <w:rFonts w:ascii="Arial" w:hAnsi="Arial" w:cs="Arial"/>
                <w:color w:val="000000"/>
                <w:kern w:val="0"/>
                <w:sz w:val="20"/>
                <w:szCs w:val="20"/>
                <w:lang w:bidi="ar"/>
              </w:rPr>
              <w:t>：</w:t>
            </w:r>
          </w:p>
        </w:tc>
        <w:tc>
          <w:tcPr>
            <w:tcW w:w="2785" w:type="dxa"/>
            <w:tcBorders>
              <w:top w:val="nil"/>
              <w:left w:val="nil"/>
              <w:bottom w:val="nil"/>
              <w:right w:val="nil"/>
            </w:tcBorders>
            <w:noWrap/>
            <w:tcMar>
              <w:top w:w="15" w:type="dxa"/>
              <w:left w:w="15" w:type="dxa"/>
              <w:right w:w="15" w:type="dxa"/>
            </w:tcMar>
            <w:vAlign w:val="center"/>
          </w:tcPr>
          <w:p w:rsidR="003F7B79" w:rsidRDefault="00000000">
            <w:pPr>
              <w:rPr>
                <w:rFonts w:ascii="Arial" w:hAnsi="Arial" w:cs="Arial"/>
                <w:color w:val="000000"/>
                <w:sz w:val="20"/>
                <w:szCs w:val="20"/>
              </w:rPr>
            </w:pPr>
            <w:r>
              <w:rPr>
                <w:rFonts w:ascii="Arial" w:hAnsi="Arial" w:cs="Arial" w:hint="eastAsia"/>
                <w:color w:val="000000"/>
                <w:sz w:val="20"/>
                <w:szCs w:val="20"/>
              </w:rPr>
              <w:t>信阳市平桥区交通运输执法局</w:t>
            </w:r>
          </w:p>
        </w:tc>
        <w:tc>
          <w:tcPr>
            <w:tcW w:w="938" w:type="dxa"/>
            <w:tcBorders>
              <w:top w:val="nil"/>
              <w:left w:val="nil"/>
              <w:bottom w:val="nil"/>
              <w:right w:val="nil"/>
            </w:tcBorders>
            <w:noWrap/>
            <w:tcMar>
              <w:top w:w="15" w:type="dxa"/>
              <w:left w:w="15" w:type="dxa"/>
              <w:right w:w="15" w:type="dxa"/>
            </w:tcMar>
            <w:vAlign w:val="center"/>
          </w:tcPr>
          <w:p w:rsidR="003F7B79" w:rsidRDefault="003F7B79">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rsidR="003F7B79" w:rsidRDefault="003F7B79">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rsidR="003F7B79" w:rsidRDefault="003F7B79">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3F7B79" w:rsidRDefault="003F7B79">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rsidR="003F7B79" w:rsidRDefault="003F7B79">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rsidR="003F7B79" w:rsidRDefault="003F7B79">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615"/>
        </w:trPr>
        <w:tc>
          <w:tcPr>
            <w:tcW w:w="1008"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278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938"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963.86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194.34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30.64</w:t>
            </w: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396.64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14.68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房屋建筑物购建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22.06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30.26</w:t>
            </w: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140.56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咨询费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0.38</w:t>
            </w: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伙食补助费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0.39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手续费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基础设施建设</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绩效工资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201.48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大型修缮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78.08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信息网络及软件购置更新</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职业年金缴费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物资储备</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40.44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取暖费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土地补偿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公务员医疗补助缴费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安置补助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0.53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差旅费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51.97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地上附着物和青苗补偿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72.24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拆迁补偿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维修（护）费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11.45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租赁费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51.24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其他交通工具购置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文物和陈列品购置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培训费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无形资产购置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公务招待费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30303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退职（役）费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抚恤金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资本金注入</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30305</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政府投资基金股权投资</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救济费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劳务费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25.05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费用补贴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利息补贴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助学金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18.61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奖励金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福利费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对社会保障基金补助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个人农业生产补贴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对社会保险基金补助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16.23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补充全国社会保障基金</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right"/>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4.61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赠与</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widowControl/>
              <w:jc w:val="right"/>
              <w:textAlignment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债务利息及费用支出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国家赔偿费用支出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对民间非营利组织和群众性自治组织补贴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7B79" w:rsidRDefault="003F7B79">
            <w:pPr>
              <w:rPr>
                <w:rFonts w:ascii="宋体" w:hAnsi="宋体" w:cs="宋体"/>
                <w:color w:val="000000"/>
                <w:sz w:val="18"/>
                <w:szCs w:val="18"/>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人员经费合计</w:t>
            </w:r>
          </w:p>
        </w:tc>
        <w:tc>
          <w:tcPr>
            <w:tcW w:w="93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970.19</w:t>
            </w: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公用经费合计</w:t>
            </w:r>
          </w:p>
        </w:tc>
        <w:tc>
          <w:tcPr>
            <w:tcW w:w="93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224.98</w:t>
            </w:r>
          </w:p>
        </w:tc>
      </w:tr>
      <w:tr w:rsidR="003F7B79">
        <w:trPr>
          <w:trHeight w:val="390"/>
        </w:trPr>
        <w:tc>
          <w:tcPr>
            <w:tcW w:w="13988" w:type="dxa"/>
            <w:gridSpan w:val="9"/>
            <w:tcBorders>
              <w:top w:val="nil"/>
              <w:left w:val="nil"/>
              <w:bottom w:val="nil"/>
              <w:right w:val="nil"/>
            </w:tcBorders>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注：本表反映部门本年度一般公共预算财政拨款基本支出明细情况。本表金额转换为万元时，因四舍五入可能存在尾差。</w:t>
            </w:r>
          </w:p>
        </w:tc>
      </w:tr>
    </w:tbl>
    <w:p w:rsidR="003F7B79" w:rsidRDefault="003F7B79">
      <w:pPr>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3F7B79">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一般公共预算财政拨款“三公”经费支出决算表</w:t>
            </w:r>
          </w:p>
        </w:tc>
      </w:tr>
      <w:tr w:rsidR="003F7B79">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3F7B79">
        <w:trPr>
          <w:trHeight w:val="300"/>
        </w:trPr>
        <w:tc>
          <w:tcPr>
            <w:tcW w:w="1151"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3449" w:type="dxa"/>
            <w:gridSpan w:val="3"/>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000000">
            <w:pPr>
              <w:rPr>
                <w:rFonts w:ascii="宋体" w:hAnsi="宋体" w:cs="宋体"/>
                <w:color w:val="000000"/>
                <w:sz w:val="20"/>
                <w:szCs w:val="20"/>
              </w:rPr>
            </w:pPr>
            <w:r>
              <w:rPr>
                <w:rFonts w:ascii="宋体" w:hAnsi="宋体" w:cs="宋体" w:hint="eastAsia"/>
                <w:color w:val="000000"/>
                <w:sz w:val="20"/>
                <w:szCs w:val="20"/>
              </w:rPr>
              <w:t>信阳市平桥区交通运输执法局</w:t>
            </w: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3F7B79">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r>
      <w:tr w:rsidR="003F7B79">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3F7B79">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r>
      <w:tr w:rsidR="003F7B79">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注：本表反映部门本年度“三公”经费支出预决算情况。其中，</w:t>
            </w:r>
            <w:r>
              <w:rPr>
                <w:rStyle w:val="font41"/>
                <w:rFonts w:hint="default"/>
                <w:sz w:val="20"/>
                <w:szCs w:val="20"/>
                <w:lang w:bidi="ar"/>
              </w:rPr>
              <w:t>预算数为“三公”经费年初预算数，决算数是包括当年一般公共预算财政拨款和以前年度结转资金安排的实际支出。</w:t>
            </w:r>
            <w:r>
              <w:rPr>
                <w:rFonts w:ascii="宋体" w:hAnsi="宋体" w:cs="宋体" w:hint="eastAsia"/>
                <w:color w:val="000000"/>
                <w:kern w:val="0"/>
                <w:sz w:val="20"/>
                <w:szCs w:val="20"/>
                <w:lang w:bidi="ar"/>
              </w:rPr>
              <w:t>本表金额转换为万元时，因四舍五入可能存在尾差。</w:t>
            </w:r>
          </w:p>
        </w:tc>
      </w:tr>
    </w:tbl>
    <w:p w:rsidR="003F7B79" w:rsidRDefault="003F7B79">
      <w:pPr>
        <w:rPr>
          <w:rFonts w:ascii="仿宋_GB2312" w:eastAsia="仿宋_GB2312" w:hAnsi="仿宋_GB2312" w:cs="仿宋_GB2312"/>
          <w:sz w:val="32"/>
          <w:szCs w:val="32"/>
        </w:rPr>
        <w:sectPr w:rsidR="003F7B79">
          <w:pgSz w:w="16838" w:h="11906" w:orient="landscape"/>
          <w:pgMar w:top="2098" w:right="1474" w:bottom="1984" w:left="1587" w:header="720" w:footer="720" w:gutter="0"/>
          <w:pgNumType w:fmt="numberInDash"/>
          <w:cols w:space="720"/>
          <w:docGrid w:type="lines" w:linePitch="312"/>
        </w:sectPr>
      </w:pPr>
    </w:p>
    <w:tbl>
      <w:tblPr>
        <w:tblW w:w="14018" w:type="dxa"/>
        <w:tblLayout w:type="fixed"/>
        <w:tblCellMar>
          <w:left w:w="0" w:type="dxa"/>
          <w:right w:w="0" w:type="dxa"/>
        </w:tblCellMar>
        <w:tblLook w:val="04A0" w:firstRow="1" w:lastRow="0" w:firstColumn="1" w:lastColumn="0" w:noHBand="0" w:noVBand="1"/>
      </w:tblPr>
      <w:tblGrid>
        <w:gridCol w:w="610"/>
        <w:gridCol w:w="535"/>
        <w:gridCol w:w="60"/>
        <w:gridCol w:w="1223"/>
        <w:gridCol w:w="1972"/>
        <w:gridCol w:w="1922"/>
        <w:gridCol w:w="1922"/>
        <w:gridCol w:w="1923"/>
        <w:gridCol w:w="1922"/>
        <w:gridCol w:w="1929"/>
      </w:tblGrid>
      <w:tr w:rsidR="003F7B79">
        <w:trPr>
          <w:trHeight w:val="600"/>
        </w:trPr>
        <w:tc>
          <w:tcPr>
            <w:tcW w:w="13988" w:type="dxa"/>
            <w:gridSpan w:val="10"/>
            <w:tcBorders>
              <w:top w:val="nil"/>
              <w:left w:val="nil"/>
              <w:bottom w:val="nil"/>
              <w:right w:val="nil"/>
            </w:tcBorders>
            <w:shd w:val="clear" w:color="auto" w:fill="FFFFFF"/>
            <w:tcMar>
              <w:top w:w="15" w:type="dxa"/>
              <w:left w:w="15" w:type="dxa"/>
              <w:right w:w="15" w:type="dxa"/>
            </w:tcMar>
            <w:vAlign w:val="center"/>
          </w:tcPr>
          <w:p w:rsidR="003F7B79"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政府性基金预算财政拨款收入支出决算表</w:t>
            </w:r>
          </w:p>
        </w:tc>
      </w:tr>
      <w:tr w:rsidR="003F7B79">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3F7B79">
        <w:trPr>
          <w:trHeight w:val="300"/>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50"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3202" w:type="dxa"/>
            <w:gridSpan w:val="2"/>
            <w:tcBorders>
              <w:top w:val="nil"/>
              <w:left w:val="nil"/>
              <w:bottom w:val="nil"/>
              <w:right w:val="nil"/>
            </w:tcBorders>
            <w:shd w:val="clear" w:color="auto" w:fill="FFFFFF"/>
            <w:tcMar>
              <w:top w:w="15" w:type="dxa"/>
              <w:left w:w="15" w:type="dxa"/>
              <w:right w:w="15" w:type="dxa"/>
            </w:tcMar>
            <w:vAlign w:val="center"/>
          </w:tcPr>
          <w:p w:rsidR="003F7B79" w:rsidRDefault="00000000">
            <w:pPr>
              <w:rPr>
                <w:rFonts w:ascii="宋体" w:hAnsi="宋体" w:cs="宋体"/>
                <w:color w:val="000000"/>
                <w:sz w:val="20"/>
                <w:szCs w:val="20"/>
              </w:rPr>
            </w:pPr>
            <w:r>
              <w:rPr>
                <w:rFonts w:ascii="宋体" w:hAnsi="宋体" w:cs="宋体" w:hint="eastAsia"/>
                <w:color w:val="000000"/>
                <w:sz w:val="20"/>
                <w:szCs w:val="20"/>
              </w:rPr>
              <w:t>信阳市平桥区交通运输执法局</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3F7B79"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3F7B79">
        <w:trPr>
          <w:trHeight w:val="405"/>
        </w:trPr>
        <w:tc>
          <w:tcPr>
            <w:tcW w:w="2424" w:type="dxa"/>
            <w:gridSpan w:val="4"/>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3F7B79">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2424" w:type="dxa"/>
            <w:gridSpan w:val="4"/>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3F7B79">
        <w:trPr>
          <w:trHeight w:val="450"/>
        </w:trPr>
        <w:tc>
          <w:tcPr>
            <w:tcW w:w="2424" w:type="dxa"/>
            <w:gridSpan w:val="4"/>
            <w:tcBorders>
              <w:top w:val="nil"/>
              <w:left w:val="single" w:sz="8" w:space="0" w:color="000000"/>
              <w:bottom w:val="single" w:sz="4" w:space="0" w:color="000000"/>
              <w:right w:val="single" w:sz="4" w:space="0" w:color="000000"/>
            </w:tcBorders>
            <w:tcMar>
              <w:top w:w="15" w:type="dxa"/>
              <w:left w:w="15" w:type="dxa"/>
              <w:right w:w="15" w:type="dxa"/>
            </w:tcMar>
            <w:vAlign w:val="center"/>
          </w:tcPr>
          <w:p w:rsidR="003F7B79"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r>
      <w:tr w:rsidR="003F7B7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F7B79" w:rsidRDefault="003F7B79">
            <w:pPr>
              <w:jc w:val="center"/>
              <w:rPr>
                <w:rFonts w:ascii="宋体" w:hAnsi="宋体" w:cs="宋体"/>
                <w:color w:val="000000"/>
                <w:sz w:val="20"/>
                <w:szCs w:val="20"/>
              </w:rPr>
            </w:pPr>
          </w:p>
        </w:tc>
        <w:tc>
          <w:tcPr>
            <w:tcW w:w="1276"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3F7B79" w:rsidRDefault="003F7B79">
            <w:pPr>
              <w:rPr>
                <w:rFonts w:ascii="宋体" w:hAnsi="宋体" w:cs="宋体"/>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F7B79" w:rsidRDefault="003F7B79">
            <w:pPr>
              <w:rPr>
                <w:rFonts w:ascii="宋体" w:hAnsi="宋体" w:cs="宋体"/>
                <w:color w:val="000000"/>
                <w:sz w:val="20"/>
                <w:szCs w:val="20"/>
              </w:rPr>
            </w:pPr>
          </w:p>
        </w:tc>
      </w:tr>
      <w:tr w:rsidR="003F7B79">
        <w:trPr>
          <w:trHeight w:val="645"/>
        </w:trPr>
        <w:tc>
          <w:tcPr>
            <w:tcW w:w="13988" w:type="dxa"/>
            <w:gridSpan w:val="10"/>
            <w:tcBorders>
              <w:top w:val="single" w:sz="8" w:space="0" w:color="000000"/>
              <w:left w:val="nil"/>
              <w:bottom w:val="nil"/>
              <w:right w:val="nil"/>
            </w:tcBorders>
            <w:tcMar>
              <w:top w:w="15" w:type="dxa"/>
              <w:left w:w="15" w:type="dxa"/>
              <w:right w:w="15" w:type="dxa"/>
            </w:tcMar>
            <w:vAlign w:val="center"/>
          </w:tcPr>
          <w:p w:rsidR="003F7B79"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注：本表反映部门本年度政府性基金预算财政拨款收入、支出及结转和结余情况。</w:t>
            </w:r>
          </w:p>
          <w:p w:rsidR="003F7B79" w:rsidRDefault="00000000">
            <w:pPr>
              <w:widowControl/>
              <w:jc w:val="left"/>
              <w:textAlignment w:val="center"/>
              <w:rPr>
                <w:rFonts w:ascii="宋体" w:hAnsi="宋体" w:cs="宋体"/>
                <w:color w:val="000000"/>
                <w:sz w:val="22"/>
              </w:rPr>
            </w:pPr>
            <w:r>
              <w:rPr>
                <w:rFonts w:ascii="宋体" w:hAnsi="宋体" w:cs="宋体" w:hint="eastAsia"/>
                <w:color w:val="000000"/>
                <w:sz w:val="22"/>
              </w:rPr>
              <w:t>说明：我部门没有政府性基金收入，也没有使用政府性基金安排的支出，故本表无数据。</w:t>
            </w:r>
          </w:p>
          <w:p w:rsidR="003F7B79" w:rsidRDefault="003F7B79">
            <w:pPr>
              <w:widowControl/>
              <w:jc w:val="left"/>
              <w:textAlignment w:val="center"/>
              <w:rPr>
                <w:rFonts w:ascii="宋体" w:hAnsi="宋体" w:cs="宋体"/>
                <w:color w:val="000000"/>
                <w:sz w:val="20"/>
                <w:szCs w:val="20"/>
              </w:rPr>
            </w:pPr>
          </w:p>
          <w:p w:rsidR="003F7B79" w:rsidRDefault="003F7B79">
            <w:pPr>
              <w:widowControl/>
              <w:jc w:val="center"/>
              <w:textAlignment w:val="center"/>
              <w:rPr>
                <w:rFonts w:ascii="宋体" w:hAnsi="宋体" w:cs="宋体"/>
                <w:color w:val="000000"/>
                <w:sz w:val="20"/>
                <w:szCs w:val="20"/>
              </w:rPr>
            </w:pPr>
          </w:p>
        </w:tc>
      </w:tr>
    </w:tbl>
    <w:p w:rsidR="003F7B79" w:rsidRDefault="003F7B79">
      <w:pPr>
        <w:widowControl/>
        <w:spacing w:line="590" w:lineRule="exact"/>
        <w:jc w:val="left"/>
        <w:rPr>
          <w:rFonts w:ascii="仿宋_GB2312" w:eastAsia="仿宋_GB2312" w:hAnsi="仿宋_GB2312" w:cs="仿宋_GB2312"/>
          <w:sz w:val="32"/>
          <w:szCs w:val="32"/>
        </w:rPr>
        <w:sectPr w:rsidR="003F7B79">
          <w:pgSz w:w="16838" w:h="11906" w:orient="landscape"/>
          <w:pgMar w:top="1800" w:right="1440" w:bottom="1800" w:left="1440" w:header="720" w:footer="720" w:gutter="0"/>
          <w:pgNumType w:fmt="numberInDash"/>
          <w:cols w:space="720"/>
          <w:docGrid w:type="lines" w:linePitch="312"/>
        </w:sect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3F7B79">
      <w:pPr>
        <w:widowControl/>
        <w:jc w:val="left"/>
        <w:rPr>
          <w:rFonts w:ascii="黑体" w:eastAsia="黑体" w:hAnsi="宋体" w:cs="宋体"/>
          <w:kern w:val="0"/>
          <w:sz w:val="28"/>
          <w:szCs w:val="28"/>
        </w:rPr>
      </w:pPr>
    </w:p>
    <w:p w:rsidR="003F7B79"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3F7B79" w:rsidRDefault="003F7B79">
      <w:pPr>
        <w:widowControl/>
        <w:jc w:val="left"/>
        <w:rPr>
          <w:rFonts w:ascii="黑体" w:eastAsia="黑体" w:hAnsi="黑体" w:cs="黑体"/>
          <w:sz w:val="48"/>
          <w:szCs w:val="48"/>
        </w:rPr>
        <w:sectPr w:rsidR="003F7B79">
          <w:pgSz w:w="11906" w:h="16838"/>
          <w:pgMar w:top="1440" w:right="1800" w:bottom="1440" w:left="1800" w:header="720" w:footer="720" w:gutter="0"/>
          <w:pgNumType w:fmt="numberInDash"/>
          <w:cols w:space="720"/>
          <w:docGrid w:type="lines" w:linePitch="312"/>
        </w:sectPr>
      </w:pPr>
    </w:p>
    <w:p w:rsidR="003F7B79"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3F7B79" w:rsidRDefault="00000000">
      <w:pPr>
        <w:widowControl/>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2021年度收、支总计均为</w:t>
      </w:r>
      <w:r>
        <w:rPr>
          <w:rFonts w:ascii="仿宋" w:eastAsia="仿宋" w:hAnsi="仿宋" w:cs="仿宋" w:hint="eastAsia"/>
          <w:sz w:val="32"/>
          <w:szCs w:val="32"/>
          <w:shd w:val="clear" w:color="auto" w:fill="FFFFFF"/>
        </w:rPr>
        <w:t>1,233.12</w:t>
      </w:r>
      <w:r>
        <w:rPr>
          <w:rFonts w:ascii="仿宋" w:eastAsia="仿宋" w:hAnsi="仿宋" w:cs="仿宋" w:hint="eastAsia"/>
          <w:sz w:val="32"/>
          <w:szCs w:val="32"/>
        </w:rPr>
        <w:t>万元。与上年度相比，收、支总计各减少</w:t>
      </w:r>
      <w:r>
        <w:rPr>
          <w:rFonts w:ascii="仿宋" w:eastAsia="仿宋" w:hAnsi="仿宋" w:cs="仿宋" w:hint="eastAsia"/>
          <w:sz w:val="32"/>
          <w:szCs w:val="32"/>
          <w:shd w:val="clear" w:color="auto" w:fill="FFFFFF"/>
        </w:rPr>
        <w:t>172.28</w:t>
      </w:r>
      <w:r>
        <w:rPr>
          <w:rFonts w:ascii="仿宋" w:eastAsia="仿宋" w:hAnsi="仿宋" w:cs="仿宋" w:hint="eastAsia"/>
          <w:sz w:val="32"/>
          <w:szCs w:val="32"/>
        </w:rPr>
        <w:t>万元，下降</w:t>
      </w:r>
      <w:r>
        <w:rPr>
          <w:rFonts w:ascii="仿宋" w:eastAsia="仿宋" w:hAnsi="仿宋" w:cs="仿宋" w:hint="eastAsia"/>
          <w:sz w:val="32"/>
          <w:szCs w:val="32"/>
          <w:shd w:val="clear" w:color="auto" w:fill="FFFFFF"/>
        </w:rPr>
        <w:t>12.26%</w:t>
      </w:r>
      <w:r>
        <w:rPr>
          <w:rFonts w:ascii="仿宋" w:eastAsia="仿宋" w:hAnsi="仿宋" w:cs="仿宋" w:hint="eastAsia"/>
          <w:sz w:val="32"/>
          <w:szCs w:val="32"/>
        </w:rPr>
        <w:t>。主要原因是工作经费减少。</w:t>
      </w:r>
    </w:p>
    <w:p w:rsidR="003F7B79"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 年度收入合计956.62万元，其中：财政拨款收入 951.90万元，占 99.51%；上级补助 收入0.00万元，占0.00%；事业收入0.00万元，占 0.00%；经营收入0.00万元，占0.00%；附属单位上缴收入 0.00万元，占0.00%；其他收入4.72万元，占 0.49%。</w:t>
      </w:r>
      <w:r>
        <w:rPr>
          <w:rFonts w:ascii="仿宋" w:eastAsia="仿宋" w:hAnsi="仿宋" w:cs="仿宋" w:hint="eastAsia"/>
          <w:sz w:val="32"/>
          <w:szCs w:val="32"/>
          <w:shd w:val="clear" w:color="auto" w:fill="FFFFFF"/>
        </w:rPr>
        <w:br/>
        <w:t xml:space="preserve">    </w:t>
      </w:r>
      <w:r>
        <w:rPr>
          <w:rFonts w:ascii="黑体" w:eastAsia="黑体" w:hAnsi="黑体" w:cs="黑体" w:hint="eastAsia"/>
          <w:sz w:val="32"/>
          <w:szCs w:val="32"/>
        </w:rPr>
        <w:t>三、支出决算情况说明</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2021年度支出合计1,233.12万元，其中：基本支出1,233.12 万元，占100.00%；项目支出 0.00万元，占0.00%；上缴上级支出0.00万元，占 0.00%；经营支出0.00万元，占0.00%；对附属单位补助支出 0.00万元，占0.00%。</w:t>
      </w:r>
      <w:r>
        <w:rPr>
          <w:rFonts w:ascii="仿宋" w:eastAsia="仿宋" w:hAnsi="仿宋" w:cs="仿宋" w:hint="eastAsia"/>
          <w:sz w:val="32"/>
          <w:szCs w:val="32"/>
          <w:shd w:val="clear" w:color="auto" w:fill="FFFFFF"/>
        </w:rPr>
        <w:br/>
        <w:t xml:space="preserve">    </w:t>
      </w:r>
      <w:r>
        <w:rPr>
          <w:rFonts w:ascii="黑体" w:eastAsia="黑体" w:hAnsi="黑体" w:cs="黑体" w:hint="eastAsia"/>
          <w:sz w:val="32"/>
          <w:szCs w:val="32"/>
        </w:rPr>
        <w:t>四、财政拨款收入支出决算总体情况说明</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2021年度财政拨款收、支总计均为1,195.17万元。与上年度相比，财政拨款收、支总计各减少157.92万元，下降11.67%。主要原因是</w:t>
      </w:r>
      <w:r>
        <w:rPr>
          <w:rFonts w:ascii="仿宋" w:eastAsia="仿宋" w:hAnsi="仿宋" w:cs="仿宋" w:hint="eastAsia"/>
          <w:sz w:val="32"/>
          <w:szCs w:val="32"/>
        </w:rPr>
        <w:t>工作经费减少</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br/>
        <w:t xml:space="preserve">    </w:t>
      </w:r>
      <w:r>
        <w:rPr>
          <w:rFonts w:ascii="黑体" w:eastAsia="黑体" w:hAnsi="黑体" w:cs="黑体" w:hint="eastAsia"/>
          <w:sz w:val="32"/>
          <w:szCs w:val="32"/>
        </w:rPr>
        <w:t>五、一般公共预算财政拨款支出决算情况说明</w:t>
      </w:r>
    </w:p>
    <w:p w:rsidR="003F7B79"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3F7B79" w:rsidRDefault="00000000">
      <w:pPr>
        <w:widowControl/>
        <w:spacing w:line="590" w:lineRule="exact"/>
        <w:ind w:firstLineChars="200" w:firstLine="640"/>
        <w:rPr>
          <w:rFonts w:ascii="楷体_GB2312" w:eastAsia="楷体_GB2312" w:hAnsi="楷体_GB2312" w:cs="楷体_GB2312"/>
          <w:b/>
          <w:bCs/>
          <w:sz w:val="32"/>
          <w:szCs w:val="32"/>
        </w:rPr>
      </w:pPr>
      <w:r>
        <w:rPr>
          <w:rFonts w:ascii="仿宋" w:eastAsia="仿宋" w:hAnsi="仿宋" w:cs="仿宋" w:hint="eastAsia"/>
          <w:sz w:val="32"/>
          <w:szCs w:val="32"/>
          <w:shd w:val="clear" w:color="auto" w:fill="FFFFFF"/>
        </w:rPr>
        <w:t>2021年度一般公共预算财政拨款支出1,195.17万元，占支出合计的 96.92%。与上年度相比，一般公共预算财政拨款支出</w:t>
      </w:r>
      <w:r>
        <w:rPr>
          <w:rFonts w:ascii="仿宋" w:eastAsia="仿宋" w:hAnsi="仿宋" w:cs="仿宋" w:hint="eastAsia"/>
          <w:sz w:val="32"/>
          <w:szCs w:val="32"/>
          <w:shd w:val="clear" w:color="auto" w:fill="FFFFFF"/>
        </w:rPr>
        <w:lastRenderedPageBreak/>
        <w:t>增加85.35万元，增长7.69%。主要原因是人员工资增长及社保支出增加。</w:t>
      </w:r>
      <w:r>
        <w:rPr>
          <w:rFonts w:ascii="仿宋" w:eastAsia="仿宋" w:hAnsi="仿宋" w:cs="仿宋" w:hint="eastAsia"/>
          <w:sz w:val="32"/>
          <w:szCs w:val="32"/>
          <w:shd w:val="clear" w:color="auto" w:fill="FFFFFF"/>
        </w:rPr>
        <w:br/>
        <w:t xml:space="preserve">   </w:t>
      </w:r>
      <w:r>
        <w:rPr>
          <w:rFonts w:ascii="楷体_GB2312" w:eastAsia="楷体_GB2312" w:hAnsi="楷体_GB2312" w:cs="楷体_GB2312" w:hint="eastAsia"/>
          <w:b/>
          <w:bCs/>
          <w:sz w:val="32"/>
          <w:szCs w:val="32"/>
        </w:rPr>
        <w:t>（二）结构情况。</w:t>
      </w:r>
    </w:p>
    <w:p w:rsidR="003F7B79" w:rsidRDefault="00000000">
      <w:pPr>
        <w:widowControl/>
        <w:spacing w:line="590" w:lineRule="exact"/>
        <w:ind w:firstLineChars="200" w:firstLine="640"/>
        <w:rPr>
          <w:rFonts w:ascii="楷体_GB2312" w:eastAsia="楷体_GB2312" w:hAnsi="楷体_GB2312" w:cs="楷体_GB2312"/>
          <w:b/>
          <w:bCs/>
          <w:sz w:val="32"/>
          <w:szCs w:val="32"/>
        </w:rPr>
      </w:pPr>
      <w:r>
        <w:rPr>
          <w:rFonts w:ascii="仿宋" w:eastAsia="仿宋" w:hAnsi="仿宋" w:cs="仿宋" w:hint="eastAsia"/>
          <w:sz w:val="32"/>
          <w:szCs w:val="32"/>
          <w:shd w:val="clear" w:color="auto" w:fill="FFFFFF"/>
        </w:rPr>
        <w:t>2021年度一般公共预算财政拨款支出1,195.17万元，主要用于以下方面：交通运输（类）支出1195.17万元，占100%。</w:t>
      </w:r>
      <w:r>
        <w:rPr>
          <w:rFonts w:ascii="仿宋" w:eastAsia="仿宋" w:hAnsi="仿宋" w:cs="仿宋" w:hint="eastAsia"/>
          <w:sz w:val="32"/>
          <w:szCs w:val="32"/>
          <w:shd w:val="clear" w:color="auto" w:fill="FFFFFF"/>
        </w:rPr>
        <w:br/>
        <w:t xml:space="preserve">   </w:t>
      </w:r>
      <w:r>
        <w:rPr>
          <w:rFonts w:ascii="楷体_GB2312" w:eastAsia="楷体_GB2312" w:hAnsi="楷体_GB2312" w:cs="楷体_GB2312" w:hint="eastAsia"/>
          <w:b/>
          <w:bCs/>
          <w:sz w:val="32"/>
          <w:szCs w:val="32"/>
        </w:rPr>
        <w:t>（三）具体情况。</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 年度一般公共预算财政拨款支出年初预算为951.90万元，支出决算为 1,195.17万元，完成年初预算的125.56%。其中：</w:t>
      </w:r>
      <w:r>
        <w:rPr>
          <w:rFonts w:ascii="仿宋" w:eastAsia="仿宋" w:hAnsi="仿宋" w:cs="仿宋" w:hint="eastAsia"/>
          <w:sz w:val="32"/>
          <w:szCs w:val="32"/>
          <w:shd w:val="clear" w:color="auto" w:fill="FFFFFF"/>
        </w:rPr>
        <w:br/>
        <w:t xml:space="preserve">    交通运输支出（类）公路水路运输（款）其他公路水路运输支出（项）年初预算为951.90万元，支出决算为1,195.17万元，完成年初预算的125.56%。决算数与年初预算数存在差异的主要原因是支出使用年初结转结余和非财政拨款结余资金276.5万元。</w:t>
      </w:r>
      <w:r>
        <w:rPr>
          <w:rFonts w:ascii="仿宋" w:eastAsia="仿宋" w:hAnsi="仿宋" w:cs="仿宋" w:hint="eastAsia"/>
          <w:sz w:val="32"/>
          <w:szCs w:val="32"/>
          <w:shd w:val="clear" w:color="auto" w:fill="FFFFFF"/>
        </w:rPr>
        <w:br/>
        <w:t xml:space="preserve">    </w:t>
      </w:r>
      <w:r>
        <w:rPr>
          <w:rFonts w:ascii="黑体" w:eastAsia="黑体" w:hAnsi="黑体" w:cs="黑体" w:hint="eastAsia"/>
          <w:sz w:val="32"/>
          <w:szCs w:val="32"/>
        </w:rPr>
        <w:t>六、一般公共预算财政拨款基本支出决算情况说明</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 年度一般公共预算财政拨款基本支出1,195.17万元。其中：人员经费 970.19万元，主要包括：基本工资、津贴补贴、奖金、伙食补助费、绩效工资、机关事业单位基本养老保险缴费、职业年金缴费、 职工基本医疗保险缴费、其他社会保障缴费、其他工资福利支出、生活补助、住房公积金；公用经费224.98万元，主要包括：办公费、印刷费、咨询费、手续费、水 费、电费、邮电费、差旅费、维修（护）费、租赁费、会议费、培训费、公务接待费、专用材料费、劳务费、委托业务 费、工会</w:t>
      </w:r>
      <w:r>
        <w:rPr>
          <w:rFonts w:ascii="仿宋" w:eastAsia="仿宋" w:hAnsi="仿宋" w:cs="仿宋" w:hint="eastAsia"/>
          <w:sz w:val="32"/>
          <w:szCs w:val="32"/>
          <w:shd w:val="clear" w:color="auto" w:fill="FFFFFF"/>
        </w:rPr>
        <w:lastRenderedPageBreak/>
        <w:t>经费、福利费、公务用车运行维护费、其他交通费用、税金及附加费用、其他商品和服务支出、办公设备购置、专用设备购置、信息网络及软件购置更新、其他资本性支出。</w:t>
      </w:r>
      <w:r>
        <w:rPr>
          <w:rFonts w:ascii="仿宋" w:eastAsia="仿宋" w:hAnsi="仿宋" w:cs="仿宋" w:hint="eastAsia"/>
          <w:sz w:val="32"/>
          <w:szCs w:val="32"/>
          <w:shd w:val="clear" w:color="auto" w:fill="FFFFFF"/>
        </w:rPr>
        <w:br/>
        <w:t xml:space="preserve">    </w:t>
      </w:r>
      <w:r>
        <w:rPr>
          <w:rFonts w:ascii="黑体" w:eastAsia="黑体" w:hAnsi="黑体" w:cs="黑体" w:hint="eastAsia"/>
          <w:sz w:val="32"/>
          <w:szCs w:val="32"/>
        </w:rPr>
        <w:t>七、一般公共预算财政拨款“三公”经费支出决算情况说明</w:t>
      </w:r>
    </w:p>
    <w:p w:rsidR="003F7B79"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3F7B79" w:rsidRDefault="00000000">
      <w:pPr>
        <w:widowControl/>
        <w:spacing w:line="59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2021 年度“三公”经费财政拨款支出预算为1.65万元，支出决算为 1.65万元，完成预算的100.00%。</w:t>
      </w:r>
    </w:p>
    <w:p w:rsidR="003F7B79"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3F7B79"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0万元，完成预算的0%，占0%；公务用车购置及运行费支出决算0万元，完成预算的0%，占0%；公务接待费支出决算1.65万元，完成预算的100%，占100%。具体情况如下：</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年初预算为0万元，支出决算为0万元，完成年初预算的0%。</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年初预算为0万元，支出决算为0万元，完成年初预算的0%。其中：</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为0万元，购置车辆0台。</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年期末，单位开支财政拨款的公务用车保有量为0量。</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初预算为1.65万元，支出决算为1.65万元，完成年初预算的100%。其中：</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外宾接待支出</w:t>
      </w:r>
      <w:r>
        <w:rPr>
          <w:rFonts w:ascii="仿宋_GB2312" w:eastAsia="仿宋_GB2312" w:hAnsi="仿宋_GB2312" w:cs="仿宋_GB2312" w:hint="eastAsia"/>
          <w:sz w:val="32"/>
          <w:szCs w:val="32"/>
        </w:rPr>
        <w:t>0万元。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年共接待国（境）外来访团组0个、来访外宾0人次（不包括陪同人员）。</w:t>
      </w:r>
    </w:p>
    <w:p w:rsidR="003F7B79"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1.65万元。主要用于市执法支队组织专项整治行动就餐费。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年共接待国内来访团组23个、来宾415人次（不包括陪同人员）。</w:t>
      </w:r>
    </w:p>
    <w:p w:rsidR="003F7B79"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八、政府性基金预算财政拨款支出决算情况说明</w:t>
      </w:r>
    </w:p>
    <w:p w:rsidR="003F7B79"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年度政府性基金预算财政拨款支出年初预算为0万元，支出决算为0万元，完成年初预算的0%。</w:t>
      </w:r>
    </w:p>
    <w:p w:rsidR="003F7B79"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九、机关运行经费支出情况说明</w:t>
      </w:r>
    </w:p>
    <w:p w:rsidR="003F7B79"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年度机关运行经费年初预算为0万元，支出决算为0万元，完成年初预算的0%。（</w:t>
      </w:r>
      <w:r>
        <w:rPr>
          <w:rFonts w:ascii="仿宋_GB2312" w:eastAsia="仿宋_GB2312" w:hAnsi="仿宋_GB2312" w:cs="仿宋_GB2312" w:hint="eastAsia"/>
          <w:b/>
          <w:sz w:val="32"/>
          <w:szCs w:val="32"/>
        </w:rPr>
        <w:t>我单位不是行政机关，也不是参照公务员管理事业单位，没有机关运行经费支出。</w:t>
      </w:r>
      <w:r>
        <w:rPr>
          <w:rFonts w:ascii="仿宋_GB2312" w:eastAsia="仿宋_GB2312" w:hAnsi="仿宋_GB2312" w:cs="仿宋_GB2312" w:hint="eastAsia"/>
          <w:sz w:val="32"/>
          <w:szCs w:val="32"/>
        </w:rPr>
        <w:t>）</w:t>
      </w:r>
    </w:p>
    <w:p w:rsidR="003F7B79"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十、政府采购支出情况说明</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 年度政府采购支出总额6.38万元，其中：政府采购货物支出 5.15万元、政府采购工程支出0.00万元、政府采购服务支出1.23万元。授予中小企业合同金额 0.00万元，占政府采购支出总额的0.00%,其中：授予小微企业合同金额0.00万元，占政府 采购支出总额的0.00%。</w:t>
      </w:r>
      <w:r>
        <w:rPr>
          <w:rFonts w:ascii="仿宋" w:eastAsia="仿宋" w:hAnsi="仿宋" w:cs="仿宋" w:hint="eastAsia"/>
          <w:sz w:val="32"/>
          <w:szCs w:val="32"/>
          <w:shd w:val="clear" w:color="auto" w:fill="FFFFFF"/>
        </w:rPr>
        <w:br/>
        <w:t xml:space="preserve">    </w:t>
      </w:r>
      <w:r>
        <w:rPr>
          <w:rFonts w:ascii="黑体" w:eastAsia="黑体" w:hAnsi="黑体" w:cs="黑体" w:hint="eastAsia"/>
          <w:sz w:val="32"/>
          <w:szCs w:val="32"/>
        </w:rPr>
        <w:t>十一、国有资产占用情况说明</w:t>
      </w:r>
    </w:p>
    <w:p w:rsidR="003F7B79" w:rsidRDefault="00000000">
      <w:pPr>
        <w:widowControl/>
        <w:spacing w:line="590" w:lineRule="exact"/>
        <w:ind w:firstLineChars="200" w:firstLine="640"/>
        <w:rPr>
          <w:rFonts w:ascii="黑体" w:eastAsia="黑体" w:hAnsi="黑体" w:cs="黑体"/>
          <w:sz w:val="32"/>
          <w:szCs w:val="32"/>
        </w:rPr>
      </w:pPr>
      <w:r>
        <w:rPr>
          <w:rFonts w:ascii="仿宋" w:eastAsia="仿宋" w:hAnsi="仿宋" w:cs="仿宋" w:hint="eastAsia"/>
          <w:sz w:val="32"/>
          <w:szCs w:val="32"/>
          <w:shd w:val="clear" w:color="auto" w:fill="FFFFFF"/>
        </w:rPr>
        <w:t>2021 年期末，我单位共有车辆0辆，其中：省级领导干部用车0辆、主要领导干部用车 0辆、机要通信用车0辆、应急保障车0辆、执法执勤用车 0辆、特种专业技术用车0辆、离退休干部用车0辆、其他用 车0辆；单位价值50万元以上通</w:t>
      </w:r>
      <w:r>
        <w:rPr>
          <w:rFonts w:ascii="仿宋" w:eastAsia="仿宋" w:hAnsi="仿宋" w:cs="仿宋" w:hint="eastAsia"/>
          <w:sz w:val="32"/>
          <w:szCs w:val="32"/>
          <w:shd w:val="clear" w:color="auto" w:fill="FFFFFF"/>
        </w:rPr>
        <w:lastRenderedPageBreak/>
        <w:t>用设备0台（套），单位价值100万元以上专用设备 0台（套）。</w:t>
      </w:r>
      <w:r>
        <w:rPr>
          <w:rFonts w:ascii="仿宋" w:eastAsia="仿宋" w:hAnsi="仿宋" w:cs="仿宋" w:hint="eastAsia"/>
          <w:sz w:val="32"/>
          <w:szCs w:val="32"/>
          <w:shd w:val="clear" w:color="auto" w:fill="FFFFFF"/>
        </w:rPr>
        <w:br/>
      </w:r>
      <w:r>
        <w:rPr>
          <w:rFonts w:ascii="黑体" w:eastAsia="黑体" w:hAnsi="黑体" w:cs="黑体" w:hint="eastAsia"/>
          <w:sz w:val="32"/>
          <w:szCs w:val="32"/>
        </w:rPr>
        <w:t>十二、预算绩效情况说明</w:t>
      </w:r>
    </w:p>
    <w:p w:rsidR="003F7B79" w:rsidRDefault="00000000">
      <w:pPr>
        <w:widowControl/>
        <w:spacing w:line="590" w:lineRule="exact"/>
        <w:ind w:firstLineChars="200" w:firstLine="643"/>
        <w:outlineLvl w:val="2"/>
      </w:pPr>
      <w:r>
        <w:rPr>
          <w:rFonts w:ascii="楷体_GB2312" w:eastAsia="楷体_GB2312" w:hAnsi="楷体_GB2312" w:cs="楷体_GB2312" w:hint="eastAsia"/>
          <w:b/>
          <w:bCs/>
          <w:sz w:val="32"/>
          <w:szCs w:val="32"/>
        </w:rPr>
        <w:t>（一）绩效管理工作开展情况。</w:t>
      </w:r>
    </w:p>
    <w:p w:rsidR="003F7B79" w:rsidRDefault="00000000">
      <w:pPr>
        <w:ind w:firstLine="640"/>
        <w:rPr>
          <w:rFonts w:ascii="仿宋" w:eastAsia="仿宋" w:hAnsi="仿宋" w:cs="仿宋"/>
          <w:color w:val="000000" w:themeColor="text1"/>
          <w:sz w:val="32"/>
          <w:szCs w:val="32"/>
        </w:rPr>
      </w:pPr>
      <w:r>
        <w:rPr>
          <w:rFonts w:ascii="仿宋" w:eastAsia="仿宋" w:hAnsi="仿宋" w:cs="仿宋" w:hint="eastAsia"/>
          <w:sz w:val="32"/>
          <w:szCs w:val="32"/>
        </w:rPr>
        <w:t>强化预算绩效管理意识，提升项目产出效益。</w:t>
      </w:r>
      <w:r>
        <w:rPr>
          <w:rFonts w:ascii="仿宋" w:eastAsia="仿宋" w:hAnsi="仿宋" w:cs="仿宋" w:hint="eastAsia"/>
          <w:color w:val="000000" w:themeColor="text1"/>
          <w:sz w:val="32"/>
          <w:szCs w:val="32"/>
        </w:rPr>
        <w:t>我单位按照全面实施预算绩效管理工作要求：牢固树立“花钱必有效，无效必问责”的预算绩效管理理念，加快推进全方位、全过程、全覆盖的预算绩效管理体系建设，积极推进全面实施预算绩效管理工作，提升预算绩效管理水平。</w:t>
      </w:r>
    </w:p>
    <w:p w:rsidR="003F7B79" w:rsidRDefault="00000000">
      <w:pPr>
        <w:pStyle w:val="2"/>
        <w:ind w:firstLineChars="200" w:firstLine="643"/>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3F7B79" w:rsidRDefault="00000000">
      <w:pPr>
        <w:ind w:firstLine="640"/>
        <w:rPr>
          <w:rFonts w:ascii="仿宋" w:eastAsia="仿宋" w:hAnsi="仿宋" w:cs="仿宋"/>
          <w:color w:val="000000" w:themeColor="text1"/>
          <w:sz w:val="32"/>
          <w:szCs w:val="32"/>
        </w:rPr>
      </w:pPr>
      <w:r>
        <w:rPr>
          <w:rFonts w:ascii="仿宋" w:eastAsia="仿宋" w:hAnsi="仿宋" w:cs="仿宋" w:hint="eastAsia"/>
          <w:sz w:val="32"/>
          <w:szCs w:val="32"/>
        </w:rPr>
        <w:t>通过项目绩效自评，发现我单位整体绩效评价水平不够，</w:t>
      </w:r>
      <w:r>
        <w:rPr>
          <w:rFonts w:ascii="仿宋" w:eastAsia="仿宋" w:hAnsi="仿宋" w:cs="仿宋" w:hint="eastAsia"/>
          <w:color w:val="000000" w:themeColor="text1"/>
          <w:sz w:val="32"/>
          <w:szCs w:val="32"/>
        </w:rPr>
        <w:t>为发挥好财政职能作用，</w:t>
      </w:r>
      <w:r>
        <w:rPr>
          <w:rFonts w:ascii="仿宋" w:eastAsia="仿宋" w:hAnsi="仿宋" w:cs="仿宋" w:hint="eastAsia"/>
          <w:sz w:val="32"/>
          <w:szCs w:val="32"/>
        </w:rPr>
        <w:t>更好的开展以后绩效评价和项目管理工作，</w:t>
      </w:r>
      <w:r>
        <w:rPr>
          <w:rFonts w:ascii="仿宋" w:eastAsia="仿宋" w:hAnsi="仿宋" w:cs="仿宋" w:hint="eastAsia"/>
          <w:color w:val="000000" w:themeColor="text1"/>
          <w:sz w:val="32"/>
          <w:szCs w:val="32"/>
        </w:rPr>
        <w:t>按照全面深化改革的要求，提高单位绩效管理意识，使财政资金发挥真正的效益。</w:t>
      </w:r>
    </w:p>
    <w:p w:rsidR="00453B93" w:rsidRDefault="00453B93" w:rsidP="00453B93">
      <w:pPr>
        <w:widowControl/>
        <w:numPr>
          <w:ilvl w:val="0"/>
          <w:numId w:val="3"/>
        </w:numPr>
        <w:ind w:firstLineChars="200" w:firstLine="643"/>
        <w:jc w:val="left"/>
        <w:rPr>
          <w:rFonts w:ascii="楷体_GB2312" w:eastAsia="楷体_GB2312" w:hAnsi="楷体_GB2312" w:cs="楷体_GB2312" w:hint="eastAsia"/>
          <w:sz w:val="32"/>
          <w:szCs w:val="32"/>
        </w:rPr>
      </w:pPr>
      <w:r>
        <w:rPr>
          <w:rFonts w:ascii="楷体_GB2312" w:eastAsia="楷体_GB2312" w:hAnsi="楷体_GB2312" w:cs="楷体_GB2312" w:hint="eastAsia"/>
          <w:b/>
          <w:bCs/>
          <w:sz w:val="32"/>
          <w:szCs w:val="32"/>
        </w:rPr>
        <w:t>重点绩效评价结果</w:t>
      </w:r>
      <w:r>
        <w:rPr>
          <w:rFonts w:ascii="楷体_GB2312" w:eastAsia="楷体_GB2312" w:hAnsi="楷体_GB2312" w:cs="楷体_GB2312" w:hint="eastAsia"/>
          <w:sz w:val="32"/>
          <w:szCs w:val="32"/>
        </w:rPr>
        <w:t>。</w:t>
      </w:r>
    </w:p>
    <w:p w:rsidR="00453B93" w:rsidRDefault="00453B93" w:rsidP="00453B93">
      <w:pPr>
        <w:widowControl/>
        <w:jc w:val="left"/>
        <w:rPr>
          <w:rFonts w:ascii="仿宋_GB2312" w:eastAsia="仿宋_GB2312"/>
          <w:sz w:val="32"/>
          <w:szCs w:val="32"/>
        </w:rPr>
      </w:pPr>
      <w:r>
        <w:rPr>
          <w:rFonts w:ascii="楷体_GB2312" w:eastAsia="楷体_GB2312" w:hAnsi="楷体_GB2312" w:cs="楷体_GB2312" w:hint="eastAsia"/>
          <w:sz w:val="32"/>
          <w:szCs w:val="32"/>
        </w:rPr>
        <w:t xml:space="preserve"> </w:t>
      </w:r>
      <w:r>
        <w:rPr>
          <w:rFonts w:ascii="仿宋_GB2312" w:eastAsia="仿宋_GB2312" w:hint="eastAsia"/>
          <w:sz w:val="32"/>
          <w:szCs w:val="32"/>
        </w:rPr>
        <w:t xml:space="preserve">    2021年度我部门无重点绩效评价。</w:t>
      </w:r>
    </w:p>
    <w:p w:rsidR="003F7B79" w:rsidRPr="00453B93"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3F7B79">
      <w:pPr>
        <w:pStyle w:val="1"/>
        <w:ind w:firstLine="640"/>
        <w:rPr>
          <w:rFonts w:ascii="仿宋" w:eastAsia="仿宋" w:hAnsi="仿宋" w:cs="仿宋"/>
          <w:color w:val="000000" w:themeColor="text1"/>
          <w:sz w:val="32"/>
          <w:szCs w:val="32"/>
        </w:rPr>
      </w:pPr>
    </w:p>
    <w:p w:rsidR="003F7B79" w:rsidRDefault="00000000">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3F7B79" w:rsidRDefault="003F7B79">
      <w:pPr>
        <w:jc w:val="center"/>
        <w:rPr>
          <w:rFonts w:ascii="黑体" w:eastAsia="黑体" w:hAnsi="黑体" w:cs="黑体"/>
          <w:sz w:val="48"/>
          <w:szCs w:val="48"/>
        </w:rPr>
      </w:pPr>
    </w:p>
    <w:p w:rsidR="003F7B79" w:rsidRDefault="003F7B79">
      <w:pPr>
        <w:jc w:val="center"/>
        <w:outlineLvl w:val="0"/>
        <w:rPr>
          <w:rFonts w:ascii="黑体" w:eastAsia="黑体" w:hAnsi="黑体" w:cs="黑体"/>
          <w:sz w:val="48"/>
          <w:szCs w:val="48"/>
        </w:rPr>
        <w:sectPr w:rsidR="003F7B79">
          <w:pgSz w:w="11906" w:h="16838"/>
          <w:pgMar w:top="1440" w:right="1531" w:bottom="1440" w:left="1587" w:header="850" w:footer="992" w:gutter="0"/>
          <w:pgNumType w:fmt="numberInDash"/>
          <w:cols w:space="720"/>
          <w:docGrid w:type="lines" w:linePitch="317"/>
        </w:sectPr>
      </w:pP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七、使用非财政拨款结余：指事业单位使用以前年度积累的非财政拨款结余弥补当年收支差额的金额。</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十、“三公”经费：纳入同级财政预决算管理“三公”经费，指单位使用财政拨款安排的因公出国（境）费、公务用车购置及运行费和公务接待费。其中，因公出国（境）费反映单位公务出</w:t>
      </w:r>
      <w:r>
        <w:rPr>
          <w:rFonts w:ascii="仿宋_GB2312" w:eastAsia="仿宋_GB2312" w:hAnsi="仿宋_GB2312" w:cs="仿宋_GB2312" w:hint="eastAsia"/>
          <w:sz w:val="32"/>
          <w:szCs w:val="32"/>
        </w:rPr>
        <w:lastRenderedPageBreak/>
        <w:t>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3F7B79"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sectPr w:rsidR="003F7B79">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F98" w:rsidRDefault="00EF5F98">
      <w:r>
        <w:separator/>
      </w:r>
    </w:p>
  </w:endnote>
  <w:endnote w:type="continuationSeparator" w:id="0">
    <w:p w:rsidR="00EF5F98" w:rsidRDefault="00EF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B79" w:rsidRDefault="00000000">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7B7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3F7B7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B79" w:rsidRDefault="00000000">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7B7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3F7B7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7B79" w:rsidRDefault="003F7B79"/>
                      </w:txbxContent>
                    </wps:txbx>
                    <wps:bodyPr wrap="none" lIns="0" tIns="0" rIns="0" bIns="0">
                      <a:spAutoFit/>
                    </wps:bodyPr>
                  </wps:wsp>
                </a:graphicData>
              </a:graphic>
            </wp:anchor>
          </w:drawing>
        </mc:Choice>
        <mc:Fallback>
          <w:pict>
            <v:shape id="文本框 1027"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rsidR="003F7B79" w:rsidRDefault="003F7B7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F98" w:rsidRDefault="00EF5F98">
      <w:r>
        <w:separator/>
      </w:r>
    </w:p>
  </w:footnote>
  <w:footnote w:type="continuationSeparator" w:id="0">
    <w:p w:rsidR="00EF5F98" w:rsidRDefault="00EF5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901248"/>
    <w:multiLevelType w:val="multilevel"/>
    <w:tmpl w:val="E7901248"/>
    <w:lvl w:ilvl="0">
      <w:start w:val="1"/>
      <w:numFmt w:val="japaneseCounting"/>
      <w:lvlText w:val="（%1）"/>
      <w:lvlJc w:val="left"/>
      <w:pPr>
        <w:ind w:left="2220" w:hanging="1470"/>
      </w:pPr>
      <w:rPr>
        <w:rFonts w:hint="default"/>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1" w15:restartNumberingAfterBreak="0">
    <w:nsid w:val="0D3C8F12"/>
    <w:multiLevelType w:val="singleLevel"/>
    <w:tmpl w:val="0D3C8F12"/>
    <w:lvl w:ilvl="0">
      <w:start w:val="3"/>
      <w:numFmt w:val="chineseCounting"/>
      <w:suff w:val="nothing"/>
      <w:lvlText w:val="（%1）"/>
      <w:lvlJc w:val="left"/>
      <w:rPr>
        <w:rFonts w:hint="eastAsia"/>
      </w:r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16cid:durableId="1983997894">
    <w:abstractNumId w:val="2"/>
  </w:num>
  <w:num w:numId="2" w16cid:durableId="526913522">
    <w:abstractNumId w:val="0"/>
  </w:num>
  <w:num w:numId="3" w16cid:durableId="44971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FiNWE0ZWVmNDNhYmE4MTRkZjZhOGYwYjYyZjY2NDAifQ=="/>
  </w:docVars>
  <w:rsids>
    <w:rsidRoot w:val="000270E8"/>
    <w:rsid w:val="000270E8"/>
    <w:rsid w:val="000335B5"/>
    <w:rsid w:val="00057AFD"/>
    <w:rsid w:val="00076410"/>
    <w:rsid w:val="00081835"/>
    <w:rsid w:val="000904B3"/>
    <w:rsid w:val="000C073B"/>
    <w:rsid w:val="000C1142"/>
    <w:rsid w:val="001003F8"/>
    <w:rsid w:val="00144159"/>
    <w:rsid w:val="001718A8"/>
    <w:rsid w:val="00182842"/>
    <w:rsid w:val="00184D53"/>
    <w:rsid w:val="001905F2"/>
    <w:rsid w:val="00197592"/>
    <w:rsid w:val="001C32F0"/>
    <w:rsid w:val="001D61B1"/>
    <w:rsid w:val="001F5040"/>
    <w:rsid w:val="002006EB"/>
    <w:rsid w:val="00214AE1"/>
    <w:rsid w:val="00260D70"/>
    <w:rsid w:val="00281114"/>
    <w:rsid w:val="00282C7F"/>
    <w:rsid w:val="00287811"/>
    <w:rsid w:val="00292B4B"/>
    <w:rsid w:val="002A6352"/>
    <w:rsid w:val="002B3F94"/>
    <w:rsid w:val="002C171D"/>
    <w:rsid w:val="002E6A86"/>
    <w:rsid w:val="00304D04"/>
    <w:rsid w:val="00305B88"/>
    <w:rsid w:val="00315FEB"/>
    <w:rsid w:val="003F7B79"/>
    <w:rsid w:val="0041489C"/>
    <w:rsid w:val="0042585F"/>
    <w:rsid w:val="00445CAC"/>
    <w:rsid w:val="00453B93"/>
    <w:rsid w:val="00472E19"/>
    <w:rsid w:val="00487869"/>
    <w:rsid w:val="004D5275"/>
    <w:rsid w:val="004F63DB"/>
    <w:rsid w:val="00505190"/>
    <w:rsid w:val="00507364"/>
    <w:rsid w:val="00546F7C"/>
    <w:rsid w:val="005A0C2F"/>
    <w:rsid w:val="005B1AE2"/>
    <w:rsid w:val="005E3397"/>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651E7"/>
    <w:rsid w:val="00872946"/>
    <w:rsid w:val="0088023A"/>
    <w:rsid w:val="008858FB"/>
    <w:rsid w:val="00894B41"/>
    <w:rsid w:val="008B5427"/>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D6761"/>
    <w:rsid w:val="00AE2FEA"/>
    <w:rsid w:val="00AE600E"/>
    <w:rsid w:val="00B0083B"/>
    <w:rsid w:val="00B040BC"/>
    <w:rsid w:val="00B209B8"/>
    <w:rsid w:val="00B20BBC"/>
    <w:rsid w:val="00B249F3"/>
    <w:rsid w:val="00B649BE"/>
    <w:rsid w:val="00B653A5"/>
    <w:rsid w:val="00B710DD"/>
    <w:rsid w:val="00BE5A85"/>
    <w:rsid w:val="00BF4E6A"/>
    <w:rsid w:val="00BF5718"/>
    <w:rsid w:val="00C13474"/>
    <w:rsid w:val="00C3106E"/>
    <w:rsid w:val="00C60609"/>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D38B7"/>
    <w:rsid w:val="00EE051D"/>
    <w:rsid w:val="00EF5F98"/>
    <w:rsid w:val="00F0131A"/>
    <w:rsid w:val="00F14C17"/>
    <w:rsid w:val="00F17041"/>
    <w:rsid w:val="00F218CF"/>
    <w:rsid w:val="00F44937"/>
    <w:rsid w:val="00F61A47"/>
    <w:rsid w:val="00F84422"/>
    <w:rsid w:val="00F95455"/>
    <w:rsid w:val="00FA574D"/>
    <w:rsid w:val="00FC2588"/>
    <w:rsid w:val="00FE7AD9"/>
    <w:rsid w:val="01322275"/>
    <w:rsid w:val="01DC6F05"/>
    <w:rsid w:val="0257509E"/>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2D257A"/>
    <w:rsid w:val="10BD36F6"/>
    <w:rsid w:val="11BF0649"/>
    <w:rsid w:val="123E3E08"/>
    <w:rsid w:val="13D22E22"/>
    <w:rsid w:val="161C2DFF"/>
    <w:rsid w:val="16373578"/>
    <w:rsid w:val="16D3336B"/>
    <w:rsid w:val="16E60775"/>
    <w:rsid w:val="17806C36"/>
    <w:rsid w:val="17A74F62"/>
    <w:rsid w:val="18A47774"/>
    <w:rsid w:val="1B2E6FD8"/>
    <w:rsid w:val="1B877D21"/>
    <w:rsid w:val="1C4319A9"/>
    <w:rsid w:val="1E443B4B"/>
    <w:rsid w:val="1E7A1416"/>
    <w:rsid w:val="1E994F4A"/>
    <w:rsid w:val="1EAF0224"/>
    <w:rsid w:val="1F2230A4"/>
    <w:rsid w:val="20210932"/>
    <w:rsid w:val="202448E0"/>
    <w:rsid w:val="21302EEA"/>
    <w:rsid w:val="22376FB5"/>
    <w:rsid w:val="23E152D7"/>
    <w:rsid w:val="24306102"/>
    <w:rsid w:val="255D43C8"/>
    <w:rsid w:val="26876BDD"/>
    <w:rsid w:val="2714632A"/>
    <w:rsid w:val="27B0539E"/>
    <w:rsid w:val="28BE1833"/>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CD91837"/>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 w:val="7F46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4BF30-8E09-4A31-BDAD-D9D6AF03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2">
    <w:name w:val="heading 2"/>
    <w:basedOn w:val="a"/>
    <w:next w:val="3"/>
    <w:uiPriority w:val="9"/>
    <w:unhideWhenUsed/>
    <w:qFormat/>
    <w:pPr>
      <w:keepNext/>
      <w:keepLines/>
      <w:jc w:val="left"/>
      <w:outlineLvl w:val="1"/>
    </w:pPr>
    <w:rPr>
      <w:rFonts w:eastAsia="楷体" w:cstheme="majorBidi"/>
      <w:b/>
      <w:bCs/>
    </w:rPr>
  </w:style>
  <w:style w:type="paragraph" w:styleId="3">
    <w:name w:val="heading 3"/>
    <w:basedOn w:val="a"/>
    <w:next w:val="a"/>
    <w:uiPriority w:val="9"/>
    <w:unhideWhenUsed/>
    <w:qFormat/>
    <w:pPr>
      <w:keepNext/>
      <w:keepLines/>
      <w:ind w:firstLine="200"/>
      <w:jc w:val="lef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widowControl/>
      <w:ind w:firstLineChars="200" w:firstLine="420"/>
      <w:jc w:val="left"/>
    </w:pPr>
    <w:rPr>
      <w:rFonts w:ascii="宋体" w:hAnsi="宋体" w:cs="宋体"/>
      <w:kern w:val="0"/>
      <w:sz w:val="24"/>
      <w:szCs w:val="24"/>
    </w:r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qFormat/>
    <w:rPr>
      <w:color w:val="800080"/>
      <w:u w:val="single"/>
    </w:rPr>
  </w:style>
  <w:style w:type="character" w:styleId="ab">
    <w:name w:val="Hyperlink"/>
    <w:uiPriority w:val="99"/>
    <w:unhideWhenUsed/>
    <w:qFormat/>
    <w:rPr>
      <w:color w:val="0000FF"/>
      <w:u w:val="single"/>
    </w:rPr>
  </w:style>
  <w:style w:type="character" w:customStyle="1" w:styleId="a4">
    <w:name w:val="批注框文本 字符"/>
    <w:link w:val="a3"/>
    <w:uiPriority w:val="99"/>
    <w:semiHidden/>
    <w:qFormat/>
    <w:rPr>
      <w:kern w:val="2"/>
      <w:sz w:val="18"/>
      <w:szCs w:val="18"/>
    </w:rPr>
  </w:style>
  <w:style w:type="character" w:customStyle="1" w:styleId="a6">
    <w:name w:val="页脚 字符"/>
    <w:link w:val="a5"/>
    <w:uiPriority w:val="99"/>
    <w:qFormat/>
    <w:rPr>
      <w:kern w:val="2"/>
      <w:sz w:val="18"/>
      <w:szCs w:val="18"/>
    </w:rPr>
  </w:style>
  <w:style w:type="character" w:customStyle="1" w:styleId="a8">
    <w:name w:val="页眉 字符"/>
    <w:link w:val="a7"/>
    <w:uiPriority w:val="99"/>
    <w:qFormat/>
    <w:rPr>
      <w:kern w:val="2"/>
      <w:sz w:val="18"/>
      <w:szCs w:val="1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1421</Words>
  <Characters>8100</Characters>
  <Application>Microsoft Office Word</Application>
  <DocSecurity>0</DocSecurity>
  <Lines>67</Lines>
  <Paragraphs>19</Paragraphs>
  <ScaleCrop>false</ScaleCrop>
  <Company>MS User</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斌恒 郑</cp:lastModifiedBy>
  <cp:revision>30</cp:revision>
  <cp:lastPrinted>2018-07-24T10:50:00Z</cp:lastPrinted>
  <dcterms:created xsi:type="dcterms:W3CDTF">2007-11-29T03:41:00Z</dcterms:created>
  <dcterms:modified xsi:type="dcterms:W3CDTF">2023-09-26T12:40:00Z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C3FF4A07222541E6BBAF8F849ACBCA0A_13</vt:lpwstr>
  </property>
</Properties>
</file>