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信阳市平桥区202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年财政决算报告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今年以来，全区各级财税部门在区委、区政府的科学决策和正确领导下，积极应对宏观经济波动影响，主动适应经济发展新常态，坚持稳中求进总基调，充分发挥财政调控职能，扎实有效保障民生。全区一般公共预算收入较上年同期下降2.7%。地方级税收收入较上年同期增长10.2%。一般公共预算支出较上年同期下降1.9%，保证了基本民生和基层运转的正常进行。</w:t>
      </w:r>
    </w:p>
    <w:p>
      <w:pPr>
        <w:spacing w:line="600" w:lineRule="exact"/>
        <w:ind w:firstLine="590" w:firstLineChars="19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一、财政收支基本情况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（一）收入基本情况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月份，地方公共财政预算收入完成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15014</w:t>
      </w:r>
      <w:r>
        <w:rPr>
          <w:rFonts w:hint="eastAsia" w:ascii="仿宋" w:hAnsi="仿宋" w:eastAsia="仿宋"/>
          <w:sz w:val="30"/>
          <w:szCs w:val="30"/>
        </w:rPr>
        <w:t>万元,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累计完成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105534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为年初计划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122778万元的86%，较时间进度慢14%，短收17244万元。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</w:t>
      </w:r>
      <w:r>
        <w:rPr>
          <w:rFonts w:hint="eastAsia" w:ascii="仿宋" w:hAnsi="仿宋" w:eastAsia="仿宋"/>
          <w:sz w:val="30"/>
          <w:szCs w:val="30"/>
        </w:rPr>
        <w:t>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2892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2.7</w:t>
      </w:r>
      <w:r>
        <w:rPr>
          <w:rFonts w:hint="eastAsia" w:ascii="仿宋" w:hAnsi="仿宋" w:eastAsia="仿宋"/>
          <w:sz w:val="30"/>
          <w:szCs w:val="30"/>
        </w:rPr>
        <w:t xml:space="preserve">%。 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1、收入构成情况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，全区税收收入完成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86099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90218万元的95.4%，较时间进度慢4.6%，短收4119万元。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7972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10.2</w:t>
      </w:r>
      <w:r>
        <w:rPr>
          <w:rFonts w:hint="eastAsia" w:ascii="仿宋" w:hAnsi="仿宋" w:eastAsia="仿宋"/>
          <w:sz w:val="30"/>
          <w:szCs w:val="30"/>
        </w:rPr>
        <w:t>%。税收占公共财政预算收入的比重为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81.6</w:t>
      </w:r>
      <w:r>
        <w:rPr>
          <w:rFonts w:hint="eastAsia" w:ascii="仿宋" w:hAnsi="仿宋" w:eastAsia="仿宋"/>
          <w:sz w:val="30"/>
          <w:szCs w:val="30"/>
        </w:rPr>
        <w:t>%，</w:t>
      </w:r>
      <w:r>
        <w:rPr>
          <w:rFonts w:hint="eastAsia" w:ascii="仿宋" w:hAnsi="仿宋" w:eastAsia="仿宋"/>
          <w:color w:val="000000"/>
          <w:sz w:val="30"/>
          <w:szCs w:val="30"/>
        </w:rPr>
        <w:t>居全</w:t>
      </w:r>
      <w:r>
        <w:rPr>
          <w:rFonts w:hint="eastAsia" w:ascii="仿宋" w:hAnsi="仿宋" w:eastAsia="仿宋"/>
          <w:color w:val="auto"/>
          <w:sz w:val="30"/>
          <w:szCs w:val="30"/>
        </w:rPr>
        <w:t>市第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color w:val="auto"/>
          <w:sz w:val="30"/>
          <w:szCs w:val="30"/>
        </w:rPr>
        <w:t>位</w:t>
      </w:r>
      <w:r>
        <w:rPr>
          <w:rFonts w:hint="eastAsia" w:ascii="仿宋" w:hAnsi="仿宋" w:eastAsia="仿宋"/>
          <w:color w:val="000000"/>
          <w:sz w:val="30"/>
          <w:szCs w:val="30"/>
        </w:rPr>
        <w:t>。其中主体税种完成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41487</w:t>
      </w:r>
      <w:r>
        <w:rPr>
          <w:rFonts w:hint="eastAsia" w:ascii="仿宋" w:hAnsi="仿宋" w:eastAsia="仿宋"/>
          <w:color w:val="000000"/>
          <w:sz w:val="30"/>
          <w:szCs w:val="30"/>
        </w:rPr>
        <w:t>万元，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60324万元的68.8%。同比减收10752万元，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20.6</w:t>
      </w:r>
      <w:r>
        <w:rPr>
          <w:rFonts w:hint="eastAsia" w:ascii="仿宋" w:hAnsi="仿宋" w:eastAsia="仿宋"/>
          <w:sz w:val="30"/>
          <w:szCs w:val="30"/>
        </w:rPr>
        <w:t>%；小税种完成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44612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29895万元的149.2%。同比增收18724万元，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72.3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非税收入完成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19435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32560万元的59.7%。同比减收10864万元，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35.9</w:t>
      </w:r>
      <w:r>
        <w:rPr>
          <w:rFonts w:hint="eastAsia" w:ascii="仿宋" w:hAnsi="仿宋" w:eastAsia="仿宋"/>
          <w:sz w:val="30"/>
          <w:szCs w:val="30"/>
        </w:rPr>
        <w:t>%，非税收入占公共财政预算收入的比重为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18.4</w:t>
      </w:r>
      <w:r>
        <w:rPr>
          <w:rFonts w:hint="eastAsia" w:ascii="仿宋" w:hAnsi="仿宋" w:eastAsia="仿宋"/>
          <w:color w:val="auto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税收比重81.6%，高于全市县区平均水平，排名全市第二。税收质量保持全市前列。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2、收入分部门完成情况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税务部门</w:t>
      </w:r>
      <w:r>
        <w:rPr>
          <w:rFonts w:hint="eastAsia" w:ascii="仿宋" w:hAnsi="仿宋" w:eastAsia="仿宋"/>
          <w:sz w:val="30"/>
          <w:szCs w:val="30"/>
        </w:rPr>
        <w:t>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88832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95608万元的92.9%，短收6776元。</w:t>
      </w:r>
      <w:r>
        <w:rPr>
          <w:rFonts w:hint="eastAsia" w:ascii="仿宋" w:hAnsi="仿宋" w:eastAsia="仿宋"/>
          <w:sz w:val="30"/>
          <w:szCs w:val="30"/>
          <w:lang w:eastAsia="zh-CN"/>
        </w:rPr>
        <w:t>同比增加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6038万元，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7.3</w:t>
      </w:r>
      <w:r>
        <w:rPr>
          <w:rFonts w:hint="eastAsia" w:ascii="仿宋" w:hAnsi="仿宋" w:eastAsia="仿宋"/>
          <w:sz w:val="30"/>
          <w:szCs w:val="30"/>
        </w:rPr>
        <w:t>%。</w:t>
      </w:r>
      <w:r>
        <w:rPr>
          <w:rFonts w:hint="eastAsia" w:ascii="仿宋" w:hAnsi="仿宋" w:eastAsia="仿宋"/>
          <w:b/>
          <w:sz w:val="30"/>
          <w:szCs w:val="30"/>
        </w:rPr>
        <w:t>财政部门</w:t>
      </w:r>
      <w:r>
        <w:rPr>
          <w:rFonts w:hint="eastAsia" w:ascii="仿宋" w:hAnsi="仿宋" w:eastAsia="仿宋"/>
          <w:sz w:val="30"/>
          <w:szCs w:val="30"/>
        </w:rPr>
        <w:t>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16702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27170万元的61.5%，短收10468万元。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8930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34.8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numPr>
          <w:ilvl w:val="0"/>
          <w:numId w:val="1"/>
        </w:numPr>
        <w:spacing w:line="600" w:lineRule="exact"/>
        <w:ind w:firstLine="443" w:firstLineChars="147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政府性基金预算收入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全区政府性基金预算收入14558万元，较上年同期的55708万元下降73.9%。</w:t>
      </w:r>
    </w:p>
    <w:p>
      <w:pPr>
        <w:spacing w:line="600" w:lineRule="exact"/>
        <w:ind w:firstLine="452" w:firstLineChars="150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（二）公共财政预算支出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，全区公共财政预算支出完成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395281</w:t>
      </w:r>
      <w:r>
        <w:rPr>
          <w:rFonts w:hint="eastAsia" w:ascii="仿宋" w:hAnsi="仿宋" w:eastAsia="仿宋"/>
          <w:sz w:val="30"/>
          <w:szCs w:val="30"/>
        </w:rPr>
        <w:t>万元，同比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7525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1.9%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二、预算执行的主要特点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和存在的主要问题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（一）财政收入</w:t>
      </w:r>
      <w:r>
        <w:rPr>
          <w:rFonts w:hint="eastAsia" w:ascii="仿宋" w:hAnsi="仿宋" w:eastAsia="仿宋"/>
          <w:sz w:val="30"/>
          <w:szCs w:val="30"/>
          <w:lang w:eastAsia="zh-CN"/>
        </w:rPr>
        <w:t>较上年有了一定增长，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sz w:val="30"/>
          <w:szCs w:val="30"/>
          <w:lang w:eastAsia="zh-CN"/>
        </w:rPr>
        <w:t>累计</w:t>
      </w:r>
      <w:r>
        <w:rPr>
          <w:rFonts w:hint="eastAsia" w:ascii="仿宋" w:hAnsi="仿宋" w:eastAsia="仿宋"/>
          <w:sz w:val="30"/>
          <w:szCs w:val="30"/>
        </w:rPr>
        <w:t>完成公共财政预算收入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105534</w:t>
      </w:r>
      <w:r>
        <w:rPr>
          <w:rFonts w:hint="eastAsia" w:ascii="仿宋" w:hAnsi="仿宋" w:eastAsia="仿宋"/>
          <w:sz w:val="30"/>
          <w:szCs w:val="30"/>
        </w:rPr>
        <w:t>万元，同比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2892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2.7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总体支出增幅较前上月有了一定回升，重点支出保障较好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主要原因就是现金调度困难，部分项目支出无法得到保障，主要保障了基本民生和基层运转的正常进行。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2022年全区实现一般预算支出395281万元，同比下降1.9%。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平桥区紧紧围绕做好“六稳”工作、落实“六保”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任务，集中发力，全力以赴保障各级人员工资和刚性支出。随着疫情的逐步好转，各重点项目扎实推进，环保、扶贫、城乡低保、市政项目建设等方面的支出大幅增加。其中民生支出合计完成343523万元，占财政支出比重为86.9%，民生支出保障较好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1、认真研究专项债券发行政策，积极谋划专项债项目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现有的财政状况，地方经济发展还需要债券资金的支持，针对目前我区项目储备和申请额度明显不足的实际情况，区财政将与各项目单位一起，严格规范资金使用，加快项目资金支出进度。各单位要在谋划专项债项目上，要以部门行业规划为引领，准确把握政策要求，全面梳理符合条件的项目，抓紧完善新筹划项目的前期手续，及时开展项目评估，储备更多优质项目，为争取债券额度创造条件。区财政将坚持优中选优的原则，选择业务能力强、综合质量高的第三方中介机构开展项目评估等业务指导服务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PPP项目要按照区委区政府安排，认真筛选论证项目范围、合作效果和基本保障，确保有限财承能力运用效果最大化。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 明确收入任务，强化征管责任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财税两部门结合实际税源状况，将收入任务分解到各乡镇办和具体各征收单位，各乡镇和各征管单位要落实好征管责任，加大征管力度，做到应收尽收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3、大力争资引项，发展社会事业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财政部门将积极与上级财政部门沟通衔接，争取更多的财力和现金支持，各部门也应按区里的要求加争资跑项力度，争取更多的专项资金和债券资金的支持，为平桥区各项社会事业发展提供有力保障。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4、提升管理水平，确保“三保”支出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及各部门增强“过紧日子”、“过苦日子”观念，把钱用在刀刃上；进一步加强预算管理，增强预算刚性；进一步盘活财政存量资金；规范政府性债务，强化对政府性债务限额管理；深化国库集中收付制度改革，提高财政资金运行效率。合理拨付和调度资金，确保完成财政“三保”任务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5、坚持从严治党，搞好队伍建设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为财政部门，加大党风廉政建设工作更有特殊意义，在日常工作中，要以理想信念教育和专业技能教育为着力点，积极推进工作作风、规章制度特别是提质增效机制建设，着力强化财政干部的集体荣誉感和服务意识，结合业务和中心工作加强调查研究，及时听取服务对象和基层、群众的意见建议，更好地发挥财政对平桥发展建设的保障和支持作用，推动我区财政事业发展高质量。经过局党组研究，局已对各站所制定了新的考核办法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202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pacing w:val="-6"/>
          <w:sz w:val="32"/>
          <w:szCs w:val="32"/>
        </w:rPr>
        <w:t>年财政工作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任务繁重，</w:t>
      </w:r>
      <w:r>
        <w:rPr>
          <w:rFonts w:hint="eastAsia" w:ascii="仿宋" w:hAnsi="仿宋" w:eastAsia="仿宋" w:cs="宋体"/>
          <w:spacing w:val="-6"/>
          <w:sz w:val="32"/>
          <w:szCs w:val="32"/>
          <w:lang w:eastAsia="zh-CN"/>
        </w:rPr>
        <w:t>平桥财政部门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要</w:t>
      </w:r>
      <w:r>
        <w:rPr>
          <w:rFonts w:hint="eastAsia" w:ascii="仿宋" w:hAnsi="仿宋" w:eastAsia="仿宋"/>
          <w:spacing w:val="-6"/>
          <w:sz w:val="32"/>
          <w:szCs w:val="32"/>
        </w:rPr>
        <w:t>在区委、区政府的正确领导下，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进一步锐意进取、扎实工作，</w:t>
      </w:r>
      <w:r>
        <w:rPr>
          <w:rFonts w:hint="eastAsia" w:ascii="仿宋" w:hAnsi="仿宋" w:eastAsia="仿宋"/>
          <w:spacing w:val="-6"/>
          <w:sz w:val="32"/>
          <w:szCs w:val="32"/>
        </w:rPr>
        <w:t>努力完成财税各项工作，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为全面建设和谐幸福平桥做出新的更大的贡献</w:t>
      </w:r>
      <w:r>
        <w:rPr>
          <w:rFonts w:hint="eastAsia" w:ascii="仿宋" w:hAnsi="仿宋" w:eastAsia="仿宋" w:cs="宋体"/>
          <w:spacing w:val="-6"/>
          <w:sz w:val="32"/>
          <w:szCs w:val="32"/>
          <w:lang w:val="en-US" w:eastAsia="zh-CN"/>
        </w:rPr>
        <w:t>!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信阳市平桥区财政局国库股                    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2023年01月6日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33306"/>
    <w:multiLevelType w:val="singleLevel"/>
    <w:tmpl w:val="A53333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2A7C"/>
    <w:rsid w:val="00FF2BDF"/>
    <w:rsid w:val="01561A71"/>
    <w:rsid w:val="015E4F4D"/>
    <w:rsid w:val="03531CEF"/>
    <w:rsid w:val="06343F56"/>
    <w:rsid w:val="0C0A40BB"/>
    <w:rsid w:val="0DDB0DD4"/>
    <w:rsid w:val="10BC57F1"/>
    <w:rsid w:val="12996029"/>
    <w:rsid w:val="143751AE"/>
    <w:rsid w:val="175B22B3"/>
    <w:rsid w:val="1A2810EA"/>
    <w:rsid w:val="1A2863F6"/>
    <w:rsid w:val="1A8B7048"/>
    <w:rsid w:val="1A8C1166"/>
    <w:rsid w:val="1AA369DC"/>
    <w:rsid w:val="21812B1A"/>
    <w:rsid w:val="22442164"/>
    <w:rsid w:val="25ED2E95"/>
    <w:rsid w:val="281E54B6"/>
    <w:rsid w:val="28D55149"/>
    <w:rsid w:val="2A1D0E16"/>
    <w:rsid w:val="2AF62EBF"/>
    <w:rsid w:val="2BA83AE1"/>
    <w:rsid w:val="2C955B5C"/>
    <w:rsid w:val="2E0828E5"/>
    <w:rsid w:val="2E521515"/>
    <w:rsid w:val="2F0847E0"/>
    <w:rsid w:val="30CE57A2"/>
    <w:rsid w:val="31976D35"/>
    <w:rsid w:val="31CB563E"/>
    <w:rsid w:val="36DC650D"/>
    <w:rsid w:val="3A62164C"/>
    <w:rsid w:val="3B791569"/>
    <w:rsid w:val="3F627957"/>
    <w:rsid w:val="40344181"/>
    <w:rsid w:val="419A0D19"/>
    <w:rsid w:val="4219586E"/>
    <w:rsid w:val="42DF6BC5"/>
    <w:rsid w:val="46372017"/>
    <w:rsid w:val="468951ED"/>
    <w:rsid w:val="486B6274"/>
    <w:rsid w:val="4EDF65DA"/>
    <w:rsid w:val="52CB0737"/>
    <w:rsid w:val="53942852"/>
    <w:rsid w:val="543765CC"/>
    <w:rsid w:val="54644556"/>
    <w:rsid w:val="552F6749"/>
    <w:rsid w:val="58586A63"/>
    <w:rsid w:val="58B87F4F"/>
    <w:rsid w:val="58CC43D4"/>
    <w:rsid w:val="5BBA27B9"/>
    <w:rsid w:val="5CDD0C96"/>
    <w:rsid w:val="60302D76"/>
    <w:rsid w:val="60E154A9"/>
    <w:rsid w:val="60FB281D"/>
    <w:rsid w:val="625B346B"/>
    <w:rsid w:val="630115D7"/>
    <w:rsid w:val="632A0994"/>
    <w:rsid w:val="64490B86"/>
    <w:rsid w:val="67192A32"/>
    <w:rsid w:val="68145484"/>
    <w:rsid w:val="691561B3"/>
    <w:rsid w:val="6AB95FA1"/>
    <w:rsid w:val="6B115C56"/>
    <w:rsid w:val="6DAA124C"/>
    <w:rsid w:val="70861DB6"/>
    <w:rsid w:val="711A2DEC"/>
    <w:rsid w:val="72371C92"/>
    <w:rsid w:val="75732905"/>
    <w:rsid w:val="77154077"/>
    <w:rsid w:val="782939EB"/>
    <w:rsid w:val="7B65172A"/>
    <w:rsid w:val="7C9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2020-12-08T01:19:00Z</cp:lastPrinted>
  <dcterms:modified xsi:type="dcterms:W3CDTF">2023-09-11T03:18:33Z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