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C92" w:rsidRPr="00E76C92" w:rsidRDefault="00E76C92">
      <w:pPr>
        <w:pStyle w:val="a5"/>
        <w:spacing w:line="360" w:lineRule="auto"/>
        <w:rPr>
          <w:rStyle w:val="a6"/>
          <w:rFonts w:ascii="ˎ̥" w:hAnsi="ˎ̥" w:hint="eastAsia"/>
          <w:color w:val="000000"/>
          <w:sz w:val="40"/>
        </w:rPr>
      </w:pPr>
      <w:r w:rsidRPr="00E76C92">
        <w:rPr>
          <w:rStyle w:val="a6"/>
          <w:rFonts w:ascii="ˎ̥" w:hAnsi="ˎ̥" w:hint="eastAsia"/>
          <w:color w:val="000000"/>
          <w:sz w:val="40"/>
        </w:rPr>
        <w:t>信阳市平桥区水利局</w:t>
      </w:r>
      <w:r w:rsidRPr="00E76C92">
        <w:rPr>
          <w:rStyle w:val="a6"/>
          <w:rFonts w:ascii="ˎ̥" w:hAnsi="ˎ̥" w:hint="eastAsia"/>
          <w:color w:val="000000"/>
          <w:sz w:val="40"/>
        </w:rPr>
        <w:t>2020</w:t>
      </w:r>
      <w:r w:rsidRPr="00E76C92">
        <w:rPr>
          <w:rStyle w:val="a6"/>
          <w:rFonts w:ascii="ˎ̥" w:hAnsi="ˎ̥" w:hint="eastAsia"/>
          <w:color w:val="000000"/>
          <w:sz w:val="40"/>
        </w:rPr>
        <w:t>年部门预算情况说明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第一部分　</w:t>
      </w:r>
      <w:r>
        <w:rPr>
          <w:rStyle w:val="a6"/>
          <w:rFonts w:ascii="ˎ̥" w:hAnsi="ˎ̥" w:hint="eastAsia"/>
          <w:color w:val="000000"/>
        </w:rPr>
        <w:t>信阳市平桥区水利局</w:t>
      </w:r>
      <w:r>
        <w:rPr>
          <w:rStyle w:val="a6"/>
          <w:rFonts w:ascii="ˎ̥" w:hAnsi="ˎ̥"/>
          <w:color w:val="000000"/>
        </w:rPr>
        <w:t>概况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一、部门预算单位构成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二、主要职责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第二部分　</w:t>
      </w:r>
      <w:r>
        <w:rPr>
          <w:rStyle w:val="a6"/>
          <w:rFonts w:ascii="ˎ̥" w:hAnsi="ˎ̥" w:hint="eastAsia"/>
          <w:color w:val="000000"/>
        </w:rPr>
        <w:t>信阳市平桥区水利局</w:t>
      </w:r>
      <w:r>
        <w:rPr>
          <w:rStyle w:val="a6"/>
          <w:rFonts w:ascii="ˎ̥" w:hAnsi="ˎ̥"/>
          <w:color w:val="000000"/>
        </w:rPr>
        <w:t>201</w:t>
      </w:r>
      <w:r>
        <w:rPr>
          <w:rStyle w:val="a6"/>
          <w:rFonts w:ascii="ˎ̥" w:hAnsi="ˎ̥" w:hint="eastAsia"/>
          <w:color w:val="000000"/>
        </w:rPr>
        <w:t>9</w:t>
      </w:r>
      <w:r>
        <w:rPr>
          <w:rStyle w:val="a6"/>
          <w:rFonts w:ascii="ˎ̥" w:hAnsi="ˎ̥"/>
          <w:color w:val="000000"/>
        </w:rPr>
        <w:t>年度部门预算情况说明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第三部分　名词解释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附件：</w:t>
      </w:r>
      <w:r>
        <w:rPr>
          <w:rFonts w:ascii="ˎ̥" w:hAnsi="ˎ̥" w:hint="eastAsia"/>
          <w:color w:val="000000"/>
        </w:rPr>
        <w:t>信阳市平桥区水利局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年度部门预算表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一、部门收支总体情况表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二、部门收入总体情况表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三、部门支出总体情况表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四、财政拨款收支总体情况表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五、一般公共预算支出情况表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六、支出经济分类汇总表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七、一般公共预算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经费支出情况表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八、政府性基金预算支出情况表</w:t>
      </w:r>
    </w:p>
    <w:p w:rsidR="00C60BBE" w:rsidRDefault="003F6F7A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第一部分</w:t>
      </w:r>
    </w:p>
    <w:p w:rsidR="00C60BBE" w:rsidRDefault="003F6F7A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</w:t>
      </w:r>
      <w:r>
        <w:rPr>
          <w:rStyle w:val="a6"/>
          <w:rFonts w:ascii="ˎ̥" w:hAnsi="ˎ̥" w:hint="eastAsia"/>
          <w:color w:val="000000"/>
        </w:rPr>
        <w:t>信阳市平桥区水利局</w:t>
      </w:r>
      <w:r>
        <w:rPr>
          <w:rStyle w:val="a6"/>
          <w:rFonts w:ascii="ˎ̥" w:hAnsi="ˎ̥"/>
          <w:color w:val="000000"/>
        </w:rPr>
        <w:t>概况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一、部门预算单位构成</w:t>
      </w:r>
    </w:p>
    <w:p w:rsidR="00C60BBE" w:rsidRDefault="003F6F7A" w:rsidP="00E76C92">
      <w:pPr>
        <w:pStyle w:val="a5"/>
        <w:spacing w:line="360" w:lineRule="auto"/>
        <w:ind w:firstLine="555"/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lastRenderedPageBreak/>
        <w:t>纳入信阳市平桥区水利局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20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20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年度部门预算编制范围的单位共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9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个，包括水利局机关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1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个行政单位及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8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个事业单位（信阳市平桥区水政监察大队、信阳市平桥区尖山水库管理所、信阳市平桥区红石</w:t>
      </w:r>
      <w:proofErr w:type="gramStart"/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咀</w:t>
      </w:r>
      <w:proofErr w:type="gramEnd"/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水库管理所、信阳市</w:t>
      </w:r>
      <w:proofErr w:type="gramStart"/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平桥区王堂水库</w:t>
      </w:r>
      <w:proofErr w:type="gramEnd"/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管理所、信阳市平桥区</w:t>
      </w:r>
      <w:proofErr w:type="gramStart"/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老鸦河</w:t>
      </w:r>
      <w:proofErr w:type="gramEnd"/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水库管理所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、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信阳市平桥区洪山水库管理所、信阳市平桥区南湾灌区管理所、信阳市平桥区水土保持监测站）。水利局机关下设：办公室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(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人事股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)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、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水利工程建设股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、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农村水利与水土保持股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、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水资源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管理股、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运行管理与计划股</w:t>
      </w: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。</w:t>
      </w:r>
    </w:p>
    <w:p w:rsidR="00E76C92" w:rsidRDefault="00E76C92" w:rsidP="00E76C92">
      <w:pPr>
        <w:pStyle w:val="a5"/>
        <w:spacing w:line="360" w:lineRule="auto"/>
        <w:ind w:firstLine="555"/>
        <w:rPr>
          <w:rFonts w:ascii="仿宋" w:eastAsia="仿宋" w:hAnsi="仿宋" w:cs="仿宋"/>
          <w:b/>
          <w:color w:val="000000"/>
          <w:spacing w:val="-6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spacing w:val="-6"/>
          <w:sz w:val="32"/>
          <w:szCs w:val="32"/>
        </w:rPr>
        <w:t>我局2020年为汇总预算。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二、主要职责</w:t>
      </w:r>
    </w:p>
    <w:p w:rsidR="00C60BBE" w:rsidRDefault="003F6F7A">
      <w:pPr>
        <w:pStyle w:val="a5"/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/>
          <w:color w:val="000000"/>
        </w:rPr>
        <w:t>主要职责是：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ˎ̥" w:hAnsi="ˎ̥" w:hint="eastAsia"/>
          <w:color w:val="000000"/>
        </w:rPr>
        <w:t>负责保障水资源的合理开发利用。拟订全区水利战略规划和政策，起草有关规章草案并监督实施，组织编制水利综合规划、专业规划和专项规划。按规定制定水利工程建设有关制度并组织实施；负责提出全区水利投资方向和项目安排意见，拟订全区水利投资规模及项目投资计划并监督实施。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负责生活、生产经营和生态环境用水的统筹兼顾和保障。实施全区水资源统一监督管理，拟订全区中长期水供求规划、水量分配方案并监督实施；组织开展水资源调查评价工作，承担水能资源的调查工作；负责河流湖库和重要水工程的水资源调度，组织实施取水许可、水资</w:t>
      </w:r>
      <w:r>
        <w:rPr>
          <w:rFonts w:ascii="ˎ̥" w:hAnsi="ˎ̥" w:hint="eastAsia"/>
          <w:color w:val="000000"/>
        </w:rPr>
        <w:t>源有偿使用制度和水资源论证、防洪论证制度以及水资源费征收使用制度；对城市规划区地下水和区管取水户审批、发放取水许可证、征收水资源费；发布全区水资源公报；指导水利行业和乡镇供水工作。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负责水资源保护工作。组织编制全区水资源保护规划，拟订水功能区划并监督实施；核定水域纳污能力，提出限制排污总量的建议；指导饮用水水源保</w:t>
      </w:r>
      <w:r>
        <w:rPr>
          <w:rFonts w:ascii="ˎ̥" w:hAnsi="ˎ̥" w:hint="eastAsia"/>
          <w:color w:val="000000"/>
        </w:rPr>
        <w:lastRenderedPageBreak/>
        <w:t>护工作；指导地下水开发利用和城市规划区地下水资源管理保护工作。负责最严格水资源管理制度贯彻落实工作，开展水生态系统保护与修复，指导和推进水生态文明建设，组织开展重要河流湖泊健康评估。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负责防治水旱灾</w:t>
      </w:r>
      <w:r>
        <w:rPr>
          <w:rFonts w:ascii="ˎ̥" w:hAnsi="ˎ̥" w:hint="eastAsia"/>
          <w:color w:val="000000"/>
        </w:rPr>
        <w:t>害，承担平桥区防汛抗旱指挥部的具体工作。组织、协调、监督、指挥全区防汛抗旱工作；对河流湖库和重要水工</w:t>
      </w:r>
      <w:proofErr w:type="gramStart"/>
      <w:r>
        <w:rPr>
          <w:rFonts w:ascii="ˎ̥" w:hAnsi="ˎ̥" w:hint="eastAsia"/>
          <w:color w:val="000000"/>
        </w:rPr>
        <w:t>程实施</w:t>
      </w:r>
      <w:proofErr w:type="gramEnd"/>
      <w:r>
        <w:rPr>
          <w:rFonts w:ascii="ˎ̥" w:hAnsi="ˎ̥" w:hint="eastAsia"/>
          <w:color w:val="000000"/>
        </w:rPr>
        <w:t>防汛抗旱调度和应急水量调度；编制全区防汛抗旱应急预案、抗旱规划并组织实施。指导水利突发公共事件的应急管理工作。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负责节约用水工作。拟订全区节约用水政策，编制节约用水规划，指导全区计划用水工作，对平桥区城市规划区内实施计划用水管理，组织、管理、监督节约用水工作，指导和推动节水型社会建设工作。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编制、审查、上报全区各类水利基本建设项目建议书、可行性研究报告和初步设计。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负责全区水利设施、水域及其岸线的管理和保护，指导河流湖库及滩地的治理和开发；指导水利工程建设与运行管理，负责水利工程质量监督检查工作，组织实施具有控制性的重要水利工程建设与运行管理。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负责防治水土流失。拟订全区水土保持规划并监督实施；组织实施水土流失的综合防治、监测预报并定期公告；负责水土保持生态环境建设，在权限内审批生产建设单位水土保持方案并监督实施；指导城市水土保持工作；负责有关重大建设项目水土保持方案的审批、监督实施及水土保持设施的验收工作，负责水土保持补偿费征收管理工作；指导区重点水土保持建设项目的</w:t>
      </w:r>
      <w:r>
        <w:rPr>
          <w:rFonts w:ascii="ˎ̥" w:hAnsi="ˎ̥" w:hint="eastAsia"/>
          <w:color w:val="000000"/>
        </w:rPr>
        <w:t>实施。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 xml:space="preserve">指导农村水利工作。组织协调农田水利基本建设；指导农村饮水安全、大中型灌区、农田水利、节水灌溉等工程建设与管理工作；指导农村水利社会化服务体系建设；负责农村水能资源开发工作。　　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负责重大涉水违法事件的查处，指导全区水政监察和水行政执法，协调、仲裁并处理水事纠纷；依法负责水利行业安全生产工作，组织、指导水库、水电站大坝的安全监管；指导水利建设市场的监督管理，组织开展水利工程建设监督和稽查工作。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lastRenderedPageBreak/>
        <w:t>负责全区水利科技工作。指导全区水利队伍建设；组织实施水利行业质量监督工作；拟订全区水利行业的技术标准、规程规</w:t>
      </w:r>
      <w:r>
        <w:rPr>
          <w:rFonts w:ascii="ˎ̥" w:hAnsi="ˎ̥" w:hint="eastAsia"/>
          <w:color w:val="000000"/>
        </w:rPr>
        <w:t>范并监督实施；承担水利统计工作。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 xml:space="preserve">负责全区水产工作、水产品质量检验监测及渔政执法管理工作。　</w:t>
      </w:r>
      <w:r>
        <w:rPr>
          <w:rFonts w:ascii="ˎ̥" w:hAnsi="ˎ̥"/>
          <w:color w:val="000000"/>
        </w:rPr>
        <w:t xml:space="preserve">　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负责全区河道砂石开采的规划和管理工作。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 xml:space="preserve">负责局机关及直属单位的电子政务工作。　　</w:t>
      </w:r>
    </w:p>
    <w:p w:rsidR="00C60BBE" w:rsidRDefault="003F6F7A">
      <w:pPr>
        <w:pStyle w:val="a5"/>
        <w:numPr>
          <w:ilvl w:val="0"/>
          <w:numId w:val="1"/>
        </w:numPr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承办区政府及上级部门交办的其他事项。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</w:p>
    <w:p w:rsidR="00C60BBE" w:rsidRDefault="003F6F7A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第二部分</w:t>
      </w:r>
    </w:p>
    <w:p w:rsidR="00C60BBE" w:rsidRDefault="003F6F7A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</w:t>
      </w:r>
      <w:r>
        <w:rPr>
          <w:rStyle w:val="a6"/>
          <w:rFonts w:ascii="ˎ̥" w:hAnsi="ˎ̥" w:hint="eastAsia"/>
          <w:color w:val="000000"/>
        </w:rPr>
        <w:t>信阳市平桥区水利局</w:t>
      </w:r>
      <w:r>
        <w:rPr>
          <w:rStyle w:val="a6"/>
          <w:rFonts w:ascii="ˎ̥" w:hAnsi="ˎ̥"/>
          <w:color w:val="000000"/>
        </w:rPr>
        <w:t>20</w:t>
      </w:r>
      <w:r>
        <w:rPr>
          <w:rStyle w:val="a6"/>
          <w:rFonts w:ascii="ˎ̥" w:hAnsi="ˎ̥" w:hint="eastAsia"/>
          <w:color w:val="000000"/>
        </w:rPr>
        <w:t>20</w:t>
      </w:r>
      <w:r>
        <w:rPr>
          <w:rStyle w:val="a6"/>
          <w:rFonts w:ascii="ˎ̥" w:hAnsi="ˎ̥"/>
          <w:color w:val="000000"/>
        </w:rPr>
        <w:t>年度部门预算情况说明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一、收入支出预算总体情况说明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  <w:spacing w:val="-6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  <w:spacing w:val="-6"/>
        </w:rPr>
        <w:t>平桥区水利局</w:t>
      </w:r>
      <w:r>
        <w:rPr>
          <w:rFonts w:ascii="ˎ̥" w:hAnsi="ˎ̥"/>
          <w:color w:val="000000"/>
          <w:spacing w:val="-6"/>
        </w:rPr>
        <w:t>20</w:t>
      </w:r>
      <w:r w:rsidR="00E76C92">
        <w:rPr>
          <w:rFonts w:ascii="ˎ̥" w:hAnsi="ˎ̥" w:hint="eastAsia"/>
          <w:color w:val="000000"/>
          <w:spacing w:val="-6"/>
        </w:rPr>
        <w:t>20</w:t>
      </w:r>
      <w:r>
        <w:rPr>
          <w:rFonts w:ascii="ˎ̥" w:hAnsi="ˎ̥"/>
          <w:color w:val="000000"/>
          <w:spacing w:val="-6"/>
        </w:rPr>
        <w:t>年收入总计</w:t>
      </w:r>
      <w:r w:rsidR="00E76C92">
        <w:rPr>
          <w:rFonts w:ascii="ˎ̥" w:hAnsi="ˎ̥" w:hint="eastAsia"/>
          <w:color w:val="000000"/>
          <w:spacing w:val="-6"/>
        </w:rPr>
        <w:t>2300.43</w:t>
      </w:r>
      <w:r>
        <w:rPr>
          <w:rFonts w:ascii="ˎ̥" w:hAnsi="ˎ̥"/>
          <w:color w:val="000000"/>
          <w:spacing w:val="-6"/>
        </w:rPr>
        <w:t>万元，支出总计</w:t>
      </w:r>
      <w:r w:rsidR="00E76C92">
        <w:rPr>
          <w:rFonts w:ascii="ˎ̥" w:hAnsi="ˎ̥" w:hint="eastAsia"/>
          <w:color w:val="000000"/>
          <w:spacing w:val="-6"/>
        </w:rPr>
        <w:t>2300.43</w:t>
      </w:r>
      <w:r>
        <w:rPr>
          <w:rFonts w:ascii="ˎ̥" w:hAnsi="ˎ̥"/>
          <w:color w:val="000000"/>
          <w:spacing w:val="-6"/>
        </w:rPr>
        <w:t>万元，与</w:t>
      </w:r>
      <w:r>
        <w:rPr>
          <w:rFonts w:ascii="ˎ̥" w:hAnsi="ˎ̥"/>
          <w:color w:val="000000"/>
          <w:spacing w:val="-6"/>
        </w:rPr>
        <w:t>201</w:t>
      </w:r>
      <w:r>
        <w:rPr>
          <w:rFonts w:ascii="ˎ̥" w:hAnsi="ˎ̥" w:hint="eastAsia"/>
          <w:color w:val="000000"/>
          <w:spacing w:val="-6"/>
        </w:rPr>
        <w:t>9</w:t>
      </w:r>
      <w:r>
        <w:rPr>
          <w:rFonts w:ascii="ˎ̥" w:hAnsi="ˎ̥"/>
          <w:color w:val="000000"/>
          <w:spacing w:val="-6"/>
        </w:rPr>
        <w:t>年相比，收、支总计各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110</w:t>
      </w:r>
      <w:r>
        <w:rPr>
          <w:rFonts w:ascii="ˎ̥" w:hAnsi="ˎ̥"/>
          <w:color w:val="000000"/>
          <w:spacing w:val="-6"/>
        </w:rPr>
        <w:t>万元，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4.48</w:t>
      </w:r>
      <w:r>
        <w:rPr>
          <w:rFonts w:ascii="ˎ̥" w:hAnsi="ˎ̥"/>
          <w:color w:val="000000"/>
          <w:spacing w:val="-6"/>
        </w:rPr>
        <w:t>%</w:t>
      </w:r>
      <w:r>
        <w:rPr>
          <w:rFonts w:ascii="ˎ̥" w:hAnsi="ˎ̥"/>
          <w:color w:val="000000"/>
          <w:spacing w:val="-6"/>
        </w:rPr>
        <w:t>。主要原因：</w:t>
      </w:r>
      <w:r>
        <w:rPr>
          <w:rFonts w:ascii="ˎ̥" w:hAnsi="ˎ̥" w:hint="eastAsia"/>
          <w:color w:val="000000"/>
          <w:spacing w:val="-6"/>
        </w:rPr>
        <w:t>人员退休</w:t>
      </w:r>
      <w:r>
        <w:rPr>
          <w:rFonts w:ascii="ˎ̥" w:hAnsi="ˎ̥" w:hint="eastAsia"/>
          <w:color w:val="000000"/>
          <w:spacing w:val="-6"/>
        </w:rPr>
        <w:t>等。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二、收入预算总体情况说明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年收入合计</w:t>
      </w:r>
      <w:r w:rsidR="00E76C92">
        <w:rPr>
          <w:rFonts w:ascii="ˎ̥" w:hAnsi="ˎ̥" w:hint="eastAsia"/>
          <w:color w:val="000000"/>
          <w:spacing w:val="-6"/>
        </w:rPr>
        <w:t>2300.43</w:t>
      </w:r>
      <w:r>
        <w:rPr>
          <w:rFonts w:ascii="ˎ̥" w:hAnsi="ˎ̥"/>
          <w:color w:val="000000"/>
        </w:rPr>
        <w:t>万元，全部为一般公共预算</w:t>
      </w:r>
      <w:r>
        <w:rPr>
          <w:rFonts w:ascii="ˎ̥" w:hAnsi="ˎ̥" w:hint="eastAsia"/>
          <w:color w:val="000000"/>
        </w:rPr>
        <w:t>，</w:t>
      </w:r>
      <w:r>
        <w:rPr>
          <w:rFonts w:ascii="ˎ̥" w:hAnsi="ˎ̥" w:hint="eastAsia"/>
          <w:color w:val="000000"/>
        </w:rPr>
        <w:t>包含专项经费</w:t>
      </w:r>
      <w:r>
        <w:rPr>
          <w:rFonts w:ascii="ˎ̥" w:hAnsi="ˎ̥" w:hint="eastAsia"/>
          <w:color w:val="000000"/>
        </w:rPr>
        <w:t>169</w:t>
      </w:r>
      <w:r>
        <w:rPr>
          <w:rFonts w:ascii="ˎ̥" w:hAnsi="ˎ̥" w:hint="eastAsia"/>
          <w:color w:val="000000"/>
        </w:rPr>
        <w:t>万元。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三、支出预算总体情况说明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年支出合计</w:t>
      </w:r>
      <w:r w:rsidR="00E76C92">
        <w:rPr>
          <w:rFonts w:ascii="ˎ̥" w:hAnsi="ˎ̥" w:hint="eastAsia"/>
          <w:color w:val="000000"/>
          <w:spacing w:val="-6"/>
        </w:rPr>
        <w:t>2300.43</w:t>
      </w:r>
      <w:r>
        <w:rPr>
          <w:rFonts w:ascii="ˎ̥" w:hAnsi="ˎ̥"/>
          <w:color w:val="000000"/>
        </w:rPr>
        <w:t>万元，其中：基本支出</w:t>
      </w:r>
      <w:r>
        <w:rPr>
          <w:rFonts w:ascii="ˎ̥" w:hAnsi="ˎ̥" w:hint="eastAsia"/>
          <w:color w:val="000000"/>
          <w:spacing w:val="-6"/>
        </w:rPr>
        <w:t>2</w:t>
      </w:r>
      <w:r>
        <w:rPr>
          <w:rFonts w:ascii="ˎ̥" w:hAnsi="ˎ̥" w:hint="eastAsia"/>
          <w:color w:val="000000"/>
          <w:spacing w:val="-6"/>
        </w:rPr>
        <w:t>1</w:t>
      </w:r>
      <w:r w:rsidR="00E76C92">
        <w:rPr>
          <w:rFonts w:ascii="ˎ̥" w:hAnsi="ˎ̥" w:hint="eastAsia"/>
          <w:color w:val="000000"/>
          <w:spacing w:val="-6"/>
        </w:rPr>
        <w:t>31.43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92.79</w:t>
      </w:r>
      <w:r>
        <w:rPr>
          <w:rFonts w:ascii="ˎ̥" w:hAnsi="ˎ̥"/>
          <w:color w:val="000000"/>
        </w:rPr>
        <w:t>%</w:t>
      </w:r>
      <w:r>
        <w:rPr>
          <w:rFonts w:ascii="ˎ̥" w:hAnsi="ˎ̥" w:hint="eastAsia"/>
          <w:color w:val="000000"/>
        </w:rPr>
        <w:t>，</w:t>
      </w:r>
      <w:r>
        <w:rPr>
          <w:rFonts w:ascii="ˎ̥" w:hAnsi="ˎ̥" w:hint="eastAsia"/>
          <w:color w:val="000000"/>
        </w:rPr>
        <w:t>专项</w:t>
      </w:r>
      <w:r>
        <w:rPr>
          <w:rFonts w:ascii="ˎ̥" w:hAnsi="ˎ̥"/>
          <w:color w:val="000000"/>
        </w:rPr>
        <w:t>支出</w:t>
      </w:r>
      <w:r>
        <w:rPr>
          <w:rFonts w:ascii="ˎ̥" w:hAnsi="ˎ̥" w:hint="eastAsia"/>
          <w:color w:val="000000"/>
        </w:rPr>
        <w:t>1</w:t>
      </w:r>
      <w:r>
        <w:rPr>
          <w:rFonts w:ascii="ˎ̥" w:hAnsi="ˎ̥" w:hint="eastAsia"/>
          <w:color w:val="000000"/>
        </w:rPr>
        <w:t>69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7</w:t>
      </w:r>
      <w:r>
        <w:rPr>
          <w:rFonts w:ascii="ˎ̥" w:hAnsi="ˎ̥" w:hint="eastAsia"/>
          <w:color w:val="000000"/>
        </w:rPr>
        <w:t>.21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四、财政拨款收入支出预算总体情况说明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  <w:spacing w:val="-6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年一般公共预算收支预算</w:t>
      </w:r>
      <w:r w:rsidR="00E76C92">
        <w:rPr>
          <w:rFonts w:ascii="ˎ̥" w:hAnsi="ˎ̥" w:hint="eastAsia"/>
          <w:color w:val="000000"/>
          <w:spacing w:val="-6"/>
        </w:rPr>
        <w:t>2300.43</w:t>
      </w:r>
      <w:r>
        <w:rPr>
          <w:rFonts w:ascii="ˎ̥" w:hAnsi="ˎ̥"/>
          <w:color w:val="000000"/>
        </w:rPr>
        <w:t>万元。</w:t>
      </w:r>
      <w:r>
        <w:rPr>
          <w:rFonts w:ascii="ˎ̥" w:hAnsi="ˎ̥"/>
          <w:color w:val="000000"/>
          <w:spacing w:val="-6"/>
        </w:rPr>
        <w:t>与</w:t>
      </w:r>
      <w:r>
        <w:rPr>
          <w:rFonts w:ascii="ˎ̥" w:hAnsi="ˎ̥"/>
          <w:color w:val="000000"/>
          <w:spacing w:val="-6"/>
        </w:rPr>
        <w:t>201</w:t>
      </w:r>
      <w:r>
        <w:rPr>
          <w:rFonts w:ascii="ˎ̥" w:hAnsi="ˎ̥" w:hint="eastAsia"/>
          <w:color w:val="000000"/>
          <w:spacing w:val="-6"/>
        </w:rPr>
        <w:t>9</w:t>
      </w:r>
      <w:r>
        <w:rPr>
          <w:rFonts w:ascii="ˎ̥" w:hAnsi="ˎ̥"/>
          <w:color w:val="000000"/>
          <w:spacing w:val="-6"/>
        </w:rPr>
        <w:t>年相比，收、支总计各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110</w:t>
      </w:r>
      <w:r>
        <w:rPr>
          <w:rFonts w:ascii="ˎ̥" w:hAnsi="ˎ̥"/>
          <w:color w:val="000000"/>
          <w:spacing w:val="-6"/>
        </w:rPr>
        <w:t>万元，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4.48</w:t>
      </w:r>
      <w:r>
        <w:rPr>
          <w:rFonts w:ascii="ˎ̥" w:hAnsi="ˎ̥"/>
          <w:color w:val="000000"/>
          <w:spacing w:val="-6"/>
        </w:rPr>
        <w:t>%</w:t>
      </w:r>
      <w:r>
        <w:rPr>
          <w:rFonts w:ascii="ˎ̥" w:hAnsi="ˎ̥"/>
          <w:color w:val="000000"/>
          <w:spacing w:val="-6"/>
        </w:rPr>
        <w:t>。主要原因：</w:t>
      </w:r>
      <w:r>
        <w:rPr>
          <w:rFonts w:ascii="ˎ̥" w:hAnsi="ˎ̥" w:hint="eastAsia"/>
          <w:color w:val="000000"/>
          <w:spacing w:val="-6"/>
        </w:rPr>
        <w:t>人员退休</w:t>
      </w:r>
      <w:r>
        <w:rPr>
          <w:rFonts w:ascii="ˎ̥" w:hAnsi="ˎ̥" w:hint="eastAsia"/>
          <w:color w:val="000000"/>
          <w:spacing w:val="-6"/>
        </w:rPr>
        <w:t>等。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　</w:t>
      </w:r>
      <w:r>
        <w:rPr>
          <w:rStyle w:val="a6"/>
          <w:rFonts w:ascii="ˎ̥" w:hAnsi="ˎ̥"/>
          <w:color w:val="000000"/>
        </w:rPr>
        <w:t>五、一般公共预算支出预算情况说明</w:t>
      </w:r>
    </w:p>
    <w:p w:rsidR="00C60BBE" w:rsidRDefault="003F6F7A">
      <w:pPr>
        <w:pStyle w:val="a5"/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 w:hint="eastAsia"/>
          <w:color w:val="000000"/>
        </w:rPr>
        <w:t>年一般公共预算支出年初预算为</w:t>
      </w:r>
      <w:r w:rsidR="00E76C92">
        <w:rPr>
          <w:rFonts w:ascii="ˎ̥" w:hAnsi="ˎ̥" w:hint="eastAsia"/>
          <w:color w:val="000000"/>
          <w:spacing w:val="-6"/>
        </w:rPr>
        <w:t>2300.43</w:t>
      </w:r>
      <w:r>
        <w:rPr>
          <w:rFonts w:ascii="ˎ̥" w:hAnsi="ˎ̥" w:hint="eastAsia"/>
          <w:color w:val="000000"/>
        </w:rPr>
        <w:t>万元。主要用于以下方面：一般公共服务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1</w:t>
      </w:r>
      <w:r>
        <w:rPr>
          <w:rFonts w:ascii="ˎ̥" w:hAnsi="ˎ̥" w:hint="eastAsia"/>
          <w:color w:val="000000"/>
        </w:rPr>
        <w:t>807.44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7</w:t>
      </w:r>
      <w:r>
        <w:rPr>
          <w:rFonts w:ascii="ˎ̥" w:hAnsi="ˎ̥" w:hint="eastAsia"/>
          <w:color w:val="000000"/>
        </w:rPr>
        <w:t>7.09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；教育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2</w:t>
      </w:r>
      <w:r>
        <w:rPr>
          <w:rFonts w:ascii="ˎ̥" w:hAnsi="ˎ̥" w:hint="eastAsia"/>
          <w:color w:val="000000"/>
        </w:rPr>
        <w:t>0.56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0.88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；社会保障和就业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238.54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10.17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；医疗卫生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11</w:t>
      </w:r>
      <w:r>
        <w:rPr>
          <w:rFonts w:ascii="ˎ̥" w:hAnsi="ˎ̥" w:hint="eastAsia"/>
          <w:color w:val="000000"/>
        </w:rPr>
        <w:t>3.69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4.85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；住房保障</w:t>
      </w:r>
      <w:r>
        <w:rPr>
          <w:rFonts w:ascii="ˎ̥" w:hAnsi="ˎ̥" w:hint="eastAsia"/>
          <w:color w:val="000000"/>
        </w:rPr>
        <w:t>(</w:t>
      </w:r>
      <w:r>
        <w:rPr>
          <w:rFonts w:ascii="ˎ̥" w:hAnsi="ˎ̥" w:hint="eastAsia"/>
          <w:color w:val="000000"/>
        </w:rPr>
        <w:t>类</w:t>
      </w:r>
      <w:r>
        <w:rPr>
          <w:rFonts w:ascii="ˎ̥" w:hAnsi="ˎ̥" w:hint="eastAsia"/>
          <w:color w:val="000000"/>
        </w:rPr>
        <w:t>)</w:t>
      </w:r>
      <w:r>
        <w:rPr>
          <w:rFonts w:ascii="ˎ̥" w:hAnsi="ˎ̥" w:hint="eastAsia"/>
          <w:color w:val="000000"/>
        </w:rPr>
        <w:t>支出</w:t>
      </w:r>
      <w:r>
        <w:rPr>
          <w:rFonts w:ascii="ˎ̥" w:hAnsi="ˎ̥" w:hint="eastAsia"/>
          <w:color w:val="000000"/>
        </w:rPr>
        <w:t>16</w:t>
      </w:r>
      <w:r>
        <w:rPr>
          <w:rFonts w:ascii="ˎ̥" w:hAnsi="ˎ̥" w:hint="eastAsia"/>
          <w:color w:val="000000"/>
        </w:rPr>
        <w:t>4.36</w:t>
      </w:r>
      <w:r>
        <w:rPr>
          <w:rFonts w:ascii="ˎ̥" w:hAnsi="ˎ̥" w:hint="eastAsia"/>
          <w:color w:val="000000"/>
        </w:rPr>
        <w:t>万元，占</w:t>
      </w:r>
      <w:r>
        <w:rPr>
          <w:rFonts w:ascii="ˎ̥" w:hAnsi="ˎ̥" w:hint="eastAsia"/>
          <w:color w:val="000000"/>
        </w:rPr>
        <w:t>7.01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。</w:t>
      </w:r>
    </w:p>
    <w:p w:rsidR="00C60BBE" w:rsidRDefault="003F6F7A">
      <w:pPr>
        <w:pStyle w:val="a5"/>
        <w:spacing w:line="360" w:lineRule="auto"/>
        <w:ind w:firstLine="480"/>
        <w:rPr>
          <w:rFonts w:ascii="ˎ̥" w:hAnsi="ˎ̥"/>
          <w:color w:val="000000"/>
        </w:rPr>
      </w:pPr>
      <w:bookmarkStart w:id="0" w:name="_GoBack"/>
      <w:bookmarkEnd w:id="0"/>
      <w:r>
        <w:rPr>
          <w:rStyle w:val="a6"/>
          <w:rFonts w:ascii="ˎ̥" w:hAnsi="ˎ̥"/>
          <w:color w:val="000000"/>
        </w:rPr>
        <w:t>六、支出预算经济分类情况说明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按照《财政部关于印发</w:t>
      </w:r>
      <w:r>
        <w:rPr>
          <w:rFonts w:ascii="ˎ̥" w:hAnsi="ˎ̥"/>
          <w:color w:val="000000"/>
        </w:rPr>
        <w:t>&lt;</w:t>
      </w:r>
      <w:r>
        <w:rPr>
          <w:rFonts w:ascii="ˎ̥" w:hAnsi="ˎ̥"/>
          <w:color w:val="000000"/>
        </w:rPr>
        <w:t>支出经济分类科目改革方案</w:t>
      </w:r>
      <w:r>
        <w:rPr>
          <w:rFonts w:ascii="ˎ̥" w:hAnsi="ˎ̥"/>
          <w:color w:val="000000"/>
        </w:rPr>
        <w:t>&gt;</w:t>
      </w:r>
      <w:r>
        <w:rPr>
          <w:rFonts w:ascii="ˎ̥" w:hAnsi="ˎ̥"/>
          <w:color w:val="000000"/>
        </w:rPr>
        <w:t>的通知》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财预〔</w:t>
      </w:r>
      <w:r>
        <w:rPr>
          <w:rFonts w:ascii="ˎ̥" w:hAnsi="ˎ̥"/>
          <w:color w:val="000000"/>
        </w:rPr>
        <w:t>2017</w:t>
      </w:r>
      <w:r>
        <w:rPr>
          <w:rFonts w:ascii="ˎ̥" w:hAnsi="ˎ̥"/>
          <w:color w:val="000000"/>
        </w:rPr>
        <w:t>〕</w:t>
      </w:r>
      <w:r>
        <w:rPr>
          <w:rFonts w:ascii="ˎ̥" w:hAnsi="ˎ̥"/>
          <w:color w:val="000000"/>
        </w:rPr>
        <w:t>98</w:t>
      </w:r>
      <w:r>
        <w:rPr>
          <w:rFonts w:ascii="ˎ̥" w:hAnsi="ˎ̥"/>
          <w:color w:val="000000"/>
        </w:rPr>
        <w:t>号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要求，从</w:t>
      </w:r>
      <w:r>
        <w:rPr>
          <w:rFonts w:ascii="ˎ̥" w:hAnsi="ˎ̥"/>
          <w:color w:val="000000"/>
        </w:rPr>
        <w:t>2018</w:t>
      </w:r>
      <w:r>
        <w:rPr>
          <w:rFonts w:ascii="ˎ̥" w:hAnsi="ˎ̥"/>
          <w:color w:val="000000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《支出经济分类汇总表》由仅反映一般公共预算基本支出经济分类科目预算，调整为按两套经济分类科目分别反映不同资金来源的全部预算支出。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七、政府性基金预算支出情况说明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年没有使用政府性基金预算拨款安排的支出。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八、</w:t>
      </w:r>
      <w:r>
        <w:rPr>
          <w:rStyle w:val="a6"/>
          <w:rFonts w:ascii="ˎ̥" w:hAnsi="ˎ̥"/>
          <w:color w:val="000000"/>
        </w:rPr>
        <w:t>“</w:t>
      </w:r>
      <w:r>
        <w:rPr>
          <w:rStyle w:val="a6"/>
          <w:rFonts w:ascii="ˎ̥" w:hAnsi="ˎ̥"/>
          <w:color w:val="000000"/>
        </w:rPr>
        <w:t>三公</w:t>
      </w:r>
      <w:r>
        <w:rPr>
          <w:rStyle w:val="a6"/>
          <w:rFonts w:ascii="ˎ̥" w:hAnsi="ˎ̥"/>
          <w:color w:val="000000"/>
        </w:rPr>
        <w:t>”</w:t>
      </w:r>
      <w:r>
        <w:rPr>
          <w:rStyle w:val="a6"/>
          <w:rFonts w:ascii="ˎ̥" w:hAnsi="ˎ̥"/>
          <w:color w:val="000000"/>
        </w:rPr>
        <w:t>经费支出预算情况说明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经费预算为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年持平。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具体支出情况如下：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年持平。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公务用车购置及运行费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万元，其中，公务用车购置费</w:t>
      </w:r>
      <w:r>
        <w:rPr>
          <w:rFonts w:ascii="ˎ̥" w:hAnsi="ˎ̥"/>
          <w:color w:val="000000"/>
        </w:rPr>
        <w:t>0</w:t>
      </w:r>
      <w:r>
        <w:rPr>
          <w:rFonts w:ascii="ˎ̥" w:hAnsi="ˎ̥"/>
          <w:color w:val="000000"/>
        </w:rPr>
        <w:t>元；公务用车运行维护费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万元，主要用于开展工作所需公务用车的燃料费、维修费、过路过桥费、保险费、安全奖励费用等支出。公务用车购置费预算数和公务用车运行维护费预算数与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年持平。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三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公务接待费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年持平。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九、其他重要事项的情况说明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机关运行经</w:t>
      </w:r>
      <w:r>
        <w:rPr>
          <w:rFonts w:ascii="ˎ̥" w:hAnsi="ˎ̥"/>
          <w:color w:val="000000"/>
        </w:rPr>
        <w:t>费支出情况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平桥区水利局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年机关运行经费支出预算</w:t>
      </w:r>
      <w:r w:rsidR="00E76C92">
        <w:rPr>
          <w:rFonts w:ascii="ˎ̥" w:hAnsi="ˎ̥" w:hint="eastAsia"/>
          <w:color w:val="000000"/>
        </w:rPr>
        <w:t>163.94</w:t>
      </w:r>
      <w:r>
        <w:rPr>
          <w:rFonts w:ascii="ˎ̥" w:hAnsi="ˎ̥"/>
          <w:color w:val="000000"/>
        </w:rPr>
        <w:t>万元，主要保障机构正常运转及正常履职需要。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政府采购支出情况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年政府采购预算安排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</w:t>
      </w:r>
      <w:r w:rsidR="00E76C92">
        <w:rPr>
          <w:rFonts w:ascii="ˎ̥" w:hAnsi="ˎ̥" w:hint="eastAsia"/>
          <w:color w:val="000000"/>
        </w:rPr>
        <w:t>未安排</w:t>
      </w:r>
      <w:r>
        <w:rPr>
          <w:rFonts w:ascii="ˎ̥" w:hAnsi="ˎ̥"/>
          <w:color w:val="000000"/>
        </w:rPr>
        <w:t>政府采购</w:t>
      </w:r>
      <w:r>
        <w:rPr>
          <w:rFonts w:ascii="ˎ̥" w:hAnsi="ˎ̥" w:hint="eastAsia"/>
          <w:color w:val="000000"/>
        </w:rPr>
        <w:t>货物</w:t>
      </w:r>
      <w:r w:rsidR="00E76C92">
        <w:rPr>
          <w:rFonts w:ascii="ˎ̥" w:hAnsi="ˎ̥" w:hint="eastAsia"/>
          <w:color w:val="000000"/>
        </w:rPr>
        <w:t>、</w:t>
      </w:r>
      <w:r>
        <w:rPr>
          <w:rFonts w:ascii="ˎ̥" w:hAnsi="ˎ̥"/>
          <w:color w:val="000000"/>
        </w:rPr>
        <w:t>服务</w:t>
      </w:r>
      <w:r w:rsidR="00E76C92">
        <w:rPr>
          <w:rFonts w:ascii="ˎ̥" w:hAnsi="ˎ̥" w:hint="eastAsia"/>
          <w:color w:val="000000"/>
        </w:rPr>
        <w:t>或工程类</w:t>
      </w:r>
      <w:r>
        <w:rPr>
          <w:rFonts w:ascii="ˎ̥" w:hAnsi="ˎ̥"/>
          <w:color w:val="000000"/>
        </w:rPr>
        <w:t>预算。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三</w:t>
      </w:r>
      <w:r>
        <w:rPr>
          <w:rFonts w:ascii="ˎ̥" w:hAnsi="ˎ̥"/>
          <w:color w:val="000000"/>
        </w:rPr>
        <w:t>)</w:t>
      </w:r>
      <w:r w:rsidR="00E76C92">
        <w:rPr>
          <w:rFonts w:ascii="ˎ̥" w:hAnsi="ˎ̥"/>
          <w:color w:val="000000"/>
        </w:rPr>
        <w:t>关于预算绩效管理工作开展</w:t>
      </w:r>
      <w:r w:rsidR="00E76C92">
        <w:rPr>
          <w:rFonts w:ascii="ˎ̥" w:hAnsi="ˎ̥" w:hint="eastAsia"/>
          <w:color w:val="000000"/>
        </w:rPr>
        <w:t>及重点项目预算绩效目标设置情况说明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组织对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个项目进行了预算绩效评价，涉及资金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拟组织对</w:t>
      </w:r>
      <w:r>
        <w:rPr>
          <w:rFonts w:ascii="ˎ̥" w:hAnsi="ˎ̥"/>
          <w:color w:val="000000"/>
        </w:rPr>
        <w:t>1</w:t>
      </w:r>
      <w:r>
        <w:rPr>
          <w:rFonts w:ascii="ˎ̥" w:hAnsi="ˎ̥"/>
          <w:color w:val="000000"/>
        </w:rPr>
        <w:t>个项目进行预算绩效评价，涉及资金</w:t>
      </w:r>
      <w:r>
        <w:rPr>
          <w:rFonts w:ascii="ˎ̥" w:hAnsi="ˎ̥" w:hint="eastAsia"/>
          <w:color w:val="000000"/>
        </w:rPr>
        <w:t>50</w:t>
      </w:r>
      <w:r>
        <w:rPr>
          <w:rFonts w:ascii="ˎ̥" w:hAnsi="ˎ̥"/>
          <w:color w:val="000000"/>
        </w:rPr>
        <w:t>万元。</w:t>
      </w:r>
      <w:r w:rsidR="00E76C92" w:rsidRPr="00E76C92">
        <w:rPr>
          <w:rFonts w:ascii="ˎ̥" w:hAnsi="ˎ̥" w:hint="eastAsia"/>
          <w:color w:val="000000"/>
        </w:rPr>
        <w:t>2020</w:t>
      </w:r>
      <w:r w:rsidR="00E76C92" w:rsidRPr="00E76C92">
        <w:rPr>
          <w:rFonts w:ascii="ˎ̥" w:hAnsi="ˎ̥" w:hint="eastAsia"/>
          <w:color w:val="000000"/>
        </w:rPr>
        <w:t>年，我单</w:t>
      </w:r>
      <w:proofErr w:type="gramStart"/>
      <w:r w:rsidR="00E76C92" w:rsidRPr="00E76C92">
        <w:rPr>
          <w:rFonts w:ascii="ˎ̥" w:hAnsi="ˎ̥" w:hint="eastAsia"/>
          <w:color w:val="000000"/>
        </w:rPr>
        <w:t>位拟</w:t>
      </w:r>
      <w:proofErr w:type="gramEnd"/>
      <w:r w:rsidR="00E76C92" w:rsidRPr="00E76C92">
        <w:rPr>
          <w:rFonts w:ascii="ˎ̥" w:hAnsi="ˎ̥" w:hint="eastAsia"/>
          <w:color w:val="000000"/>
        </w:rPr>
        <w:t>对重点项目预算绩效目标进行编制，从项目产出、项目效益、满意度等方面完成设置，以便能够综合反映项目预期完成的数量、实效、质量，预期达到的社会经济效益、可持续影响以及服务对象满意度等情况。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四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国有资产占用情况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年期末，我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共有车辆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辆，全部为一般公务用车；单价</w:t>
      </w:r>
      <w:r>
        <w:rPr>
          <w:rFonts w:ascii="ˎ̥" w:hAnsi="ˎ̥"/>
          <w:color w:val="000000"/>
        </w:rPr>
        <w:t>50</w:t>
      </w:r>
      <w:r>
        <w:rPr>
          <w:rFonts w:ascii="ˎ̥" w:hAnsi="ˎ̥"/>
          <w:color w:val="000000"/>
        </w:rPr>
        <w:t>万元以上通用设备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台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套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，单位价值</w:t>
      </w:r>
      <w:r>
        <w:rPr>
          <w:rFonts w:ascii="ˎ̥" w:hAnsi="ˎ̥"/>
          <w:color w:val="000000"/>
        </w:rPr>
        <w:t>100</w:t>
      </w:r>
      <w:r>
        <w:rPr>
          <w:rFonts w:ascii="ˎ̥" w:hAnsi="ˎ̥"/>
          <w:color w:val="000000"/>
        </w:rPr>
        <w:t>万元以上专用设备</w:t>
      </w:r>
      <w:r>
        <w:rPr>
          <w:rFonts w:ascii="ˎ̥" w:hAnsi="ˎ̥"/>
          <w:color w:val="000000"/>
        </w:rPr>
        <w:t>0</w:t>
      </w:r>
      <w:r>
        <w:rPr>
          <w:rFonts w:ascii="ˎ̥" w:hAnsi="ˎ̥"/>
          <w:color w:val="000000"/>
        </w:rPr>
        <w:t>台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套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五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专项转移支付项目情况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我</w:t>
      </w:r>
      <w:r>
        <w:rPr>
          <w:rFonts w:ascii="ˎ̥" w:hAnsi="ˎ̥" w:hint="eastAsia"/>
          <w:color w:val="000000"/>
        </w:rPr>
        <w:t>局</w:t>
      </w:r>
      <w:proofErr w:type="gramStart"/>
      <w:r>
        <w:rPr>
          <w:rFonts w:ascii="ˎ̥" w:hAnsi="ˎ̥"/>
          <w:color w:val="000000"/>
        </w:rPr>
        <w:t>无负责</w:t>
      </w:r>
      <w:proofErr w:type="gramEnd"/>
      <w:r>
        <w:rPr>
          <w:rFonts w:ascii="ˎ̥" w:hAnsi="ˎ̥"/>
          <w:color w:val="000000"/>
        </w:rPr>
        <w:t>管理的专项转移支付项目及资金。</w:t>
      </w:r>
    </w:p>
    <w:p w:rsidR="00C60BBE" w:rsidRDefault="003F6F7A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第三部分</w:t>
      </w:r>
    </w:p>
    <w:p w:rsidR="00C60BBE" w:rsidRDefault="003F6F7A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名词解释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　一、财政拨款收入：是指省级财政当年拨付的资金。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二、事业收入：是指事业单位开展专业活动及辅助活动所取得的收入。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三、其他收入：是指部门取得的除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事业单位经营收入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等以外的收入。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四、用事业基金弥补收支差额：是指事业单位在当年的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和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其他收入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不足以安排当年支出的情况</w:t>
      </w:r>
      <w:r>
        <w:rPr>
          <w:rFonts w:ascii="ˎ̥" w:hAnsi="ˎ̥"/>
          <w:color w:val="000000"/>
        </w:rPr>
        <w:t>下，使用以前年度积累的事业基金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即事业单位以前各年度收支相抵后，按国家规定提取、用于弥补以后年度收支差额的基金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弥补当年收支缺口的资金。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五、基本支出：是指为保障机构正常运转、完成日常工作任务所必需的开支，其内容包括人员经费和日常公用经费两部分。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六、项目支出：是指在基本支出之外，为完成特定的行政工作任务或事业发展目标所发生的支出。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七、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经费：是指纳入省级财政预算管理，部门使用财政拨款安排的因公出国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费、公务用车购置及运行费和公务接待费。其中，因公出国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单位公务出国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的</w:t>
      </w:r>
      <w:r>
        <w:rPr>
          <w:rFonts w:ascii="ˎ̥" w:hAnsi="ˎ̥"/>
          <w:color w:val="000000"/>
        </w:rPr>
        <w:t>住宿费、旅费、伙食补助费、杂费、培训费等支出；公务用车购置及运行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单位按规定开支的各类公务接待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含外宾接待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支出。</w:t>
      </w:r>
    </w:p>
    <w:p w:rsidR="00C60BBE" w:rsidRDefault="003F6F7A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八、机关运行经费：是指为保障行政单位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含参照公务员法管理的事业单位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C60BBE" w:rsidRDefault="003F6F7A">
      <w:r>
        <w:rPr>
          <w:rFonts w:hint="eastAsia"/>
        </w:rPr>
        <w:t xml:space="preserve"> </w:t>
      </w:r>
    </w:p>
    <w:sectPr w:rsidR="00C60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F7A" w:rsidRDefault="003F6F7A" w:rsidP="00E76C92">
      <w:r>
        <w:separator/>
      </w:r>
    </w:p>
  </w:endnote>
  <w:endnote w:type="continuationSeparator" w:id="0">
    <w:p w:rsidR="003F6F7A" w:rsidRDefault="003F6F7A" w:rsidP="00E7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F7A" w:rsidRDefault="003F6F7A" w:rsidP="00E76C92">
      <w:r>
        <w:separator/>
      </w:r>
    </w:p>
  </w:footnote>
  <w:footnote w:type="continuationSeparator" w:id="0">
    <w:p w:rsidR="003F6F7A" w:rsidRDefault="003F6F7A" w:rsidP="00E76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3415E"/>
    <w:multiLevelType w:val="singleLevel"/>
    <w:tmpl w:val="2973415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899"/>
    <w:rsid w:val="0001694C"/>
    <w:rsid w:val="001819E4"/>
    <w:rsid w:val="001F7909"/>
    <w:rsid w:val="003F6F7A"/>
    <w:rsid w:val="00433693"/>
    <w:rsid w:val="00711C11"/>
    <w:rsid w:val="00727F48"/>
    <w:rsid w:val="00774C09"/>
    <w:rsid w:val="00823354"/>
    <w:rsid w:val="00945899"/>
    <w:rsid w:val="0098343D"/>
    <w:rsid w:val="00A55A68"/>
    <w:rsid w:val="00AC7EFD"/>
    <w:rsid w:val="00B6704C"/>
    <w:rsid w:val="00C60BBE"/>
    <w:rsid w:val="00C82C88"/>
    <w:rsid w:val="00E76C92"/>
    <w:rsid w:val="00F2386A"/>
    <w:rsid w:val="00F335D8"/>
    <w:rsid w:val="00F804F2"/>
    <w:rsid w:val="0258448F"/>
    <w:rsid w:val="03313367"/>
    <w:rsid w:val="035E1DFB"/>
    <w:rsid w:val="03E8751B"/>
    <w:rsid w:val="050B4187"/>
    <w:rsid w:val="05AF4051"/>
    <w:rsid w:val="0D30620B"/>
    <w:rsid w:val="10C61F43"/>
    <w:rsid w:val="12A85F6A"/>
    <w:rsid w:val="12B058B0"/>
    <w:rsid w:val="165C52A9"/>
    <w:rsid w:val="1B657B55"/>
    <w:rsid w:val="1CAA0320"/>
    <w:rsid w:val="1D1A25F4"/>
    <w:rsid w:val="1D436E7A"/>
    <w:rsid w:val="26ED6C83"/>
    <w:rsid w:val="286E2215"/>
    <w:rsid w:val="28BF7D89"/>
    <w:rsid w:val="2FC6242A"/>
    <w:rsid w:val="303E14BF"/>
    <w:rsid w:val="332C36FC"/>
    <w:rsid w:val="359D3A72"/>
    <w:rsid w:val="37FE7E19"/>
    <w:rsid w:val="38F7367C"/>
    <w:rsid w:val="3ABB2320"/>
    <w:rsid w:val="3B8C2A6C"/>
    <w:rsid w:val="3C3F00DB"/>
    <w:rsid w:val="3D9A20EA"/>
    <w:rsid w:val="3E330E87"/>
    <w:rsid w:val="3E5744D5"/>
    <w:rsid w:val="3EE46D38"/>
    <w:rsid w:val="3F9A1970"/>
    <w:rsid w:val="40E737C8"/>
    <w:rsid w:val="440841D1"/>
    <w:rsid w:val="44324E3C"/>
    <w:rsid w:val="46131423"/>
    <w:rsid w:val="487D473C"/>
    <w:rsid w:val="4A3407FA"/>
    <w:rsid w:val="4CB72357"/>
    <w:rsid w:val="4F895B87"/>
    <w:rsid w:val="52714092"/>
    <w:rsid w:val="55842C47"/>
    <w:rsid w:val="5CF841AA"/>
    <w:rsid w:val="5DB75774"/>
    <w:rsid w:val="5ECF3DDD"/>
    <w:rsid w:val="5FD64711"/>
    <w:rsid w:val="607161FC"/>
    <w:rsid w:val="60CB7D4C"/>
    <w:rsid w:val="62CC0855"/>
    <w:rsid w:val="64293772"/>
    <w:rsid w:val="642A6D72"/>
    <w:rsid w:val="68040976"/>
    <w:rsid w:val="69BA3435"/>
    <w:rsid w:val="6B115722"/>
    <w:rsid w:val="6D984749"/>
    <w:rsid w:val="6E735AAE"/>
    <w:rsid w:val="6EA67601"/>
    <w:rsid w:val="745E1624"/>
    <w:rsid w:val="74E23B51"/>
    <w:rsid w:val="75A02EEF"/>
    <w:rsid w:val="75C17558"/>
    <w:rsid w:val="7609747A"/>
    <w:rsid w:val="77767FA8"/>
    <w:rsid w:val="780834E7"/>
    <w:rsid w:val="78A67847"/>
    <w:rsid w:val="79541D63"/>
    <w:rsid w:val="799966F7"/>
    <w:rsid w:val="7B7510F7"/>
    <w:rsid w:val="7FB4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622</Words>
  <Characters>3546</Characters>
  <Application>Microsoft Office Word</Application>
  <DocSecurity>0</DocSecurity>
  <Lines>29</Lines>
  <Paragraphs>8</Paragraphs>
  <ScaleCrop>false</ScaleCrop>
  <Company>Sky123.Org</Company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11</cp:revision>
  <cp:lastPrinted>2018-05-31T08:56:00Z</cp:lastPrinted>
  <dcterms:created xsi:type="dcterms:W3CDTF">2018-05-03T09:55:00Z</dcterms:created>
  <dcterms:modified xsi:type="dcterms:W3CDTF">2020-06-10T07:45:00Z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