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8AF" w:rsidRDefault="0017191C">
      <w:pPr>
        <w:widowControl/>
        <w:jc w:val="left"/>
        <w:rPr>
          <w:rFonts w:ascii="黑体" w:eastAsia="黑体" w:hAnsi="宋体" w:cs="宋体"/>
          <w:kern w:val="0"/>
          <w:sz w:val="28"/>
          <w:szCs w:val="28"/>
        </w:rPr>
      </w:pPr>
      <w:r>
        <w:rPr>
          <w:rFonts w:ascii="黑体" w:eastAsia="黑体" w:hAnsi="宋体" w:cs="宋体" w:hint="eastAsia"/>
          <w:kern w:val="0"/>
          <w:sz w:val="28"/>
          <w:szCs w:val="28"/>
        </w:rPr>
        <w:t xml:space="preserve"> </w:t>
      </w: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17191C">
      <w:pPr>
        <w:jc w:val="center"/>
        <w:rPr>
          <w:rFonts w:ascii="黑体" w:eastAsia="黑体" w:hAnsi="黑体" w:cs="黑体"/>
          <w:sz w:val="52"/>
          <w:szCs w:val="52"/>
        </w:rPr>
      </w:pPr>
      <w:r>
        <w:rPr>
          <w:rFonts w:ascii="黑体" w:eastAsia="黑体" w:hAnsi="黑体" w:cs="黑体" w:hint="eastAsia"/>
          <w:sz w:val="52"/>
          <w:szCs w:val="52"/>
        </w:rPr>
        <w:t>2019年度</w:t>
      </w:r>
    </w:p>
    <w:p w:rsidR="000008AF" w:rsidRDefault="008A4D32">
      <w:pPr>
        <w:jc w:val="center"/>
        <w:rPr>
          <w:rFonts w:ascii="黑体" w:eastAsia="黑体" w:hAnsi="黑体" w:cs="黑体"/>
          <w:sz w:val="52"/>
          <w:szCs w:val="52"/>
        </w:rPr>
      </w:pPr>
      <w:r>
        <w:rPr>
          <w:rFonts w:ascii="黑体" w:eastAsia="黑体" w:hAnsi="黑体" w:cs="黑体" w:hint="eastAsia"/>
          <w:sz w:val="52"/>
          <w:szCs w:val="52"/>
        </w:rPr>
        <w:t>信阳市</w:t>
      </w:r>
      <w:r w:rsidR="0017191C">
        <w:rPr>
          <w:rFonts w:ascii="黑体" w:eastAsia="黑体" w:hAnsi="黑体" w:cs="黑体" w:hint="eastAsia"/>
          <w:sz w:val="52"/>
          <w:szCs w:val="52"/>
        </w:rPr>
        <w:t>平桥区教育体育局部门决算</w:t>
      </w:r>
    </w:p>
    <w:p w:rsidR="000008AF" w:rsidRDefault="000008AF">
      <w:pPr>
        <w:jc w:val="center"/>
        <w:rPr>
          <w:rFonts w:ascii="黑体" w:eastAsia="黑体" w:hAnsi="黑体" w:cs="黑体"/>
          <w:sz w:val="52"/>
          <w:szCs w:val="52"/>
        </w:rPr>
      </w:pPr>
    </w:p>
    <w:p w:rsidR="000008AF" w:rsidRDefault="000008AF">
      <w:pPr>
        <w:jc w:val="center"/>
        <w:rPr>
          <w:rFonts w:ascii="黑体" w:eastAsia="黑体" w:hAnsi="黑体" w:cs="黑体"/>
          <w:sz w:val="52"/>
          <w:szCs w:val="52"/>
        </w:rPr>
      </w:pPr>
    </w:p>
    <w:p w:rsidR="000008AF" w:rsidRDefault="000008AF">
      <w:pPr>
        <w:jc w:val="center"/>
        <w:rPr>
          <w:rFonts w:ascii="黑体" w:eastAsia="黑体" w:hAnsi="黑体" w:cs="黑体"/>
          <w:sz w:val="52"/>
          <w:szCs w:val="52"/>
        </w:rPr>
      </w:pPr>
    </w:p>
    <w:p w:rsidR="000008AF" w:rsidRDefault="000008AF">
      <w:pPr>
        <w:jc w:val="center"/>
        <w:rPr>
          <w:rFonts w:ascii="黑体" w:eastAsia="黑体" w:hAnsi="黑体" w:cs="黑体"/>
          <w:sz w:val="52"/>
          <w:szCs w:val="52"/>
        </w:rPr>
      </w:pPr>
    </w:p>
    <w:p w:rsidR="000008AF" w:rsidRDefault="000008AF">
      <w:pPr>
        <w:jc w:val="center"/>
        <w:rPr>
          <w:rFonts w:ascii="黑体" w:eastAsia="黑体" w:hAnsi="黑体" w:cs="黑体"/>
          <w:sz w:val="52"/>
          <w:szCs w:val="52"/>
        </w:rPr>
      </w:pPr>
    </w:p>
    <w:p w:rsidR="000008AF" w:rsidRDefault="000008AF">
      <w:pPr>
        <w:jc w:val="center"/>
        <w:rPr>
          <w:rFonts w:ascii="黑体" w:eastAsia="黑体" w:hAnsi="黑体" w:cs="黑体"/>
          <w:sz w:val="52"/>
          <w:szCs w:val="52"/>
        </w:rPr>
      </w:pPr>
    </w:p>
    <w:p w:rsidR="000008AF" w:rsidRDefault="0017191C">
      <w:pPr>
        <w:jc w:val="center"/>
        <w:rPr>
          <w:rFonts w:ascii="黑体" w:eastAsia="黑体" w:hAnsi="黑体" w:cs="黑体"/>
          <w:sz w:val="32"/>
          <w:szCs w:val="32"/>
        </w:rPr>
        <w:sectPr w:rsidR="000008AF">
          <w:headerReference w:type="even" r:id="rId8"/>
          <w:headerReference w:type="default" r:id="rId9"/>
          <w:pgSz w:w="11906" w:h="16838"/>
          <w:pgMar w:top="1440" w:right="1531" w:bottom="1440" w:left="1587" w:header="850" w:footer="992" w:gutter="0"/>
          <w:pgNumType w:fmt="numberInDash"/>
          <w:cols w:space="720"/>
          <w:docGrid w:type="lines" w:linePitch="317"/>
        </w:sectPr>
      </w:pPr>
      <w:r>
        <w:rPr>
          <w:rFonts w:ascii="黑体" w:eastAsia="黑体" w:hAnsi="黑体" w:cs="黑体" w:hint="eastAsia"/>
          <w:sz w:val="32"/>
          <w:szCs w:val="32"/>
        </w:rPr>
        <w:t>二〇二〇年十月</w:t>
      </w:r>
    </w:p>
    <w:p w:rsidR="000008AF" w:rsidRDefault="0017191C">
      <w:pPr>
        <w:jc w:val="center"/>
        <w:rPr>
          <w:rFonts w:ascii="黑体" w:eastAsia="黑体" w:hAnsi="黑体" w:cs="黑体"/>
          <w:sz w:val="36"/>
          <w:szCs w:val="36"/>
        </w:rPr>
      </w:pPr>
      <w:r>
        <w:rPr>
          <w:rFonts w:ascii="黑体" w:eastAsia="黑体" w:hAnsi="黑体" w:cs="黑体" w:hint="eastAsia"/>
          <w:sz w:val="36"/>
          <w:szCs w:val="36"/>
        </w:rPr>
        <w:lastRenderedPageBreak/>
        <w:t>目　　录</w:t>
      </w:r>
    </w:p>
    <w:p w:rsidR="000008AF" w:rsidRDefault="0017191C">
      <w:pPr>
        <w:jc w:val="left"/>
        <w:rPr>
          <w:rFonts w:ascii="黑体" w:eastAsia="黑体" w:hAnsi="黑体" w:cs="黑体"/>
          <w:sz w:val="32"/>
          <w:szCs w:val="32"/>
        </w:rPr>
      </w:pPr>
      <w:r>
        <w:rPr>
          <w:rFonts w:ascii="黑体" w:eastAsia="黑体" w:hAnsi="黑体" w:cs="黑体" w:hint="eastAsia"/>
          <w:sz w:val="32"/>
          <w:szCs w:val="32"/>
        </w:rPr>
        <w:t>第一部分　　信阳市平桥区教育体育局概况</w:t>
      </w:r>
    </w:p>
    <w:p w:rsidR="000008AF" w:rsidRDefault="0017191C">
      <w:pPr>
        <w:numPr>
          <w:ilvl w:val="0"/>
          <w:numId w:val="1"/>
        </w:numPr>
        <w:ind w:firstLineChars="200" w:firstLine="640"/>
        <w:jc w:val="left"/>
        <w:rPr>
          <w:rFonts w:ascii="宋体" w:hAnsi="宋体" w:cs="宋体"/>
          <w:sz w:val="32"/>
          <w:szCs w:val="32"/>
        </w:rPr>
      </w:pPr>
      <w:r>
        <w:rPr>
          <w:rFonts w:ascii="宋体" w:hAnsi="宋体" w:cs="宋体" w:hint="eastAsia"/>
          <w:sz w:val="32"/>
          <w:szCs w:val="32"/>
        </w:rPr>
        <w:t>部门职责</w:t>
      </w:r>
    </w:p>
    <w:p w:rsidR="000008AF" w:rsidRDefault="0017191C">
      <w:pPr>
        <w:numPr>
          <w:ilvl w:val="0"/>
          <w:numId w:val="1"/>
        </w:numPr>
        <w:ind w:firstLineChars="200" w:firstLine="640"/>
        <w:jc w:val="left"/>
        <w:rPr>
          <w:rFonts w:ascii="宋体" w:hAnsi="宋体" w:cs="宋体"/>
          <w:sz w:val="32"/>
          <w:szCs w:val="32"/>
        </w:rPr>
      </w:pPr>
      <w:r>
        <w:rPr>
          <w:rFonts w:ascii="宋体" w:hAnsi="宋体" w:cs="宋体" w:hint="eastAsia"/>
          <w:sz w:val="32"/>
          <w:szCs w:val="32"/>
        </w:rPr>
        <w:t>机构设置</w:t>
      </w:r>
    </w:p>
    <w:p w:rsidR="000008AF" w:rsidRDefault="0017191C">
      <w:pPr>
        <w:jc w:val="left"/>
        <w:rPr>
          <w:rFonts w:ascii="黑体" w:eastAsia="黑体" w:hAnsi="黑体" w:cs="黑体"/>
          <w:sz w:val="32"/>
          <w:szCs w:val="32"/>
        </w:rPr>
      </w:pPr>
      <w:r>
        <w:rPr>
          <w:rFonts w:ascii="黑体" w:eastAsia="黑体" w:hAnsi="黑体" w:cs="黑体" w:hint="eastAsia"/>
          <w:sz w:val="32"/>
          <w:szCs w:val="32"/>
        </w:rPr>
        <w:t>第二部分　　2019年度部门决算表</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一、收入支出决算总表</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二、收入决算表</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三、支出决算表</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四、财政拨款收入支出决算总表</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五、一般公共预算财政拨款支出决算表</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六、一般公共预算财政拨款基本支出决算表</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七、一般公共预算财政拨款“三公”经费支出决算表</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八、政府性基金预算财政拨款收入支出决算表</w:t>
      </w:r>
    </w:p>
    <w:p w:rsidR="000008AF" w:rsidRDefault="0017191C">
      <w:pPr>
        <w:jc w:val="left"/>
        <w:rPr>
          <w:rFonts w:ascii="黑体" w:eastAsia="黑体" w:hAnsi="黑体" w:cs="黑体"/>
          <w:sz w:val="32"/>
          <w:szCs w:val="32"/>
        </w:rPr>
      </w:pPr>
      <w:r>
        <w:rPr>
          <w:rFonts w:ascii="黑体" w:eastAsia="黑体" w:hAnsi="黑体" w:cs="黑体" w:hint="eastAsia"/>
          <w:sz w:val="32"/>
          <w:szCs w:val="32"/>
        </w:rPr>
        <w:t>第三部分　　2019年度部门决算情况说明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一、收入支出决算总体情况说明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二、收入决算情况说明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三、支出决算情况说明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四、财政拨款收入支出决算总体情况说明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五、一般公共预算财政拨款支出决算情况说明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六、一般公共预算财政拨款基本支出决算情况说明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七、一般公共预算财政拨款“三公”经费支出决算情况说明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lastRenderedPageBreak/>
        <w:t>八、预算绩效情况说明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九、政府性基金预算财政拨款支出决算情况说明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十、机关运行经费支出情况说明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十一、政府采购支出情况说明</w:t>
      </w:r>
    </w:p>
    <w:p w:rsidR="000008AF" w:rsidRDefault="0017191C">
      <w:pPr>
        <w:ind w:firstLineChars="200" w:firstLine="640"/>
        <w:jc w:val="left"/>
        <w:rPr>
          <w:rFonts w:ascii="宋体" w:hAnsi="宋体" w:cs="宋体"/>
          <w:sz w:val="32"/>
          <w:szCs w:val="32"/>
        </w:rPr>
      </w:pPr>
      <w:r>
        <w:rPr>
          <w:rFonts w:ascii="宋体" w:hAnsi="宋体" w:cs="宋体" w:hint="eastAsia"/>
          <w:sz w:val="32"/>
          <w:szCs w:val="32"/>
        </w:rPr>
        <w:t>十二、国有资产占用情况说明</w:t>
      </w:r>
    </w:p>
    <w:p w:rsidR="000008AF" w:rsidRDefault="0017191C">
      <w:pPr>
        <w:jc w:val="left"/>
        <w:rPr>
          <w:rFonts w:ascii="黑体" w:eastAsia="黑体" w:hAnsi="黑体" w:cs="黑体"/>
          <w:sz w:val="32"/>
          <w:szCs w:val="32"/>
        </w:rPr>
      </w:pPr>
      <w:r>
        <w:rPr>
          <w:rFonts w:ascii="黑体" w:eastAsia="黑体" w:hAnsi="黑体" w:cs="黑体" w:hint="eastAsia"/>
          <w:sz w:val="32"/>
          <w:szCs w:val="32"/>
        </w:rPr>
        <w:t>第四部分　　名词解释</w:t>
      </w:r>
    </w:p>
    <w:p w:rsidR="000008AF" w:rsidRDefault="000008AF">
      <w:pPr>
        <w:ind w:firstLineChars="200" w:firstLine="640"/>
        <w:jc w:val="left"/>
        <w:rPr>
          <w:rFonts w:ascii="宋体" w:hAnsi="宋体" w:cs="宋体"/>
          <w:sz w:val="32"/>
          <w:szCs w:val="32"/>
        </w:rPr>
      </w:pPr>
    </w:p>
    <w:p w:rsidR="000008AF" w:rsidRDefault="000008AF">
      <w:pPr>
        <w:jc w:val="left"/>
        <w:rPr>
          <w:rFonts w:ascii="黑体" w:eastAsia="黑体" w:hAnsi="黑体" w:cs="黑体"/>
          <w:sz w:val="32"/>
          <w:szCs w:val="32"/>
        </w:rPr>
        <w:sectPr w:rsidR="000008AF">
          <w:footerReference w:type="even" r:id="rId10"/>
          <w:footerReference w:type="default" r:id="rId11"/>
          <w:pgSz w:w="11906" w:h="16838"/>
          <w:pgMar w:top="1440" w:right="1531" w:bottom="1440" w:left="1587" w:header="850" w:footer="992" w:gutter="0"/>
          <w:pgNumType w:fmt="numberInDash" w:start="1"/>
          <w:cols w:space="720"/>
          <w:docGrid w:type="lines" w:linePitch="317"/>
        </w:sect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17191C">
      <w:pPr>
        <w:widowControl/>
        <w:jc w:val="center"/>
        <w:outlineLvl w:val="0"/>
        <w:rPr>
          <w:rFonts w:ascii="黑体" w:eastAsia="黑体" w:hAnsi="黑体" w:cs="黑体"/>
          <w:sz w:val="48"/>
          <w:szCs w:val="48"/>
        </w:rPr>
      </w:pPr>
      <w:r>
        <w:rPr>
          <w:rFonts w:ascii="黑体" w:eastAsia="黑体" w:hAnsi="黑体" w:cs="黑体" w:hint="eastAsia"/>
          <w:sz w:val="48"/>
          <w:szCs w:val="48"/>
        </w:rPr>
        <w:t>第一部分  平桥区教育体育局概况</w:t>
      </w: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sectPr w:rsidR="000008AF">
          <w:pgSz w:w="11906" w:h="16838"/>
          <w:pgMar w:top="1440" w:right="1800" w:bottom="1440" w:left="1800" w:header="720" w:footer="720" w:gutter="0"/>
          <w:pgNumType w:fmt="numberInDash"/>
          <w:cols w:space="720"/>
          <w:docGrid w:type="lines" w:linePitch="312"/>
        </w:sectPr>
      </w:pPr>
    </w:p>
    <w:p w:rsidR="000008AF" w:rsidRDefault="0017191C">
      <w:pPr>
        <w:adjustRightInd w:val="0"/>
        <w:snapToGrid w:val="0"/>
        <w:spacing w:line="600" w:lineRule="exact"/>
        <w:ind w:firstLineChars="200" w:firstLine="640"/>
        <w:rPr>
          <w:rFonts w:ascii="黑体" w:eastAsia="黑体" w:hAnsi="黑体"/>
          <w:b/>
          <w:sz w:val="32"/>
          <w:szCs w:val="32"/>
        </w:rPr>
      </w:pPr>
      <w:r>
        <w:rPr>
          <w:rFonts w:ascii="黑体" w:eastAsia="黑体" w:hAnsi="黑体" w:cs="黑体" w:hint="eastAsia"/>
          <w:kern w:val="0"/>
          <w:sz w:val="32"/>
          <w:szCs w:val="32"/>
        </w:rPr>
        <w:lastRenderedPageBreak/>
        <w:t>一、部门</w:t>
      </w:r>
      <w:r>
        <w:rPr>
          <w:rFonts w:ascii="黑体" w:eastAsia="黑体" w:hAnsi="黑体" w:cs="黑体" w:hint="eastAsia"/>
          <w:bCs/>
          <w:sz w:val="32"/>
          <w:szCs w:val="32"/>
        </w:rPr>
        <w:t>职责</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（一）贯彻执行党和国家关于教育体育工作的法律、法规及方针政策，研究拟订全区教育体育工作规范性文件并监督实施；负责教育体育理论研究和宣传工作。</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（二）研究提出在全区教育系统坚持党的领导、加强党的建设政策措施并组织实施；统筹全区教育工作的总体布局并负责协调推进和督促落实。</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（三）负责全区各级各类教育体育的统筹规划和协调管 理；拟订全区教育体育改革发展战略和教育体育事业发展规 划；指导各级各类学校的教育教学改革；负责全区教育体育基本信息的统计、分析和发布；推进全区公共体育、多元化体育服务体系建设。</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（四）负责本部门教育体育经费的统筹管理，参与拟订教育体育经费筹措、拨款、基建投资的政策；负责统计全区教育体育经费投入情况和教育体育系统内部审计工作及学生资助工作。</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（五）负责推进全区义务教育均衡发展和促进教育公平，负责义务教育的宏观指导与协调。指导普通高中教育、 学前教育和特殊教育工作。落实基础教育教学基本要求和教学基本文件，全面实施素质教育。指导全区教育督导工作。 组织对全区学校和其他教育机构、义务教育均衡发展的督导检查和评估验收工作。负责基础教育发展水平、质量的监测工作。</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lastRenderedPageBreak/>
        <w:t>（六）负责全区中等职业教育、成人教育工作。指导以就业为导向的职业教育的发展与改革，落实中等职业教育专业目录、教学指导文件和教学评估标准。</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（七）负责民办教育的综合协调工作，拟订民办教育发展规划、政策措施和规范性文件。</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（八）拟订全区中等学校招生计划及招生考试政策。指导中等职业学校开展毕业生就业创业工作。</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九）负责全区教育系统思想政治、意识形态工作。指导各级各类学校的德育、体育、卫生、艺术教育、劳动教育及国防教育工作。指导全区教育系统落实好党的民族宗教政策。负责教育系统安全稳定与信访工作。</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 xml:space="preserve">（十）负责全区各级各类教育资格制度实施。负责本区初中、小学（幼儿园）教师资格认定，归口管理教师和教育管理人员继续教育。配合有关部门研究提出各级各类学校编制标准。指导各级各类学校内部人事与分配制度改革。指导全区教育体育系统人才队伍建设。负责教育体育的表彰奖励。 </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（十一）负责全区普通高等学校、中等专业学校、成人高等学校的招生考试工作。管理全区教育体育系统的教科研工作。指导全区教育体育系统信息化建设工作。</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（十二）负责协调全区学校治安综合治理和安全管理工 作。承担协调、指导检查、督促全区教育体育系统信访稳定工作。</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 xml:space="preserve">（十三）推进全民健身计划，指导开展群众性体育活动， </w:t>
      </w:r>
      <w:r>
        <w:rPr>
          <w:rFonts w:ascii="黑体" w:eastAsia="黑体" w:hAnsi="黑体" w:cs="Courier New" w:hint="eastAsia"/>
          <w:kern w:val="0"/>
          <w:sz w:val="32"/>
          <w:szCs w:val="32"/>
        </w:rPr>
        <w:lastRenderedPageBreak/>
        <w:t>实施国家体育锻炼标准，开展国民体质监测。指导公共体育设施建设，负责公共体育设施的监督管理。</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（十四）统筹规划全区竞技体育发展和体育运动项目设置与重点项目布局。负责区运动队伍建设和体育后备人才培养，贯彻落实等级运动员和等级裁判员制度。组织开展体育运动中的反兴奋剂工作。</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（十五）组织举办全区综合性运动会，统筹规划全区青少年体育发展，指导和推进青少年体育工作。</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（十六）组织指导全区教育体育方面对外交流与合作， 组织参加和承办各类体育竞赛。</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（十七）拟订全区体育产业政策，规范体育产业发展， 制定体育经营活动从业条件和监督管理程序，促进体育市场发展。</w:t>
      </w:r>
    </w:p>
    <w:p w:rsidR="000008AF" w:rsidRDefault="0017191C">
      <w:pPr>
        <w:adjustRightInd w:val="0"/>
        <w:snapToGrid w:val="0"/>
        <w:spacing w:line="600" w:lineRule="exact"/>
        <w:ind w:firstLineChars="200" w:firstLine="640"/>
        <w:rPr>
          <w:rFonts w:ascii="黑体" w:eastAsia="黑体" w:hAnsi="黑体" w:cs="Courier New"/>
          <w:kern w:val="0"/>
          <w:sz w:val="32"/>
          <w:szCs w:val="32"/>
        </w:rPr>
      </w:pPr>
      <w:r>
        <w:rPr>
          <w:rFonts w:ascii="黑体" w:eastAsia="黑体" w:hAnsi="黑体" w:cs="Courier New" w:hint="eastAsia"/>
          <w:kern w:val="0"/>
          <w:sz w:val="32"/>
          <w:szCs w:val="32"/>
        </w:rPr>
        <w:t>（十八）完成区委、区政府交办的其他任务。</w:t>
      </w:r>
    </w:p>
    <w:p w:rsidR="000008AF" w:rsidRDefault="000008AF">
      <w:pPr>
        <w:widowControl/>
        <w:ind w:firstLineChars="200" w:firstLine="640"/>
        <w:jc w:val="left"/>
        <w:outlineLvl w:val="1"/>
        <w:rPr>
          <w:rFonts w:ascii="黑体" w:eastAsia="黑体" w:hAnsi="黑体" w:cs="黑体"/>
          <w:kern w:val="0"/>
          <w:sz w:val="32"/>
          <w:szCs w:val="32"/>
        </w:rPr>
      </w:pPr>
    </w:p>
    <w:p w:rsidR="000008AF" w:rsidRDefault="0017191C">
      <w:pPr>
        <w:widowControl/>
        <w:ind w:firstLineChars="200" w:firstLine="640"/>
        <w:jc w:val="left"/>
        <w:outlineLvl w:val="1"/>
        <w:rPr>
          <w:rFonts w:ascii="黑体" w:eastAsia="黑体" w:hAnsi="黑体" w:cs="黑体"/>
          <w:kern w:val="0"/>
          <w:sz w:val="32"/>
          <w:szCs w:val="32"/>
        </w:rPr>
      </w:pPr>
      <w:r>
        <w:rPr>
          <w:rFonts w:ascii="黑体" w:eastAsia="黑体" w:hAnsi="黑体" w:cs="黑体" w:hint="eastAsia"/>
          <w:kern w:val="0"/>
          <w:sz w:val="32"/>
          <w:szCs w:val="32"/>
        </w:rPr>
        <w:t>二、机构设置</w:t>
      </w:r>
    </w:p>
    <w:p w:rsidR="000008AF" w:rsidRDefault="0017191C">
      <w:pPr>
        <w:widowControl/>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平桥区教育体育局内设机构14个，包括：办公室、人事股、发展规划股、财务审计股、基础教育股、职业和成人教育股、教师教育股、体卫艺股、民办教育股、法制教育安全股、教育督导股、党风行风建设工作股、机关党委、离退休干部工作股。另设有信阳平桥区电化教育馆、平桥区勤工俭学管理站、平桥区教学研究室、平桥区招生办公室、平桥</w:t>
      </w:r>
      <w:r>
        <w:rPr>
          <w:rFonts w:ascii="仿宋_GB2312" w:eastAsia="仿宋_GB2312" w:hAnsi="仿宋_GB2312" w:cs="仿宋_GB2312" w:hint="eastAsia"/>
          <w:kern w:val="0"/>
          <w:sz w:val="32"/>
          <w:szCs w:val="32"/>
        </w:rPr>
        <w:lastRenderedPageBreak/>
        <w:t>区中小学体育卫生保健站、平桥区学生资助中心、平桥区业余体校。</w:t>
      </w:r>
    </w:p>
    <w:p w:rsidR="000008AF" w:rsidRDefault="0017191C">
      <w:pPr>
        <w:widowControl/>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从决算单位构成看，平桥区教育体育局部门决算包括：本级决算、所属单位决算。</w:t>
      </w:r>
    </w:p>
    <w:p w:rsidR="000008AF" w:rsidRDefault="008A4D32">
      <w:pPr>
        <w:widowControl/>
        <w:ind w:firstLineChars="200" w:firstLine="640"/>
        <w:jc w:val="left"/>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本决算</w:t>
      </w:r>
      <w:r>
        <w:rPr>
          <w:rFonts w:ascii="仿宋_GB2312" w:eastAsia="仿宋_GB2312" w:hAnsi="仿宋_GB2312" w:cs="仿宋_GB2312"/>
          <w:kern w:val="0"/>
          <w:sz w:val="32"/>
          <w:szCs w:val="32"/>
        </w:rPr>
        <w:t>为汇总决算，</w:t>
      </w:r>
      <w:r w:rsidR="0017191C">
        <w:rPr>
          <w:rFonts w:ascii="仿宋_GB2312" w:eastAsia="仿宋_GB2312" w:hAnsi="仿宋_GB2312" w:cs="仿宋_GB2312" w:hint="eastAsia"/>
          <w:kern w:val="0"/>
          <w:sz w:val="32"/>
          <w:szCs w:val="32"/>
        </w:rPr>
        <w:t>纳入本部门2019年度部门决算编制范围的单位共40个，其中二级预算单位39个，具体是：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6996"/>
      </w:tblGrid>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序号</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单位名称</w:t>
            </w:r>
          </w:p>
        </w:tc>
      </w:tr>
      <w:tr w:rsidR="000008AF" w:rsidTr="00E129ED">
        <w:trPr>
          <w:trHeight w:val="577"/>
        </w:trPr>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平桥区教育体育局本级</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信阳市平桥区电化教育馆</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3</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平桥区勤工俭学管理站</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4</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平桥区教学研究室</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5</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平桥区招生办公室</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6</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平桥区中小学体育卫生保健站</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7</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平桥区学生资助中心</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8</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平桥区青少年业余体校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9</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平桥区幼儿园</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10</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平桥区特殊教育学校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11</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平桥区实验小学</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12</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平桥区第二小学</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13</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信阳市第一初级中学</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14</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平桥区第五初级中学</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15</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平桥区信钢学校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lastRenderedPageBreak/>
              <w:t>16</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信阳市第二高级中学</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17</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信阳市第四高级中学</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18</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信阳市第六高级中学</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19</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信阳市第七高级中学</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20</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平桥区城阳城址保护区中心学校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21</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平桥区洋河镇中心学校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22</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平桥区平桥街道办事处中心学校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23</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平桥区五里店街道办事处中心学校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24</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平桥区平昌关镇中心学校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25</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平桥区查山乡中心学校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26</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平桥区邢集镇中心学校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27</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平桥区彭家湾乡中心学校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28</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平桥区胡店乡中心学校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29</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平桥区甘岸办事处中心学校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30</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平桥区肖王镇中心学校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31</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平桥区五里镇中心学校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32</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平桥区长台关乡中心学校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33</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平桥区高梁店乡中心学校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34</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平桥区龙井乡中心学校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35</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平桥区明港工业管理区中心学校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36</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平桥区王岗乡中心学校</w:t>
            </w:r>
          </w:p>
        </w:tc>
      </w:tr>
      <w:tr w:rsidR="000008AF">
        <w:tc>
          <w:tcPr>
            <w:tcW w:w="1526" w:type="dxa"/>
          </w:tcPr>
          <w:p w:rsidR="000008AF" w:rsidRDefault="0017191C">
            <w:pPr>
              <w:spacing w:before="100" w:beforeAutospacing="1" w:after="100" w:afterAutospacing="1"/>
              <w:jc w:val="left"/>
              <w:rPr>
                <w:rFonts w:ascii="黑体" w:eastAsia="黑体" w:hAnsi="黑体" w:cs="黑体"/>
                <w:sz w:val="32"/>
                <w:szCs w:val="32"/>
              </w:rPr>
            </w:pPr>
            <w:r>
              <w:rPr>
                <w:rFonts w:ascii="黑体" w:eastAsia="黑体" w:hAnsi="黑体" w:cs="黑体" w:hint="eastAsia"/>
                <w:sz w:val="32"/>
                <w:szCs w:val="32"/>
              </w:rPr>
              <w:t>37</w:t>
            </w:r>
          </w:p>
        </w:tc>
        <w:tc>
          <w:tcPr>
            <w:tcW w:w="699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平桥区明港镇中心学校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lastRenderedPageBreak/>
              <w:t>38</w:t>
            </w:r>
          </w:p>
        </w:tc>
        <w:tc>
          <w:tcPr>
            <w:tcW w:w="6996" w:type="dxa"/>
          </w:tcPr>
          <w:p w:rsidR="000008AF" w:rsidRDefault="0017191C">
            <w:pPr>
              <w:spacing w:before="100" w:beforeAutospacing="1" w:after="100" w:afterAutospacing="1"/>
              <w:jc w:val="left"/>
              <w:rPr>
                <w:rFonts w:ascii="黑体" w:eastAsia="黑体" w:hAnsi="黑体" w:cs="黑体"/>
                <w:sz w:val="32"/>
                <w:szCs w:val="32"/>
              </w:rPr>
            </w:pPr>
            <w:r>
              <w:rPr>
                <w:rFonts w:ascii="黑体" w:eastAsia="黑体" w:hAnsi="黑体" w:cs="黑体" w:hint="eastAsia"/>
                <w:sz w:val="32"/>
                <w:szCs w:val="32"/>
              </w:rPr>
              <w:t>平桥区肖店乡中心学校</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39</w:t>
            </w:r>
          </w:p>
        </w:tc>
        <w:tc>
          <w:tcPr>
            <w:tcW w:w="6996" w:type="dxa"/>
          </w:tcPr>
          <w:p w:rsidR="000008AF" w:rsidRDefault="0017191C">
            <w:pPr>
              <w:spacing w:before="100" w:beforeAutospacing="1" w:after="100" w:afterAutospacing="1"/>
              <w:jc w:val="left"/>
              <w:rPr>
                <w:rFonts w:ascii="黑体" w:eastAsia="黑体" w:hAnsi="黑体" w:cs="黑体"/>
                <w:sz w:val="32"/>
                <w:szCs w:val="32"/>
              </w:rPr>
            </w:pPr>
            <w:r>
              <w:rPr>
                <w:rFonts w:ascii="黑体" w:eastAsia="黑体" w:hAnsi="黑体" w:cs="黑体" w:hint="eastAsia"/>
                <w:sz w:val="32"/>
                <w:szCs w:val="32"/>
              </w:rPr>
              <w:t>平桥区第六职业高级中学</w:t>
            </w:r>
          </w:p>
        </w:tc>
      </w:tr>
      <w:tr w:rsidR="000008AF">
        <w:tc>
          <w:tcPr>
            <w:tcW w:w="1526" w:type="dxa"/>
          </w:tcPr>
          <w:p w:rsidR="000008AF" w:rsidRDefault="0017191C">
            <w:pPr>
              <w:widowControl/>
              <w:spacing w:before="100" w:beforeAutospacing="1" w:after="100" w:afterAutospacing="1"/>
              <w:jc w:val="left"/>
              <w:rPr>
                <w:rFonts w:ascii="黑体" w:eastAsia="黑体" w:hAnsi="黑体" w:cs="仿宋_GB2312"/>
                <w:color w:val="000000"/>
                <w:sz w:val="32"/>
                <w:szCs w:val="32"/>
              </w:rPr>
            </w:pPr>
            <w:r>
              <w:rPr>
                <w:rFonts w:ascii="黑体" w:eastAsia="黑体" w:hAnsi="黑体" w:cs="仿宋_GB2312" w:hint="eastAsia"/>
                <w:color w:val="000000"/>
                <w:sz w:val="32"/>
                <w:szCs w:val="32"/>
              </w:rPr>
              <w:t>40</w:t>
            </w:r>
          </w:p>
        </w:tc>
        <w:tc>
          <w:tcPr>
            <w:tcW w:w="6996" w:type="dxa"/>
          </w:tcPr>
          <w:p w:rsidR="000008AF" w:rsidRDefault="0017191C">
            <w:pPr>
              <w:spacing w:before="100" w:beforeAutospacing="1" w:after="100" w:afterAutospacing="1"/>
              <w:jc w:val="left"/>
              <w:rPr>
                <w:rFonts w:ascii="黑体" w:eastAsia="黑体" w:hAnsi="黑体" w:cs="黑体"/>
                <w:sz w:val="32"/>
                <w:szCs w:val="32"/>
              </w:rPr>
            </w:pPr>
            <w:r>
              <w:rPr>
                <w:rFonts w:ascii="黑体" w:eastAsia="黑体" w:hAnsi="黑体" w:cs="黑体" w:hint="eastAsia"/>
                <w:sz w:val="32"/>
                <w:szCs w:val="32"/>
              </w:rPr>
              <w:t>平桥区外国语中学</w:t>
            </w:r>
          </w:p>
        </w:tc>
      </w:tr>
    </w:tbl>
    <w:p w:rsidR="000008AF" w:rsidRDefault="000008AF">
      <w:pPr>
        <w:widowControl/>
        <w:jc w:val="left"/>
        <w:rPr>
          <w:rFonts w:ascii="黑体" w:eastAsia="黑体" w:hAnsi="宋体" w:cs="宋体"/>
          <w:kern w:val="0"/>
          <w:sz w:val="28"/>
          <w:szCs w:val="28"/>
        </w:rPr>
        <w:sectPr w:rsidR="000008AF">
          <w:pgSz w:w="11906" w:h="16838"/>
          <w:pgMar w:top="1440" w:right="1800" w:bottom="1440" w:left="1800" w:header="720" w:footer="720" w:gutter="0"/>
          <w:pgNumType w:fmt="numberInDash"/>
          <w:cols w:space="720"/>
          <w:docGrid w:type="lines" w:linePitch="312"/>
        </w:sect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17191C">
      <w:pPr>
        <w:jc w:val="center"/>
        <w:outlineLvl w:val="0"/>
        <w:rPr>
          <w:rFonts w:ascii="黑体" w:eastAsia="黑体" w:hAnsi="黑体" w:cs="黑体"/>
          <w:sz w:val="48"/>
          <w:szCs w:val="48"/>
        </w:rPr>
      </w:pPr>
      <w:r>
        <w:rPr>
          <w:rFonts w:ascii="黑体" w:eastAsia="黑体" w:hAnsi="黑体" w:cs="黑体" w:hint="eastAsia"/>
          <w:sz w:val="48"/>
          <w:szCs w:val="48"/>
        </w:rPr>
        <w:t>第二部分  2019年度部门决算表</w:t>
      </w: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sectPr w:rsidR="000008AF">
          <w:pgSz w:w="11906" w:h="16838"/>
          <w:pgMar w:top="1440" w:right="1797" w:bottom="1440" w:left="1797" w:header="720" w:footer="720" w:gutter="0"/>
          <w:pgNumType w:fmt="numberInDash"/>
          <w:cols w:space="720"/>
          <w:docGrid w:type="lines" w:linePitch="312"/>
        </w:sectPr>
      </w:pPr>
    </w:p>
    <w:p w:rsidR="000008AF" w:rsidRDefault="0017191C">
      <w:pPr>
        <w:widowControl/>
        <w:jc w:val="left"/>
        <w:rPr>
          <w:rFonts w:ascii="黑体" w:eastAsia="黑体" w:hAnsi="宋体" w:cs="宋体"/>
          <w:kern w:val="0"/>
          <w:sz w:val="28"/>
          <w:szCs w:val="28"/>
        </w:rPr>
        <w:sectPr w:rsidR="000008AF">
          <w:pgSz w:w="16838" w:h="11906" w:orient="landscape"/>
          <w:pgMar w:top="1797" w:right="1440" w:bottom="1797" w:left="1440" w:header="720" w:footer="720" w:gutter="0"/>
          <w:pgNumType w:fmt="numberInDash"/>
          <w:cols w:space="720"/>
          <w:docGrid w:type="lines" w:linePitch="312"/>
        </w:sectPr>
      </w:pPr>
      <w:r>
        <w:rPr>
          <w:rFonts w:ascii="黑体" w:eastAsia="黑体" w:hAnsi="宋体" w:cs="宋体"/>
          <w:noProof/>
          <w:kern w:val="0"/>
          <w:sz w:val="28"/>
          <w:szCs w:val="28"/>
        </w:rPr>
        <w:lastRenderedPageBreak/>
        <w:drawing>
          <wp:inline distT="0" distB="0" distL="0" distR="0">
            <wp:extent cx="4710904" cy="8518917"/>
            <wp:effectExtent l="1905000" t="0" r="1880870" b="0"/>
            <wp:docPr id="2" name="图片 1" descr="扫描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扫描0010.jpg"/>
                    <pic:cNvPicPr>
                      <a:picLocks noChangeAspect="1"/>
                    </pic:cNvPicPr>
                  </pic:nvPicPr>
                  <pic:blipFill>
                    <a:blip r:embed="rId12" cstate="print"/>
                    <a:stretch>
                      <a:fillRect/>
                    </a:stretch>
                  </pic:blipFill>
                  <pic:spPr>
                    <a:xfrm rot="16200000">
                      <a:off x="0" y="0"/>
                      <a:ext cx="4718590" cy="8532815"/>
                    </a:xfrm>
                    <a:prstGeom prst="rect">
                      <a:avLst/>
                    </a:prstGeom>
                  </pic:spPr>
                </pic:pic>
              </a:graphicData>
            </a:graphic>
          </wp:inline>
        </w:drawing>
      </w:r>
    </w:p>
    <w:p w:rsidR="000008AF" w:rsidRDefault="0017191C">
      <w:pPr>
        <w:rPr>
          <w:rFonts w:ascii="仿宋_GB2312" w:eastAsia="仿宋_GB2312" w:hAnsi="仿宋_GB2312" w:cs="仿宋_GB2312"/>
          <w:sz w:val="32"/>
          <w:szCs w:val="32"/>
        </w:rPr>
      </w:pPr>
      <w:r>
        <w:rPr>
          <w:rFonts w:ascii="仿宋_GB2312" w:eastAsia="仿宋_GB2312" w:hAnsi="仿宋_GB2312" w:cs="仿宋_GB2312"/>
          <w:noProof/>
          <w:sz w:val="32"/>
          <w:szCs w:val="32"/>
        </w:rPr>
        <w:lastRenderedPageBreak/>
        <w:drawing>
          <wp:inline distT="0" distB="0" distL="0" distR="0">
            <wp:extent cx="5129530" cy="8120659"/>
            <wp:effectExtent l="1504950" t="0" r="1480820" b="0"/>
            <wp:docPr id="3" name="图片 2" descr="扫描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扫描0011.jpg"/>
                    <pic:cNvPicPr>
                      <a:picLocks noChangeAspect="1"/>
                    </pic:cNvPicPr>
                  </pic:nvPicPr>
                  <pic:blipFill>
                    <a:blip r:embed="rId13" cstate="print"/>
                    <a:stretch>
                      <a:fillRect/>
                    </a:stretch>
                  </pic:blipFill>
                  <pic:spPr>
                    <a:xfrm rot="16200000">
                      <a:off x="0" y="0"/>
                      <a:ext cx="5141156" cy="8139064"/>
                    </a:xfrm>
                    <a:prstGeom prst="rect">
                      <a:avLst/>
                    </a:prstGeom>
                  </pic:spPr>
                </pic:pic>
              </a:graphicData>
            </a:graphic>
          </wp:inline>
        </w:drawing>
      </w:r>
    </w:p>
    <w:p w:rsidR="000008AF" w:rsidRDefault="000008AF">
      <w:pPr>
        <w:rPr>
          <w:rFonts w:ascii="仿宋_GB2312" w:eastAsia="仿宋_GB2312" w:hAnsi="仿宋_GB2312" w:cs="仿宋_GB2312"/>
          <w:sz w:val="32"/>
          <w:szCs w:val="32"/>
        </w:rPr>
        <w:sectPr w:rsidR="000008AF">
          <w:pgSz w:w="16838" w:h="11906" w:orient="landscape"/>
          <w:pgMar w:top="1800" w:right="1440" w:bottom="1800" w:left="1440" w:header="720" w:footer="720" w:gutter="0"/>
          <w:pgNumType w:fmt="numberInDash"/>
          <w:cols w:space="720"/>
          <w:docGrid w:type="lines" w:linePitch="312"/>
        </w:sectPr>
      </w:pPr>
    </w:p>
    <w:p w:rsidR="000008AF" w:rsidRDefault="0017191C" w:rsidP="00E129ED">
      <w:pPr>
        <w:jc w:val="center"/>
      </w:pPr>
      <w:r>
        <w:rPr>
          <w:noProof/>
        </w:rPr>
        <w:lastRenderedPageBreak/>
        <w:drawing>
          <wp:inline distT="0" distB="0" distL="0" distR="0">
            <wp:extent cx="5655813" cy="7775326"/>
            <wp:effectExtent l="1066800" t="0" r="1031240" b="0"/>
            <wp:docPr id="4" name="图片 3" descr="扫描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扫描0012.jpg"/>
                    <pic:cNvPicPr>
                      <a:picLocks noChangeAspect="1"/>
                    </pic:cNvPicPr>
                  </pic:nvPicPr>
                  <pic:blipFill>
                    <a:blip r:embed="rId14" cstate="print"/>
                    <a:stretch>
                      <a:fillRect/>
                    </a:stretch>
                  </pic:blipFill>
                  <pic:spPr>
                    <a:xfrm rot="16200000">
                      <a:off x="0" y="0"/>
                      <a:ext cx="5674130" cy="7800507"/>
                    </a:xfrm>
                    <a:prstGeom prst="rect">
                      <a:avLst/>
                    </a:prstGeom>
                  </pic:spPr>
                </pic:pic>
              </a:graphicData>
            </a:graphic>
          </wp:inline>
        </w:drawing>
      </w:r>
      <w:r>
        <w:br w:type="page"/>
      </w:r>
      <w:r>
        <w:rPr>
          <w:noProof/>
        </w:rPr>
        <w:lastRenderedPageBreak/>
        <w:drawing>
          <wp:inline distT="0" distB="0" distL="0" distR="0">
            <wp:extent cx="6483985" cy="7475784"/>
            <wp:effectExtent l="495300" t="0" r="469265" b="0"/>
            <wp:docPr id="5" name="图片 4" descr="扫描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扫描0013.jpg"/>
                    <pic:cNvPicPr>
                      <a:picLocks noChangeAspect="1"/>
                    </pic:cNvPicPr>
                  </pic:nvPicPr>
                  <pic:blipFill>
                    <a:blip r:embed="rId15" cstate="print"/>
                    <a:stretch>
                      <a:fillRect/>
                    </a:stretch>
                  </pic:blipFill>
                  <pic:spPr>
                    <a:xfrm rot="16200000">
                      <a:off x="0" y="0"/>
                      <a:ext cx="6515285" cy="7511872"/>
                    </a:xfrm>
                    <a:prstGeom prst="rect">
                      <a:avLst/>
                    </a:prstGeom>
                  </pic:spPr>
                </pic:pic>
              </a:graphicData>
            </a:graphic>
          </wp:inline>
        </w:drawing>
      </w:r>
      <w:r>
        <w:br w:type="page"/>
      </w:r>
      <w:r>
        <w:rPr>
          <w:noProof/>
        </w:rPr>
        <w:lastRenderedPageBreak/>
        <w:drawing>
          <wp:inline distT="0" distB="0" distL="0" distR="0">
            <wp:extent cx="6572885" cy="7457289"/>
            <wp:effectExtent l="438150" t="0" r="418465" b="0"/>
            <wp:docPr id="6" name="图片 5" descr="扫描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扫描0014.jpg"/>
                    <pic:cNvPicPr>
                      <a:picLocks noChangeAspect="1"/>
                    </pic:cNvPicPr>
                  </pic:nvPicPr>
                  <pic:blipFill>
                    <a:blip r:embed="rId16" cstate="print"/>
                    <a:stretch>
                      <a:fillRect/>
                    </a:stretch>
                  </pic:blipFill>
                  <pic:spPr>
                    <a:xfrm rot="16200000">
                      <a:off x="0" y="0"/>
                      <a:ext cx="6589834" cy="7476518"/>
                    </a:xfrm>
                    <a:prstGeom prst="rect">
                      <a:avLst/>
                    </a:prstGeom>
                  </pic:spPr>
                </pic:pic>
              </a:graphicData>
            </a:graphic>
          </wp:inline>
        </w:drawing>
      </w:r>
      <w:r>
        <w:br w:type="page"/>
      </w:r>
      <w:r>
        <w:rPr>
          <w:noProof/>
        </w:rPr>
        <w:lastRenderedPageBreak/>
        <w:drawing>
          <wp:inline distT="0" distB="0" distL="0" distR="0">
            <wp:extent cx="4936396" cy="8066851"/>
            <wp:effectExtent l="1562100" t="0" r="1541145" b="0"/>
            <wp:docPr id="7" name="图片 6" descr="扫描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扫描0015.jpg"/>
                    <pic:cNvPicPr>
                      <a:picLocks noChangeAspect="1"/>
                    </pic:cNvPicPr>
                  </pic:nvPicPr>
                  <pic:blipFill>
                    <a:blip r:embed="rId17" cstate="print"/>
                    <a:stretch>
                      <a:fillRect/>
                    </a:stretch>
                  </pic:blipFill>
                  <pic:spPr>
                    <a:xfrm rot="16200000">
                      <a:off x="0" y="0"/>
                      <a:ext cx="4945351" cy="8081485"/>
                    </a:xfrm>
                    <a:prstGeom prst="rect">
                      <a:avLst/>
                    </a:prstGeom>
                  </pic:spPr>
                </pic:pic>
              </a:graphicData>
            </a:graphic>
          </wp:inline>
        </w:drawing>
      </w:r>
      <w:r>
        <w:br w:type="page"/>
      </w:r>
    </w:p>
    <w:p w:rsidR="000008AF" w:rsidRDefault="0017191C">
      <w:r>
        <w:rPr>
          <w:noProof/>
        </w:rPr>
        <w:lastRenderedPageBreak/>
        <w:drawing>
          <wp:inline distT="0" distB="0" distL="0" distR="0">
            <wp:extent cx="5639883" cy="8228592"/>
            <wp:effectExtent l="1295400" t="0" r="1275715" b="0"/>
            <wp:docPr id="8" name="图片 7" descr="扫描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扫描0016.jpg"/>
                    <pic:cNvPicPr>
                      <a:picLocks noChangeAspect="1"/>
                    </pic:cNvPicPr>
                  </pic:nvPicPr>
                  <pic:blipFill>
                    <a:blip r:embed="rId18" cstate="print"/>
                    <a:stretch>
                      <a:fillRect/>
                    </a:stretch>
                  </pic:blipFill>
                  <pic:spPr>
                    <a:xfrm rot="16200000">
                      <a:off x="0" y="0"/>
                      <a:ext cx="5657248" cy="8253928"/>
                    </a:xfrm>
                    <a:prstGeom prst="rect">
                      <a:avLst/>
                    </a:prstGeom>
                  </pic:spPr>
                </pic:pic>
              </a:graphicData>
            </a:graphic>
          </wp:inline>
        </w:drawing>
      </w:r>
    </w:p>
    <w:tbl>
      <w:tblPr>
        <w:tblW w:w="0" w:type="auto"/>
        <w:tblLayout w:type="fixed"/>
        <w:tblCellMar>
          <w:left w:w="0" w:type="dxa"/>
          <w:right w:w="0" w:type="dxa"/>
        </w:tblCellMar>
        <w:tblLook w:val="0000" w:firstRow="0" w:lastRow="0" w:firstColumn="0" w:lastColumn="0" w:noHBand="0" w:noVBand="0"/>
      </w:tblPr>
      <w:tblGrid>
        <w:gridCol w:w="1151"/>
        <w:gridCol w:w="1149"/>
        <w:gridCol w:w="1150"/>
        <w:gridCol w:w="1150"/>
        <w:gridCol w:w="1151"/>
        <w:gridCol w:w="1150"/>
        <w:gridCol w:w="1151"/>
        <w:gridCol w:w="1151"/>
        <w:gridCol w:w="1151"/>
        <w:gridCol w:w="1151"/>
        <w:gridCol w:w="1151"/>
        <w:gridCol w:w="1151"/>
      </w:tblGrid>
      <w:tr w:rsidR="00A90E9B" w:rsidTr="000F4B0B">
        <w:trPr>
          <w:trHeight w:val="600"/>
        </w:trPr>
        <w:tc>
          <w:tcPr>
            <w:tcW w:w="13807" w:type="dxa"/>
            <w:gridSpan w:val="12"/>
            <w:tcBorders>
              <w:top w:val="nil"/>
              <w:left w:val="nil"/>
              <w:bottom w:val="nil"/>
              <w:right w:val="nil"/>
            </w:tcBorders>
            <w:shd w:val="clear" w:color="auto" w:fill="FFFFFF"/>
            <w:tcMar>
              <w:top w:w="15" w:type="dxa"/>
              <w:left w:w="15" w:type="dxa"/>
              <w:right w:w="15" w:type="dxa"/>
            </w:tcMar>
            <w:vAlign w:val="center"/>
          </w:tcPr>
          <w:p w:rsidR="00A90E9B" w:rsidRDefault="00A90E9B" w:rsidP="000F4B0B">
            <w:pPr>
              <w:jc w:val="center"/>
              <w:textAlignment w:val="center"/>
              <w:rPr>
                <w:rFonts w:ascii="华文中宋" w:eastAsia="华文中宋" w:hAnsi="华文中宋" w:cs="华文中宋"/>
                <w:color w:val="000000"/>
                <w:kern w:val="0"/>
                <w:sz w:val="32"/>
                <w:szCs w:val="32"/>
                <w:lang w:bidi="ar"/>
              </w:rPr>
            </w:pPr>
            <w:r>
              <w:rPr>
                <w:rFonts w:ascii="华文中宋" w:eastAsia="华文中宋" w:hAnsi="华文中宋" w:cs="华文中宋" w:hint="eastAsia"/>
                <w:color w:val="000000"/>
                <w:kern w:val="0"/>
                <w:sz w:val="32"/>
                <w:szCs w:val="32"/>
                <w:lang w:bidi="ar"/>
              </w:rPr>
              <w:lastRenderedPageBreak/>
              <w:t>一般公共预算财政拨款“三公”经费支出决算表</w:t>
            </w:r>
          </w:p>
          <w:p w:rsidR="00A90E9B" w:rsidRPr="00C55CF8" w:rsidRDefault="00A90E9B" w:rsidP="000F4B0B">
            <w:pPr>
              <w:jc w:val="left"/>
              <w:textAlignment w:val="center"/>
              <w:rPr>
                <w:rFonts w:ascii="宋体" w:hAnsi="宋体" w:cs="华文中宋"/>
                <w:color w:val="000000"/>
                <w:sz w:val="20"/>
                <w:szCs w:val="20"/>
              </w:rPr>
            </w:pPr>
            <w:r w:rsidRPr="00C55CF8">
              <w:rPr>
                <w:rFonts w:ascii="华文中宋" w:eastAsia="华文中宋" w:hAnsi="华文中宋" w:cs="华文中宋" w:hint="eastAsia"/>
                <w:color w:val="000000"/>
                <w:sz w:val="32"/>
                <w:szCs w:val="32"/>
              </w:rPr>
              <w:tab/>
            </w:r>
            <w:r w:rsidRPr="00C55CF8">
              <w:rPr>
                <w:rFonts w:ascii="华文中宋" w:eastAsia="华文中宋" w:hAnsi="华文中宋" w:cs="华文中宋" w:hint="eastAsia"/>
                <w:color w:val="000000"/>
                <w:sz w:val="32"/>
                <w:szCs w:val="32"/>
              </w:rPr>
              <w:tab/>
            </w:r>
            <w:r w:rsidRPr="00C55CF8">
              <w:rPr>
                <w:rFonts w:ascii="华文中宋" w:eastAsia="华文中宋" w:hAnsi="华文中宋" w:cs="华文中宋" w:hint="eastAsia"/>
                <w:color w:val="000000"/>
                <w:sz w:val="32"/>
                <w:szCs w:val="32"/>
              </w:rPr>
              <w:tab/>
            </w:r>
            <w:r w:rsidRPr="00C55CF8">
              <w:rPr>
                <w:rFonts w:ascii="华文中宋" w:eastAsia="华文中宋" w:hAnsi="华文中宋" w:cs="华文中宋" w:hint="eastAsia"/>
                <w:color w:val="000000"/>
                <w:sz w:val="32"/>
                <w:szCs w:val="32"/>
              </w:rPr>
              <w:tab/>
            </w:r>
            <w:r w:rsidRPr="00C55CF8">
              <w:rPr>
                <w:rFonts w:ascii="华文中宋" w:eastAsia="华文中宋" w:hAnsi="华文中宋" w:cs="华文中宋" w:hint="eastAsia"/>
                <w:color w:val="000000"/>
                <w:sz w:val="32"/>
                <w:szCs w:val="32"/>
              </w:rPr>
              <w:tab/>
            </w:r>
            <w:r>
              <w:rPr>
                <w:rFonts w:ascii="华文中宋" w:eastAsia="华文中宋" w:hAnsi="华文中宋" w:cs="华文中宋"/>
                <w:color w:val="000000"/>
                <w:sz w:val="32"/>
                <w:szCs w:val="32"/>
              </w:rPr>
              <w:t xml:space="preserve">                                                                </w:t>
            </w:r>
            <w:r w:rsidRPr="00C55CF8">
              <w:rPr>
                <w:rFonts w:ascii="宋体" w:hAnsi="宋体" w:cs="华文中宋" w:hint="eastAsia"/>
                <w:color w:val="000000"/>
                <w:sz w:val="20"/>
                <w:szCs w:val="20"/>
              </w:rPr>
              <w:t>公开0</w:t>
            </w:r>
            <w:r>
              <w:rPr>
                <w:rFonts w:ascii="宋体" w:hAnsi="宋体" w:cs="华文中宋"/>
                <w:color w:val="000000"/>
                <w:sz w:val="20"/>
                <w:szCs w:val="20"/>
              </w:rPr>
              <w:t>7</w:t>
            </w:r>
            <w:r w:rsidRPr="00C55CF8">
              <w:rPr>
                <w:rFonts w:ascii="宋体" w:hAnsi="宋体" w:cs="华文中宋" w:hint="eastAsia"/>
                <w:color w:val="000000"/>
                <w:sz w:val="20"/>
                <w:szCs w:val="20"/>
              </w:rPr>
              <w:t>表</w:t>
            </w:r>
          </w:p>
          <w:p w:rsidR="00A90E9B" w:rsidRDefault="00A90E9B" w:rsidP="00A90E9B">
            <w:pPr>
              <w:jc w:val="left"/>
              <w:textAlignment w:val="center"/>
              <w:rPr>
                <w:rFonts w:ascii="华文中宋" w:eastAsia="华文中宋" w:hAnsi="华文中宋" w:cs="华文中宋"/>
                <w:color w:val="000000"/>
                <w:sz w:val="32"/>
                <w:szCs w:val="32"/>
              </w:rPr>
            </w:pPr>
            <w:r w:rsidRPr="00C55CF8">
              <w:rPr>
                <w:rFonts w:ascii="宋体" w:hAnsi="宋体" w:cs="华文中宋" w:hint="eastAsia"/>
                <w:color w:val="000000"/>
                <w:sz w:val="20"/>
                <w:szCs w:val="20"/>
              </w:rPr>
              <w:t>部门：信阳市平桥区</w:t>
            </w:r>
            <w:r>
              <w:rPr>
                <w:rFonts w:ascii="宋体" w:hAnsi="宋体" w:cs="华文中宋" w:hint="eastAsia"/>
                <w:color w:val="000000"/>
                <w:sz w:val="20"/>
                <w:szCs w:val="20"/>
              </w:rPr>
              <w:t>教育体育</w:t>
            </w:r>
            <w:r>
              <w:rPr>
                <w:rFonts w:ascii="宋体" w:hAnsi="宋体" w:cs="华文中宋"/>
                <w:color w:val="000000"/>
                <w:sz w:val="20"/>
                <w:szCs w:val="20"/>
              </w:rPr>
              <w:t>局</w:t>
            </w:r>
            <w:r w:rsidRPr="00C55CF8">
              <w:rPr>
                <w:rFonts w:ascii="宋体" w:hAnsi="宋体" w:cs="华文中宋" w:hint="eastAsia"/>
                <w:color w:val="000000"/>
                <w:sz w:val="20"/>
                <w:szCs w:val="20"/>
              </w:rPr>
              <w:tab/>
            </w:r>
            <w:r w:rsidRPr="00C55CF8">
              <w:rPr>
                <w:rFonts w:ascii="宋体" w:hAnsi="宋体" w:cs="华文中宋" w:hint="eastAsia"/>
                <w:color w:val="000000"/>
                <w:sz w:val="20"/>
                <w:szCs w:val="20"/>
              </w:rPr>
              <w:tab/>
            </w:r>
            <w:r w:rsidRPr="00C55CF8">
              <w:rPr>
                <w:rFonts w:ascii="宋体" w:hAnsi="宋体" w:cs="华文中宋" w:hint="eastAsia"/>
                <w:color w:val="000000"/>
                <w:sz w:val="20"/>
                <w:szCs w:val="20"/>
              </w:rPr>
              <w:tab/>
            </w:r>
            <w:r w:rsidRPr="00C55CF8">
              <w:rPr>
                <w:rFonts w:ascii="宋体" w:hAnsi="宋体" w:cs="华文中宋" w:hint="eastAsia"/>
                <w:color w:val="000000"/>
                <w:sz w:val="20"/>
                <w:szCs w:val="20"/>
              </w:rPr>
              <w:tab/>
            </w:r>
            <w:r w:rsidRPr="00C55CF8">
              <w:rPr>
                <w:rFonts w:ascii="宋体" w:hAnsi="宋体" w:cs="华文中宋" w:hint="eastAsia"/>
                <w:color w:val="000000"/>
                <w:sz w:val="20"/>
                <w:szCs w:val="20"/>
              </w:rPr>
              <w:tab/>
            </w:r>
            <w:r w:rsidRPr="00C55CF8">
              <w:rPr>
                <w:rFonts w:ascii="宋体" w:hAnsi="宋体" w:cs="华文中宋"/>
                <w:color w:val="000000"/>
                <w:sz w:val="20"/>
                <w:szCs w:val="20"/>
              </w:rPr>
              <w:t xml:space="preserve">                                                                         </w:t>
            </w:r>
            <w:r w:rsidRPr="00C55CF8">
              <w:rPr>
                <w:rFonts w:ascii="宋体" w:hAnsi="宋体" w:cs="华文中宋" w:hint="eastAsia"/>
                <w:color w:val="000000"/>
                <w:sz w:val="20"/>
                <w:szCs w:val="20"/>
              </w:rPr>
              <w:t>单位：万元</w:t>
            </w:r>
          </w:p>
        </w:tc>
      </w:tr>
      <w:tr w:rsidR="00A90E9B" w:rsidTr="000F4B0B">
        <w:trPr>
          <w:trHeight w:val="559"/>
        </w:trPr>
        <w:tc>
          <w:tcPr>
            <w:tcW w:w="6901" w:type="dxa"/>
            <w:gridSpan w:val="6"/>
            <w:tcBorders>
              <w:top w:val="single" w:sz="8" w:space="0" w:color="000000"/>
              <w:left w:val="single" w:sz="8"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预算数</w:t>
            </w:r>
          </w:p>
        </w:tc>
        <w:tc>
          <w:tcPr>
            <w:tcW w:w="6906" w:type="dxa"/>
            <w:gridSpan w:val="6"/>
            <w:tcBorders>
              <w:top w:val="single" w:sz="8" w:space="0" w:color="000000"/>
              <w:left w:val="single" w:sz="4" w:space="0" w:color="000000"/>
              <w:bottom w:val="single" w:sz="4" w:space="0" w:color="000000"/>
              <w:right w:val="single" w:sz="8"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决算数</w:t>
            </w:r>
          </w:p>
        </w:tc>
      </w:tr>
      <w:tr w:rsidR="00A90E9B" w:rsidTr="000F4B0B">
        <w:trPr>
          <w:trHeight w:val="600"/>
        </w:trPr>
        <w:tc>
          <w:tcPr>
            <w:tcW w:w="1151" w:type="dxa"/>
            <w:vMerge w:val="restart"/>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14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因公出国（境）费</w:t>
            </w:r>
          </w:p>
        </w:tc>
        <w:tc>
          <w:tcPr>
            <w:tcW w:w="3451"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公务用车购置及运行费</w:t>
            </w:r>
          </w:p>
        </w:tc>
        <w:tc>
          <w:tcPr>
            <w:tcW w:w="11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公务接待费</w:t>
            </w:r>
          </w:p>
        </w:tc>
        <w:tc>
          <w:tcPr>
            <w:tcW w:w="115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合计</w:t>
            </w:r>
          </w:p>
        </w:tc>
        <w:tc>
          <w:tcPr>
            <w:tcW w:w="11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因公出国（境）费</w:t>
            </w:r>
          </w:p>
        </w:tc>
        <w:tc>
          <w:tcPr>
            <w:tcW w:w="3453" w:type="dxa"/>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公务用车购置及运行费</w:t>
            </w:r>
          </w:p>
        </w:tc>
        <w:tc>
          <w:tcPr>
            <w:tcW w:w="1151" w:type="dxa"/>
            <w:vMerge w:val="restart"/>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公务接待费</w:t>
            </w:r>
          </w:p>
        </w:tc>
      </w:tr>
      <w:tr w:rsidR="00A90E9B" w:rsidTr="000F4B0B">
        <w:trPr>
          <w:trHeight w:val="600"/>
        </w:trPr>
        <w:tc>
          <w:tcPr>
            <w:tcW w:w="1151" w:type="dxa"/>
            <w:vMerge/>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rPr>
                <w:rFonts w:ascii="宋体" w:hAnsi="宋体" w:cs="宋体"/>
                <w:color w:val="000000"/>
                <w:sz w:val="20"/>
                <w:szCs w:val="20"/>
              </w:rPr>
            </w:pPr>
          </w:p>
        </w:tc>
        <w:tc>
          <w:tcPr>
            <w:tcW w:w="114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rPr>
                <w:rFonts w:ascii="宋体" w:hAnsi="宋体" w:cs="宋体"/>
                <w:color w:val="000000"/>
                <w:sz w:val="20"/>
                <w:szCs w:val="20"/>
              </w:rPr>
            </w:pPr>
          </w:p>
        </w:tc>
        <w:tc>
          <w:tcPr>
            <w:tcW w:w="115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小计</w:t>
            </w:r>
          </w:p>
        </w:tc>
        <w:tc>
          <w:tcPr>
            <w:tcW w:w="1150"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公务用车</w:t>
            </w:r>
            <w:r>
              <w:rPr>
                <w:rFonts w:ascii="宋体" w:hAnsi="宋体" w:cs="宋体" w:hint="eastAsia"/>
                <w:color w:val="000000"/>
                <w:kern w:val="0"/>
                <w:sz w:val="20"/>
                <w:szCs w:val="20"/>
                <w:lang w:bidi="ar"/>
              </w:rPr>
              <w:br/>
              <w:t>购置费</w:t>
            </w:r>
          </w:p>
        </w:tc>
        <w:tc>
          <w:tcPr>
            <w:tcW w:w="1151"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公务用车</w:t>
            </w:r>
            <w:r>
              <w:rPr>
                <w:rFonts w:ascii="宋体" w:hAnsi="宋体" w:cs="宋体" w:hint="eastAsia"/>
                <w:color w:val="000000"/>
                <w:kern w:val="0"/>
                <w:sz w:val="20"/>
                <w:szCs w:val="20"/>
                <w:lang w:bidi="ar"/>
              </w:rPr>
              <w:br/>
              <w:t>运行费</w:t>
            </w:r>
          </w:p>
        </w:tc>
        <w:tc>
          <w:tcPr>
            <w:tcW w:w="11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rPr>
                <w:rFonts w:ascii="宋体" w:hAnsi="宋体" w:cs="宋体"/>
                <w:color w:val="000000"/>
                <w:sz w:val="20"/>
                <w:szCs w:val="20"/>
              </w:rPr>
            </w:pPr>
          </w:p>
        </w:tc>
        <w:tc>
          <w:tcPr>
            <w:tcW w:w="115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A90E9B" w:rsidRDefault="00A90E9B" w:rsidP="000F4B0B">
            <w:pPr>
              <w:jc w:val="center"/>
              <w:rPr>
                <w:rFonts w:ascii="宋体" w:hAnsi="宋体" w:cs="宋体"/>
                <w:color w:val="000000"/>
                <w:sz w:val="20"/>
                <w:szCs w:val="20"/>
              </w:rPr>
            </w:pPr>
          </w:p>
        </w:tc>
        <w:tc>
          <w:tcPr>
            <w:tcW w:w="11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rPr>
                <w:rFonts w:ascii="宋体" w:hAnsi="宋体" w:cs="宋体"/>
                <w:color w:val="000000"/>
                <w:sz w:val="20"/>
                <w:szCs w:val="20"/>
              </w:rPr>
            </w:pPr>
          </w:p>
        </w:tc>
        <w:tc>
          <w:tcPr>
            <w:tcW w:w="1151"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小计</w:t>
            </w:r>
          </w:p>
        </w:tc>
        <w:tc>
          <w:tcPr>
            <w:tcW w:w="1151"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公务用车</w:t>
            </w:r>
            <w:r>
              <w:rPr>
                <w:rFonts w:ascii="宋体" w:hAnsi="宋体" w:cs="宋体" w:hint="eastAsia"/>
                <w:color w:val="000000"/>
                <w:kern w:val="0"/>
                <w:sz w:val="20"/>
                <w:szCs w:val="20"/>
                <w:lang w:bidi="ar"/>
              </w:rPr>
              <w:br/>
              <w:t>购置费</w:t>
            </w:r>
          </w:p>
        </w:tc>
        <w:tc>
          <w:tcPr>
            <w:tcW w:w="1151" w:type="dxa"/>
            <w:tcBorders>
              <w:top w:val="nil"/>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公务用车</w:t>
            </w:r>
            <w:r>
              <w:rPr>
                <w:rFonts w:ascii="宋体" w:hAnsi="宋体" w:cs="宋体" w:hint="eastAsia"/>
                <w:color w:val="000000"/>
                <w:kern w:val="0"/>
                <w:sz w:val="20"/>
                <w:szCs w:val="20"/>
                <w:lang w:bidi="ar"/>
              </w:rPr>
              <w:br/>
              <w:t>运行费</w:t>
            </w:r>
          </w:p>
        </w:tc>
        <w:tc>
          <w:tcPr>
            <w:tcW w:w="1151" w:type="dxa"/>
            <w:vMerge/>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rsidR="00A90E9B" w:rsidRDefault="00A90E9B" w:rsidP="000F4B0B">
            <w:pPr>
              <w:jc w:val="center"/>
              <w:rPr>
                <w:rFonts w:ascii="宋体" w:hAnsi="宋体" w:cs="宋体"/>
                <w:color w:val="000000"/>
                <w:sz w:val="20"/>
                <w:szCs w:val="20"/>
              </w:rPr>
            </w:pPr>
          </w:p>
        </w:tc>
      </w:tr>
      <w:tr w:rsidR="00A90E9B" w:rsidTr="000F4B0B">
        <w:trPr>
          <w:trHeight w:val="559"/>
        </w:trPr>
        <w:tc>
          <w:tcPr>
            <w:tcW w:w="1151" w:type="dxa"/>
            <w:tcBorders>
              <w:top w:val="single" w:sz="4" w:space="0" w:color="000000"/>
              <w:left w:val="single" w:sz="8"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w:t>
            </w:r>
          </w:p>
        </w:tc>
        <w:tc>
          <w:tcPr>
            <w:tcW w:w="114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w:t>
            </w:r>
          </w:p>
        </w:tc>
        <w:tc>
          <w:tcPr>
            <w:tcW w:w="11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w:t>
            </w:r>
          </w:p>
        </w:tc>
        <w:tc>
          <w:tcPr>
            <w:tcW w:w="11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w:t>
            </w:r>
          </w:p>
        </w:tc>
        <w:tc>
          <w:tcPr>
            <w:tcW w:w="11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w:t>
            </w:r>
          </w:p>
        </w:tc>
        <w:tc>
          <w:tcPr>
            <w:tcW w:w="115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6</w:t>
            </w:r>
          </w:p>
        </w:tc>
        <w:tc>
          <w:tcPr>
            <w:tcW w:w="11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7</w:t>
            </w:r>
          </w:p>
        </w:tc>
        <w:tc>
          <w:tcPr>
            <w:tcW w:w="11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8</w:t>
            </w:r>
          </w:p>
        </w:tc>
        <w:tc>
          <w:tcPr>
            <w:tcW w:w="11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9</w:t>
            </w:r>
          </w:p>
        </w:tc>
        <w:tc>
          <w:tcPr>
            <w:tcW w:w="11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10</w:t>
            </w:r>
          </w:p>
        </w:tc>
        <w:tc>
          <w:tcPr>
            <w:tcW w:w="115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1151" w:type="dxa"/>
            <w:tcBorders>
              <w:top w:val="single" w:sz="4" w:space="0" w:color="000000"/>
              <w:left w:val="single" w:sz="4" w:space="0" w:color="000000"/>
              <w:bottom w:val="single" w:sz="4" w:space="0" w:color="000000"/>
              <w:right w:val="single" w:sz="8" w:space="0" w:color="000000"/>
            </w:tcBorders>
            <w:tcMar>
              <w:top w:w="15" w:type="dxa"/>
              <w:left w:w="15" w:type="dxa"/>
              <w:right w:w="15" w:type="dxa"/>
            </w:tcMar>
            <w:vAlign w:val="center"/>
          </w:tcPr>
          <w:p w:rsidR="00A90E9B" w:rsidRDefault="00A90E9B" w:rsidP="000F4B0B">
            <w:pPr>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r>
      <w:tr w:rsidR="00A90E9B" w:rsidTr="000F4B0B">
        <w:trPr>
          <w:trHeight w:val="855"/>
        </w:trPr>
        <w:tc>
          <w:tcPr>
            <w:tcW w:w="1151" w:type="dxa"/>
            <w:tcBorders>
              <w:top w:val="single" w:sz="4" w:space="0" w:color="000000"/>
              <w:left w:val="single" w:sz="8"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color w:val="000000"/>
                <w:sz w:val="20"/>
                <w:szCs w:val="20"/>
              </w:rPr>
              <w:t>123.66</w:t>
            </w:r>
          </w:p>
        </w:tc>
        <w:tc>
          <w:tcPr>
            <w:tcW w:w="1149" w:type="dxa"/>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hint="eastAsia"/>
                <w:color w:val="000000"/>
                <w:sz w:val="20"/>
                <w:szCs w:val="20"/>
              </w:rPr>
              <w:t>0</w:t>
            </w:r>
          </w:p>
        </w:tc>
        <w:tc>
          <w:tcPr>
            <w:tcW w:w="1150" w:type="dxa"/>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color w:val="000000"/>
                <w:sz w:val="20"/>
                <w:szCs w:val="20"/>
              </w:rPr>
              <w:t>3.3</w:t>
            </w:r>
          </w:p>
        </w:tc>
        <w:tc>
          <w:tcPr>
            <w:tcW w:w="1150" w:type="dxa"/>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hint="eastAsia"/>
                <w:color w:val="000000"/>
                <w:sz w:val="20"/>
                <w:szCs w:val="20"/>
              </w:rPr>
              <w:t>0</w:t>
            </w:r>
          </w:p>
        </w:tc>
        <w:tc>
          <w:tcPr>
            <w:tcW w:w="1151" w:type="dxa"/>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color w:val="000000"/>
                <w:sz w:val="20"/>
                <w:szCs w:val="20"/>
              </w:rPr>
              <w:t>3.3</w:t>
            </w:r>
          </w:p>
        </w:tc>
        <w:tc>
          <w:tcPr>
            <w:tcW w:w="1150" w:type="dxa"/>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color w:val="000000"/>
                <w:sz w:val="20"/>
                <w:szCs w:val="20"/>
              </w:rPr>
              <w:t>120.36</w:t>
            </w:r>
          </w:p>
        </w:tc>
        <w:tc>
          <w:tcPr>
            <w:tcW w:w="1151" w:type="dxa"/>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color w:val="000000"/>
                <w:sz w:val="20"/>
                <w:szCs w:val="20"/>
              </w:rPr>
              <w:t>113.08</w:t>
            </w:r>
          </w:p>
        </w:tc>
        <w:tc>
          <w:tcPr>
            <w:tcW w:w="1151" w:type="dxa"/>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hint="eastAsia"/>
                <w:color w:val="000000"/>
                <w:sz w:val="20"/>
                <w:szCs w:val="20"/>
              </w:rPr>
              <w:t>0</w:t>
            </w:r>
          </w:p>
        </w:tc>
        <w:tc>
          <w:tcPr>
            <w:tcW w:w="1151" w:type="dxa"/>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color w:val="000000"/>
                <w:sz w:val="20"/>
                <w:szCs w:val="20"/>
              </w:rPr>
              <w:t>3.3</w:t>
            </w:r>
          </w:p>
        </w:tc>
        <w:tc>
          <w:tcPr>
            <w:tcW w:w="1151" w:type="dxa"/>
            <w:tcBorders>
              <w:top w:val="single" w:sz="4" w:space="0" w:color="000000"/>
              <w:left w:val="single" w:sz="4" w:space="0" w:color="000000"/>
              <w:bottom w:val="single" w:sz="8" w:space="0" w:color="000000"/>
              <w:right w:val="single" w:sz="4"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hint="eastAsia"/>
                <w:color w:val="000000"/>
                <w:sz w:val="20"/>
                <w:szCs w:val="20"/>
              </w:rPr>
              <w:t>0</w:t>
            </w:r>
          </w:p>
        </w:tc>
        <w:tc>
          <w:tcPr>
            <w:tcW w:w="1151" w:type="dxa"/>
            <w:tcBorders>
              <w:top w:val="single" w:sz="4" w:space="0" w:color="000000"/>
              <w:left w:val="single" w:sz="4" w:space="0" w:color="000000"/>
              <w:bottom w:val="single" w:sz="8" w:space="0" w:color="000000"/>
              <w:right w:val="nil"/>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color w:val="000000"/>
                <w:sz w:val="20"/>
                <w:szCs w:val="20"/>
              </w:rPr>
              <w:t>3.3</w:t>
            </w:r>
          </w:p>
        </w:tc>
        <w:tc>
          <w:tcPr>
            <w:tcW w:w="1151" w:type="dxa"/>
            <w:tcBorders>
              <w:top w:val="single" w:sz="4" w:space="0" w:color="000000"/>
              <w:left w:val="single" w:sz="4" w:space="0" w:color="000000"/>
              <w:bottom w:val="single" w:sz="8" w:space="0" w:color="000000"/>
              <w:right w:val="single" w:sz="8" w:space="0" w:color="000000"/>
            </w:tcBorders>
            <w:tcMar>
              <w:top w:w="15" w:type="dxa"/>
              <w:left w:w="15" w:type="dxa"/>
              <w:right w:w="15" w:type="dxa"/>
            </w:tcMar>
            <w:vAlign w:val="center"/>
          </w:tcPr>
          <w:p w:rsidR="00A90E9B" w:rsidRDefault="00A90E9B" w:rsidP="000F4B0B">
            <w:pPr>
              <w:rPr>
                <w:rFonts w:ascii="宋体" w:hAnsi="宋体" w:cs="宋体"/>
                <w:color w:val="000000"/>
                <w:sz w:val="20"/>
                <w:szCs w:val="20"/>
              </w:rPr>
            </w:pPr>
            <w:r>
              <w:rPr>
                <w:rFonts w:ascii="宋体" w:hAnsi="宋体" w:cs="宋体"/>
                <w:color w:val="000000"/>
                <w:sz w:val="20"/>
                <w:szCs w:val="20"/>
              </w:rPr>
              <w:t>109.78</w:t>
            </w:r>
          </w:p>
        </w:tc>
      </w:tr>
      <w:tr w:rsidR="00A90E9B" w:rsidTr="000F4B0B">
        <w:trPr>
          <w:trHeight w:val="900"/>
        </w:trPr>
        <w:tc>
          <w:tcPr>
            <w:tcW w:w="13807" w:type="dxa"/>
            <w:gridSpan w:val="12"/>
            <w:tcBorders>
              <w:top w:val="single" w:sz="8" w:space="0" w:color="000000"/>
              <w:left w:val="nil"/>
              <w:bottom w:val="nil"/>
              <w:right w:val="nil"/>
            </w:tcBorders>
            <w:tcMar>
              <w:top w:w="15" w:type="dxa"/>
              <w:left w:w="15" w:type="dxa"/>
              <w:right w:w="15" w:type="dxa"/>
            </w:tcMar>
            <w:vAlign w:val="center"/>
          </w:tcPr>
          <w:p w:rsidR="00A90E9B" w:rsidRDefault="00A90E9B" w:rsidP="000F4B0B">
            <w:pPr>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注：本表反映部门本年度“三公”经费支出预决算情况。其中，</w:t>
            </w:r>
            <w:r>
              <w:rPr>
                <w:rStyle w:val="font41"/>
                <w:rFonts w:hint="default"/>
                <w:sz w:val="20"/>
                <w:szCs w:val="20"/>
                <w:lang w:bidi="ar"/>
              </w:rPr>
              <w:t>预算数为“三公”经费年初预算数，决算数是包括当年一般公共预算财政拨款和以前年度结转资金安排的实际支出。</w:t>
            </w:r>
            <w:r>
              <w:rPr>
                <w:rFonts w:ascii="宋体" w:hAnsi="宋体" w:cs="宋体" w:hint="eastAsia"/>
                <w:color w:val="000000"/>
                <w:kern w:val="0"/>
                <w:sz w:val="20"/>
                <w:szCs w:val="20"/>
                <w:lang w:bidi="ar"/>
              </w:rPr>
              <w:t>本表金额转换为万元时，因四舍五入可能存在尾差。</w:t>
            </w:r>
          </w:p>
        </w:tc>
      </w:tr>
    </w:tbl>
    <w:p w:rsidR="000008AF" w:rsidRPr="00A90E9B" w:rsidRDefault="000008AF"/>
    <w:p w:rsidR="000008AF" w:rsidRDefault="0017191C">
      <w:r>
        <w:rPr>
          <w:noProof/>
        </w:rPr>
        <w:lastRenderedPageBreak/>
        <w:drawing>
          <wp:inline distT="0" distB="0" distL="0" distR="0">
            <wp:extent cx="7851635" cy="8570665"/>
            <wp:effectExtent l="361950" t="0" r="340360" b="0"/>
            <wp:docPr id="9" name="图片 8" descr="扫描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扫描0018.jpg"/>
                    <pic:cNvPicPr>
                      <a:picLocks noChangeAspect="1"/>
                    </pic:cNvPicPr>
                  </pic:nvPicPr>
                  <pic:blipFill>
                    <a:blip r:embed="rId19" cstate="print"/>
                    <a:stretch>
                      <a:fillRect/>
                    </a:stretch>
                  </pic:blipFill>
                  <pic:spPr>
                    <a:xfrm rot="16200000">
                      <a:off x="0" y="0"/>
                      <a:ext cx="7870345" cy="8591089"/>
                    </a:xfrm>
                    <a:prstGeom prst="rect">
                      <a:avLst/>
                    </a:prstGeom>
                  </pic:spPr>
                </pic:pic>
              </a:graphicData>
            </a:graphic>
          </wp:inline>
        </w:drawing>
      </w:r>
    </w:p>
    <w:p w:rsidR="000008AF" w:rsidRDefault="0017191C">
      <w:pPr>
        <w:rPr>
          <w:rFonts w:ascii="仿宋_GB2312" w:eastAsia="仿宋_GB2312" w:hAnsi="仿宋_GB2312" w:cs="仿宋_GB2312"/>
          <w:sz w:val="32"/>
          <w:szCs w:val="32"/>
          <w:highlight w:val="yellow"/>
        </w:rPr>
        <w:sectPr w:rsidR="000008AF">
          <w:pgSz w:w="16838" w:h="11906" w:orient="landscape"/>
          <w:pgMar w:top="1800" w:right="1440" w:bottom="1800" w:left="1440" w:header="720" w:footer="720" w:gutter="0"/>
          <w:pgNumType w:fmt="numberInDash"/>
          <w:cols w:space="720"/>
          <w:docGrid w:type="lines" w:linePitch="312"/>
        </w:sectPr>
      </w:pPr>
      <w:r>
        <w:lastRenderedPageBreak/>
        <w:tab/>
      </w:r>
      <w:r>
        <w:rPr>
          <w:rFonts w:ascii="仿宋_GB2312" w:eastAsia="仿宋_GB2312" w:hAnsi="仿宋_GB2312" w:cs="仿宋_GB2312" w:hint="eastAsia"/>
          <w:sz w:val="32"/>
          <w:szCs w:val="32"/>
          <w:highlight w:val="yellow"/>
        </w:rPr>
        <w:t>说明：我部门没有政府性基金收入，也没有使用政府性基金安排的支出，故本表无数据。</w:t>
      </w:r>
    </w:p>
    <w:p w:rsidR="000008AF" w:rsidRDefault="000008AF">
      <w:pPr>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17191C">
      <w:pPr>
        <w:jc w:val="center"/>
        <w:outlineLvl w:val="0"/>
        <w:rPr>
          <w:rFonts w:ascii="黑体" w:eastAsia="黑体" w:hAnsi="黑体" w:cs="黑体"/>
          <w:sz w:val="48"/>
          <w:szCs w:val="48"/>
        </w:rPr>
      </w:pPr>
      <w:r>
        <w:rPr>
          <w:rFonts w:ascii="黑体" w:eastAsia="黑体" w:hAnsi="黑体" w:cs="黑体" w:hint="eastAsia"/>
          <w:sz w:val="48"/>
          <w:szCs w:val="48"/>
        </w:rPr>
        <w:t>第三部分  2019年度部门决算情况说明</w:t>
      </w:r>
    </w:p>
    <w:p w:rsidR="000008AF" w:rsidRDefault="000008AF">
      <w:pPr>
        <w:widowControl/>
        <w:jc w:val="left"/>
        <w:rPr>
          <w:rFonts w:ascii="黑体" w:eastAsia="黑体" w:hAnsi="黑体" w:cs="黑体"/>
          <w:sz w:val="48"/>
          <w:szCs w:val="48"/>
        </w:rPr>
        <w:sectPr w:rsidR="000008AF">
          <w:pgSz w:w="11906" w:h="16838"/>
          <w:pgMar w:top="1440" w:right="1800" w:bottom="1440" w:left="1800" w:header="720" w:footer="720" w:gutter="0"/>
          <w:pgNumType w:fmt="numberInDash"/>
          <w:cols w:space="720"/>
          <w:docGrid w:type="lines" w:linePitch="312"/>
        </w:sectPr>
      </w:pP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lastRenderedPageBreak/>
        <w:t>一、收入支出决算总体情况说明</w:t>
      </w:r>
    </w:p>
    <w:p w:rsidR="000008AF" w:rsidRDefault="0017191C">
      <w:pPr>
        <w:widowControl/>
        <w:spacing w:line="590" w:lineRule="exact"/>
        <w:ind w:firstLineChars="200" w:firstLine="640"/>
        <w:rPr>
          <w:rFonts w:ascii="黑体" w:eastAsia="黑体" w:hAnsi="黑体" w:cs="黑体"/>
          <w:sz w:val="32"/>
          <w:szCs w:val="32"/>
        </w:rPr>
      </w:pPr>
      <w:r>
        <w:rPr>
          <w:rFonts w:ascii="仿宋_GB2312" w:eastAsia="仿宋_GB2312" w:hAnsi="仿宋_GB2312" w:cs="仿宋_GB2312" w:hint="eastAsia"/>
          <w:sz w:val="32"/>
          <w:szCs w:val="32"/>
        </w:rPr>
        <w:t>2019年度收</w:t>
      </w:r>
      <w:r w:rsidR="009030BC">
        <w:rPr>
          <w:rFonts w:ascii="仿宋_GB2312" w:eastAsia="仿宋_GB2312" w:hAnsi="仿宋_GB2312" w:cs="仿宋_GB2312" w:hint="eastAsia"/>
          <w:sz w:val="32"/>
          <w:szCs w:val="32"/>
        </w:rPr>
        <w:t>入</w:t>
      </w:r>
      <w:r w:rsidR="009030BC">
        <w:rPr>
          <w:rFonts w:ascii="仿宋_GB2312" w:eastAsia="仿宋_GB2312" w:hAnsi="仿宋_GB2312" w:cs="仿宋_GB2312"/>
          <w:sz w:val="32"/>
          <w:szCs w:val="32"/>
        </w:rPr>
        <w:t>、支出总计均为</w:t>
      </w:r>
      <w:r>
        <w:rPr>
          <w:rFonts w:ascii="仿宋_GB2312" w:eastAsia="仿宋_GB2312" w:hAnsi="仿宋_GB2312" w:cs="仿宋_GB2312" w:hint="eastAsia"/>
          <w:sz w:val="32"/>
          <w:szCs w:val="32"/>
        </w:rPr>
        <w:t>10</w:t>
      </w:r>
      <w:r w:rsidR="009030BC">
        <w:rPr>
          <w:rFonts w:ascii="仿宋_GB2312" w:eastAsia="仿宋_GB2312" w:hAnsi="仿宋_GB2312" w:cs="仿宋_GB2312"/>
          <w:sz w:val="32"/>
          <w:szCs w:val="32"/>
        </w:rPr>
        <w:t>3561.75</w:t>
      </w:r>
      <w:r w:rsidR="00AF2FA5">
        <w:rPr>
          <w:rFonts w:ascii="仿宋_GB2312" w:eastAsia="仿宋_GB2312" w:hAnsi="仿宋_GB2312" w:cs="仿宋_GB2312" w:hint="eastAsia"/>
          <w:sz w:val="32"/>
          <w:szCs w:val="32"/>
        </w:rPr>
        <w:t>万元。与上年度相比，收入</w:t>
      </w:r>
      <w:r w:rsidR="00AF2FA5">
        <w:rPr>
          <w:rFonts w:ascii="仿宋_GB2312" w:eastAsia="仿宋_GB2312" w:hAnsi="仿宋_GB2312" w:cs="仿宋_GB2312"/>
          <w:sz w:val="32"/>
          <w:szCs w:val="32"/>
        </w:rPr>
        <w:t>、支出总计均</w:t>
      </w:r>
      <w:bookmarkStart w:id="0" w:name="_GoBack"/>
      <w:bookmarkEnd w:id="0"/>
      <w:r>
        <w:rPr>
          <w:rFonts w:ascii="仿宋_GB2312" w:eastAsia="仿宋_GB2312" w:hAnsi="仿宋_GB2312" w:cs="仿宋_GB2312" w:hint="eastAsia"/>
          <w:sz w:val="32"/>
          <w:szCs w:val="32"/>
        </w:rPr>
        <w:t>增加</w:t>
      </w:r>
      <w:r w:rsidR="009030BC" w:rsidRPr="009030BC">
        <w:rPr>
          <w:rFonts w:ascii="仿宋_GB2312" w:eastAsia="仿宋_GB2312" w:hAnsi="仿宋_GB2312" w:cs="仿宋_GB2312"/>
          <w:sz w:val="32"/>
          <w:szCs w:val="32"/>
        </w:rPr>
        <w:t>8352.98</w:t>
      </w:r>
      <w:r>
        <w:rPr>
          <w:rFonts w:ascii="仿宋_GB2312" w:eastAsia="仿宋_GB2312" w:hAnsi="仿宋_GB2312" w:cs="仿宋_GB2312" w:hint="eastAsia"/>
          <w:sz w:val="32"/>
          <w:szCs w:val="32"/>
        </w:rPr>
        <w:t>万元，增长</w:t>
      </w:r>
      <w:r w:rsidR="009030BC" w:rsidRPr="009030BC">
        <w:rPr>
          <w:rFonts w:ascii="仿宋_GB2312" w:eastAsia="仿宋_GB2312" w:hAnsi="仿宋_GB2312" w:cs="仿宋_GB2312"/>
          <w:sz w:val="32"/>
          <w:szCs w:val="32"/>
        </w:rPr>
        <w:t>8.77%</w:t>
      </w:r>
      <w:r>
        <w:rPr>
          <w:rFonts w:ascii="仿宋_GB2312" w:eastAsia="仿宋_GB2312" w:hAnsi="仿宋_GB2312" w:cs="仿宋_GB2312" w:hint="eastAsia"/>
          <w:sz w:val="32"/>
          <w:szCs w:val="32"/>
        </w:rPr>
        <w:t>。主要原因是政府增加了教师工资，加大了保障基本教学的支出。</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二、收入决算情况说明</w:t>
      </w:r>
    </w:p>
    <w:p w:rsidR="000008AF" w:rsidRDefault="0017191C">
      <w:pPr>
        <w:widowControl/>
        <w:spacing w:line="590" w:lineRule="exact"/>
        <w:ind w:firstLineChars="200" w:firstLine="640"/>
        <w:rPr>
          <w:rFonts w:ascii="黑体" w:eastAsia="黑体" w:hAnsi="黑体" w:cs="黑体"/>
          <w:sz w:val="32"/>
          <w:szCs w:val="32"/>
        </w:rPr>
      </w:pPr>
      <w:r>
        <w:rPr>
          <w:rFonts w:ascii="仿宋_GB2312" w:eastAsia="仿宋_GB2312" w:hAnsi="仿宋_GB2312" w:cs="仿宋_GB2312" w:hint="eastAsia"/>
          <w:sz w:val="32"/>
          <w:szCs w:val="32"/>
        </w:rPr>
        <w:t>2019年度收入合计100343.84万元，其中：财政拨款收入94143.52万元，占93.82%；事业收入5744.27万元，占5.72%；其他收入456.05万元，占0.46%。</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三、支出决算情况说明</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2019年度支出合计97395.09万元，其中：基本支出80768.35万元，占82.93%；项目支出16626.74万元，占17.07%。 </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四、财政拨款收入支出决算总体情况说明</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2019年度财政拨款收</w:t>
      </w:r>
      <w:r w:rsidR="009030BC">
        <w:rPr>
          <w:rFonts w:ascii="仿宋_GB2312" w:eastAsia="仿宋_GB2312" w:hAnsi="仿宋_GB2312" w:cs="仿宋_GB2312" w:hint="eastAsia"/>
          <w:sz w:val="32"/>
          <w:szCs w:val="32"/>
        </w:rPr>
        <w:t>入</w:t>
      </w:r>
      <w:r w:rsidR="009030BC">
        <w:rPr>
          <w:rFonts w:ascii="仿宋_GB2312" w:eastAsia="仿宋_GB2312" w:hAnsi="仿宋_GB2312" w:cs="仿宋_GB2312"/>
          <w:sz w:val="32"/>
          <w:szCs w:val="32"/>
        </w:rPr>
        <w:t>、支出均为</w:t>
      </w:r>
      <w:r>
        <w:rPr>
          <w:rFonts w:ascii="仿宋_GB2312" w:eastAsia="仿宋_GB2312" w:hAnsi="仿宋_GB2312" w:cs="仿宋_GB2312" w:hint="eastAsia"/>
          <w:sz w:val="32"/>
          <w:szCs w:val="32"/>
        </w:rPr>
        <w:t>9</w:t>
      </w:r>
      <w:r w:rsidR="009030BC">
        <w:rPr>
          <w:rFonts w:ascii="仿宋_GB2312" w:eastAsia="仿宋_GB2312" w:hAnsi="仿宋_GB2312" w:cs="仿宋_GB2312"/>
          <w:sz w:val="32"/>
          <w:szCs w:val="32"/>
        </w:rPr>
        <w:t>7140.98</w:t>
      </w:r>
      <w:r>
        <w:rPr>
          <w:rFonts w:ascii="仿宋_GB2312" w:eastAsia="仿宋_GB2312" w:hAnsi="仿宋_GB2312" w:cs="仿宋_GB2312" w:hint="eastAsia"/>
          <w:sz w:val="32"/>
          <w:szCs w:val="32"/>
        </w:rPr>
        <w:t>万元。与上年度相比，财政拨款收</w:t>
      </w:r>
      <w:r w:rsidR="009030BC">
        <w:rPr>
          <w:rFonts w:ascii="仿宋_GB2312" w:eastAsia="仿宋_GB2312" w:hAnsi="仿宋_GB2312" w:cs="仿宋_GB2312" w:hint="eastAsia"/>
          <w:sz w:val="32"/>
          <w:szCs w:val="32"/>
        </w:rPr>
        <w:t>入</w:t>
      </w:r>
      <w:r w:rsidR="009030BC">
        <w:rPr>
          <w:rFonts w:ascii="仿宋_GB2312" w:eastAsia="仿宋_GB2312" w:hAnsi="仿宋_GB2312" w:cs="仿宋_GB2312"/>
          <w:sz w:val="32"/>
          <w:szCs w:val="32"/>
        </w:rPr>
        <w:t>、支出均</w:t>
      </w:r>
      <w:r>
        <w:rPr>
          <w:rFonts w:ascii="仿宋_GB2312" w:eastAsia="仿宋_GB2312" w:hAnsi="仿宋_GB2312" w:cs="仿宋_GB2312" w:hint="eastAsia"/>
          <w:sz w:val="32"/>
          <w:szCs w:val="32"/>
        </w:rPr>
        <w:t>增加</w:t>
      </w:r>
      <w:r w:rsidR="009030BC" w:rsidRPr="009030BC">
        <w:rPr>
          <w:rFonts w:ascii="仿宋_GB2312" w:eastAsia="仿宋_GB2312" w:hAnsi="仿宋_GB2312" w:cs="仿宋_GB2312"/>
          <w:sz w:val="32"/>
          <w:szCs w:val="32"/>
        </w:rPr>
        <w:t>7197.21</w:t>
      </w:r>
      <w:r>
        <w:rPr>
          <w:rFonts w:ascii="仿宋_GB2312" w:eastAsia="仿宋_GB2312" w:hAnsi="仿宋_GB2312" w:cs="仿宋_GB2312" w:hint="eastAsia"/>
          <w:sz w:val="32"/>
          <w:szCs w:val="32"/>
        </w:rPr>
        <w:t>万元，增长</w:t>
      </w:r>
      <w:r w:rsidR="009030BC" w:rsidRPr="009030BC">
        <w:rPr>
          <w:rFonts w:ascii="仿宋_GB2312" w:eastAsia="仿宋_GB2312" w:hAnsi="仿宋_GB2312" w:cs="仿宋_GB2312"/>
          <w:sz w:val="32"/>
          <w:szCs w:val="32"/>
        </w:rPr>
        <w:t>8.00%</w:t>
      </w:r>
      <w:r>
        <w:rPr>
          <w:rFonts w:ascii="仿宋_GB2312" w:eastAsia="仿宋_GB2312" w:hAnsi="仿宋_GB2312" w:cs="仿宋_GB2312" w:hint="eastAsia"/>
          <w:sz w:val="32"/>
          <w:szCs w:val="32"/>
        </w:rPr>
        <w:t>。主要原因是政府加大教育投入、增加教师待遇。</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五、一般公共预算财政拨款支出决算情况说明</w:t>
      </w:r>
    </w:p>
    <w:p w:rsidR="000008AF" w:rsidRDefault="0017191C">
      <w:pPr>
        <w:widowControl/>
        <w:spacing w:line="59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（一）总体情况。</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2019年度一般公共预算财政拨款支出91678.35万元，占本年支出合计的94.13%。与上年度相比，一般公共预算财政拨款支出减少2239.83万元，降低2.38%。主要原因是单位节约了开支。</w:t>
      </w:r>
    </w:p>
    <w:p w:rsidR="000008AF" w:rsidRDefault="0017191C">
      <w:pPr>
        <w:widowControl/>
        <w:spacing w:line="59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lastRenderedPageBreak/>
        <w:t>（二）结构情况。</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2019年度一般公共预算财政拨款支出91678.35万元，主要用于以下方面：教育支出91609.59万元，占99.93%，社会保障就业支出68.76万元，占0.07%</w:t>
      </w:r>
    </w:p>
    <w:p w:rsidR="000008AF" w:rsidRDefault="0017191C">
      <w:pPr>
        <w:widowControl/>
        <w:spacing w:line="590" w:lineRule="exact"/>
        <w:ind w:firstLineChars="200" w:firstLine="643"/>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（三）具体情况。</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2019年度一般公共预算财政拨款支出年初预算为96729.49万元，支出决算为91678.35万元，完成年初预算的94.78%。基本完成预算。</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1．教育支出（类）教育管理事务（款）行政运行（项）。</w:t>
      </w:r>
      <w:r>
        <w:rPr>
          <w:rFonts w:ascii="仿宋_GB2312" w:eastAsia="仿宋_GB2312" w:hAnsi="仿宋_GB2312" w:cs="仿宋_GB2312" w:hint="eastAsia"/>
          <w:sz w:val="32"/>
          <w:szCs w:val="32"/>
        </w:rPr>
        <w:t>年初预算为1265.2万元，支出决算为1265.2万元，完成年初预算的100%。</w:t>
      </w:r>
    </w:p>
    <w:p w:rsidR="00F93AD7" w:rsidRDefault="0017191C" w:rsidP="00F93AD7">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2．教育支出（类）普通教育（款）学前教育（项）。</w:t>
      </w:r>
      <w:r>
        <w:rPr>
          <w:rFonts w:ascii="仿宋_GB2312" w:eastAsia="仿宋_GB2312" w:hAnsi="仿宋_GB2312" w:cs="仿宋_GB2312" w:hint="eastAsia"/>
          <w:sz w:val="32"/>
          <w:szCs w:val="32"/>
        </w:rPr>
        <w:t>年初预算为1088.7万元，支出决算为1088.7万元。</w:t>
      </w:r>
      <w:r w:rsidR="00F93AD7">
        <w:rPr>
          <w:rFonts w:ascii="仿宋_GB2312" w:eastAsia="仿宋_GB2312" w:hAnsi="仿宋_GB2312" w:cs="仿宋_GB2312" w:hint="eastAsia"/>
          <w:sz w:val="32"/>
          <w:szCs w:val="32"/>
        </w:rPr>
        <w:t>完成年初预算的100%。</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3．教育支出（类）普通教育（款）小学教育（项）。</w:t>
      </w:r>
      <w:r>
        <w:rPr>
          <w:rFonts w:ascii="仿宋_GB2312" w:eastAsia="仿宋_GB2312" w:hAnsi="仿宋_GB2312" w:cs="仿宋_GB2312" w:hint="eastAsia"/>
          <w:sz w:val="32"/>
          <w:szCs w:val="32"/>
        </w:rPr>
        <w:t>年初预算为</w:t>
      </w:r>
      <w:r w:rsidR="0063186B">
        <w:rPr>
          <w:rFonts w:ascii="仿宋_GB2312" w:eastAsia="仿宋_GB2312" w:hAnsi="仿宋_GB2312" w:cs="仿宋_GB2312"/>
          <w:sz w:val="32"/>
          <w:szCs w:val="32"/>
        </w:rPr>
        <w:t>40407.18</w:t>
      </w:r>
      <w:r>
        <w:rPr>
          <w:rFonts w:ascii="仿宋_GB2312" w:eastAsia="仿宋_GB2312" w:hAnsi="仿宋_GB2312" w:cs="仿宋_GB2312" w:hint="eastAsia"/>
          <w:sz w:val="32"/>
          <w:szCs w:val="32"/>
        </w:rPr>
        <w:t xml:space="preserve"> 万元，支出决算为37578.32万元</w:t>
      </w:r>
      <w:r w:rsidR="0063186B">
        <w:rPr>
          <w:rFonts w:ascii="仿宋_GB2312" w:eastAsia="仿宋_GB2312" w:hAnsi="仿宋_GB2312" w:cs="仿宋_GB2312" w:hint="eastAsia"/>
          <w:sz w:val="32"/>
          <w:szCs w:val="32"/>
        </w:rPr>
        <w:t>，</w:t>
      </w:r>
      <w:r w:rsidR="0063186B" w:rsidRPr="0063186B">
        <w:rPr>
          <w:rFonts w:ascii="仿宋_GB2312" w:eastAsia="仿宋_GB2312" w:hAnsi="仿宋_GB2312" w:cs="仿宋_GB2312" w:hint="eastAsia"/>
          <w:sz w:val="32"/>
          <w:szCs w:val="32"/>
        </w:rPr>
        <w:t>完成年初预算的</w:t>
      </w:r>
      <w:r w:rsidR="0063186B">
        <w:rPr>
          <w:rFonts w:ascii="仿宋_GB2312" w:eastAsia="仿宋_GB2312" w:hAnsi="仿宋_GB2312" w:cs="仿宋_GB2312"/>
          <w:sz w:val="32"/>
          <w:szCs w:val="32"/>
        </w:rPr>
        <w:t>93</w:t>
      </w:r>
      <w:r w:rsidR="0063186B" w:rsidRPr="0063186B">
        <w:rPr>
          <w:rFonts w:ascii="仿宋_GB2312" w:eastAsia="仿宋_GB2312" w:hAnsi="仿宋_GB2312" w:cs="仿宋_GB2312" w:hint="eastAsia"/>
          <w:sz w:val="32"/>
          <w:szCs w:val="32"/>
        </w:rPr>
        <w:t>%。</w:t>
      </w:r>
    </w:p>
    <w:p w:rsidR="0063186B" w:rsidRDefault="0017191C" w:rsidP="0063186B">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4．教育支出（类）普通教育（款）初中教育（项）。</w:t>
      </w:r>
      <w:r>
        <w:rPr>
          <w:rFonts w:ascii="仿宋_GB2312" w:eastAsia="仿宋_GB2312" w:hAnsi="仿宋_GB2312" w:cs="仿宋_GB2312" w:hint="eastAsia"/>
          <w:sz w:val="32"/>
          <w:szCs w:val="32"/>
        </w:rPr>
        <w:t>年初预算为</w:t>
      </w:r>
      <w:r w:rsidR="0063186B">
        <w:rPr>
          <w:rFonts w:ascii="仿宋_GB2312" w:eastAsia="仿宋_GB2312" w:hAnsi="仿宋_GB2312" w:cs="仿宋_GB2312"/>
          <w:sz w:val="32"/>
          <w:szCs w:val="32"/>
        </w:rPr>
        <w:t>31742.76</w:t>
      </w:r>
      <w:r>
        <w:rPr>
          <w:rFonts w:ascii="仿宋_GB2312" w:eastAsia="仿宋_GB2312" w:hAnsi="仿宋_GB2312" w:cs="仿宋_GB2312" w:hint="eastAsia"/>
          <w:sz w:val="32"/>
          <w:szCs w:val="32"/>
        </w:rPr>
        <w:t>万元，支出决算为29520.48万元，</w:t>
      </w:r>
      <w:r w:rsidR="0063186B" w:rsidRPr="0063186B">
        <w:rPr>
          <w:rFonts w:ascii="仿宋_GB2312" w:eastAsia="仿宋_GB2312" w:hAnsi="仿宋_GB2312" w:cs="仿宋_GB2312" w:hint="eastAsia"/>
          <w:sz w:val="32"/>
          <w:szCs w:val="32"/>
        </w:rPr>
        <w:t>完成年初预算的</w:t>
      </w:r>
      <w:r w:rsidR="0063186B">
        <w:rPr>
          <w:rFonts w:ascii="仿宋_GB2312" w:eastAsia="仿宋_GB2312" w:hAnsi="仿宋_GB2312" w:cs="仿宋_GB2312"/>
          <w:sz w:val="32"/>
          <w:szCs w:val="32"/>
        </w:rPr>
        <w:t>93</w:t>
      </w:r>
      <w:r w:rsidR="0063186B" w:rsidRPr="0063186B">
        <w:rPr>
          <w:rFonts w:ascii="仿宋_GB2312" w:eastAsia="仿宋_GB2312" w:hAnsi="仿宋_GB2312" w:cs="仿宋_GB2312" w:hint="eastAsia"/>
          <w:sz w:val="32"/>
          <w:szCs w:val="32"/>
        </w:rPr>
        <w:t>%。</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5．教育支出（类）普通教育（款）高中教育（项）。</w:t>
      </w:r>
      <w:r>
        <w:rPr>
          <w:rFonts w:ascii="仿宋_GB2312" w:eastAsia="仿宋_GB2312" w:hAnsi="仿宋_GB2312" w:cs="仿宋_GB2312" w:hint="eastAsia"/>
          <w:sz w:val="32"/>
          <w:szCs w:val="32"/>
        </w:rPr>
        <w:t>年初预算为12721.02万元，支出决算为12721.02万元。</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lastRenderedPageBreak/>
        <w:t>6．教育支出（类）普通教育（款）其他普通教育支出（项）。</w:t>
      </w:r>
      <w:r>
        <w:rPr>
          <w:rFonts w:ascii="仿宋_GB2312" w:eastAsia="仿宋_GB2312" w:hAnsi="仿宋_GB2312" w:cs="仿宋_GB2312" w:hint="eastAsia"/>
          <w:sz w:val="32"/>
          <w:szCs w:val="32"/>
        </w:rPr>
        <w:t>年初预算为6040.86万元，支出决算为6040.86万元。</w:t>
      </w:r>
      <w:r w:rsidR="00F93AD7">
        <w:rPr>
          <w:rFonts w:ascii="仿宋_GB2312" w:eastAsia="仿宋_GB2312" w:hAnsi="仿宋_GB2312" w:cs="仿宋_GB2312" w:hint="eastAsia"/>
          <w:sz w:val="32"/>
          <w:szCs w:val="32"/>
        </w:rPr>
        <w:t>完成年初预算的100%。</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7．教育支出（类）职业教育（款）职业高中教育（项）。</w:t>
      </w:r>
      <w:r>
        <w:rPr>
          <w:rFonts w:ascii="仿宋_GB2312" w:eastAsia="仿宋_GB2312" w:hAnsi="仿宋_GB2312" w:cs="仿宋_GB2312" w:hint="eastAsia"/>
          <w:sz w:val="32"/>
          <w:szCs w:val="32"/>
        </w:rPr>
        <w:t>年初预算为2658.41万元，支出决算为2658.41万元。</w:t>
      </w:r>
      <w:r w:rsidR="00F93AD7">
        <w:rPr>
          <w:rFonts w:ascii="仿宋_GB2312" w:eastAsia="仿宋_GB2312" w:hAnsi="仿宋_GB2312" w:cs="仿宋_GB2312" w:hint="eastAsia"/>
          <w:sz w:val="32"/>
          <w:szCs w:val="32"/>
        </w:rPr>
        <w:t>完成年初预算的100%。</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8．教育支出（类）特殊教育（款）特殊学校教育（项）。</w:t>
      </w:r>
      <w:r>
        <w:rPr>
          <w:rFonts w:ascii="仿宋_GB2312" w:eastAsia="仿宋_GB2312" w:hAnsi="仿宋_GB2312" w:cs="仿宋_GB2312" w:hint="eastAsia"/>
          <w:sz w:val="32"/>
          <w:szCs w:val="32"/>
        </w:rPr>
        <w:t>年初预算为248.47万元，支出决算为248.47万元。</w:t>
      </w:r>
      <w:r w:rsidR="00F93AD7">
        <w:rPr>
          <w:rFonts w:ascii="仿宋_GB2312" w:eastAsia="仿宋_GB2312" w:hAnsi="仿宋_GB2312" w:cs="仿宋_GB2312" w:hint="eastAsia"/>
          <w:sz w:val="32"/>
          <w:szCs w:val="32"/>
        </w:rPr>
        <w:t>完成年初预算的100%。</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9．教育支出（类）其他教育支出（款）其他教育支出（项）。</w:t>
      </w:r>
      <w:r>
        <w:rPr>
          <w:rFonts w:ascii="仿宋_GB2312" w:eastAsia="仿宋_GB2312" w:hAnsi="仿宋_GB2312" w:cs="仿宋_GB2312" w:hint="eastAsia"/>
          <w:sz w:val="32"/>
          <w:szCs w:val="32"/>
        </w:rPr>
        <w:t>年初预算为488.12万元，支出决算为488.12万元。</w:t>
      </w:r>
      <w:r w:rsidR="00F93AD7">
        <w:rPr>
          <w:rFonts w:ascii="仿宋_GB2312" w:eastAsia="仿宋_GB2312" w:hAnsi="仿宋_GB2312" w:cs="仿宋_GB2312" w:hint="eastAsia"/>
          <w:sz w:val="32"/>
          <w:szCs w:val="32"/>
        </w:rPr>
        <w:t>完成年初预算的100%。</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10．社会保障和就业支出（类）行政事业单位离退休（款）事业单位离退休（项）。</w:t>
      </w:r>
      <w:r>
        <w:rPr>
          <w:rFonts w:ascii="仿宋_GB2312" w:eastAsia="仿宋_GB2312" w:hAnsi="仿宋_GB2312" w:cs="仿宋_GB2312" w:hint="eastAsia"/>
          <w:sz w:val="32"/>
          <w:szCs w:val="32"/>
        </w:rPr>
        <w:t>年初预算为68.76万元，支出决算为68.76万元。</w:t>
      </w:r>
      <w:r w:rsidR="00F93AD7">
        <w:rPr>
          <w:rFonts w:ascii="仿宋_GB2312" w:eastAsia="仿宋_GB2312" w:hAnsi="仿宋_GB2312" w:cs="仿宋_GB2312" w:hint="eastAsia"/>
          <w:sz w:val="32"/>
          <w:szCs w:val="32"/>
        </w:rPr>
        <w:t>完成年初预算的100%。</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六、一般公共预算财政拨款基本支出决算情况说明</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度一般公共预算财政拨款基本支出75051.61万元。其中：人员经费65981.77万元，主要包括：基本工资、津贴补贴、伙食补助费、绩效工资、机关事业单位基本养老保险缴费、职业年金缴费、其他社会保障缴费、其他工资福利支出、离休费、退休费、抚恤金、生活补助、医疗费、奖励金、住房公积金、采暖补贴、物业服务补贴、其他对个人和家庭的补助支出；公用经费9069.84万元，主要包括：办</w:t>
      </w:r>
      <w:r>
        <w:rPr>
          <w:rFonts w:ascii="仿宋_GB2312" w:eastAsia="仿宋_GB2312" w:hAnsi="仿宋_GB2312" w:cs="仿宋_GB2312" w:hint="eastAsia"/>
          <w:sz w:val="32"/>
          <w:szCs w:val="32"/>
        </w:rPr>
        <w:lastRenderedPageBreak/>
        <w:t>公费、印刷费、咨询费、水费、电费、邮电费、取暖费、物业管理费、差旅费、维修（护）费、租赁费、会议费、培训费、公务接待费、专用材料费、劳务费、委托业务费、工会经费、福利费、公务用车运行维护费、其他交通费用、其他商品和服务支出、办公设备购置、专用设备购置、信息网络及软件购置更新、其他资本性支出。</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七、一般公共预算财政拨款“三公”经费支出决算情况说明：三公经费共计113.07万元：其中因公出国0万元，公务用车运行费3.3万元，公务接待费109.78万元。</w:t>
      </w:r>
    </w:p>
    <w:p w:rsidR="000008AF" w:rsidRDefault="0017191C">
      <w:pPr>
        <w:widowControl/>
        <w:spacing w:line="590" w:lineRule="exact"/>
        <w:ind w:firstLineChars="200" w:firstLine="643"/>
        <w:outlineLvl w:val="2"/>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（一）“三公”经费财政拨款支出决算总体情况说明。</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2019年度“三公”经费财政拨款支出预算为123.66万元，支出决算为113.07万元，完成预算的91.44%。2019年度“三公”经费支出决算数与预算数存在差异的主要原因是节约开支。</w:t>
      </w:r>
    </w:p>
    <w:p w:rsidR="000008AF" w:rsidRDefault="0017191C">
      <w:pPr>
        <w:widowControl/>
        <w:spacing w:line="590" w:lineRule="exact"/>
        <w:ind w:firstLineChars="200" w:firstLine="643"/>
        <w:outlineLvl w:val="2"/>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（二）“三公”经费财政拨款支出决算具体情况说明。</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2019年度“三公”经费财政拨款支出决算中，</w:t>
      </w:r>
      <w:r w:rsidR="004D6726" w:rsidRPr="004D6726">
        <w:rPr>
          <w:rFonts w:ascii="仿宋_GB2312" w:eastAsia="仿宋_GB2312" w:hAnsi="仿宋_GB2312" w:cs="仿宋_GB2312" w:hint="eastAsia"/>
          <w:sz w:val="32"/>
          <w:szCs w:val="32"/>
        </w:rPr>
        <w:t>因公出国（境）费支出决算0万元，完成预算的0%，占0%</w:t>
      </w:r>
      <w:r w:rsidR="004D6726">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公务用车购置及运行费支出决算3.3万元，完成预算的100%，占三公经费2.91%；公务接待费支出决算109.78万元，完成预算的91.20%，占97.09%。具体情况如下：</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1．因公出国（境）费</w:t>
      </w:r>
      <w:r>
        <w:rPr>
          <w:rFonts w:ascii="仿宋_GB2312" w:eastAsia="仿宋_GB2312" w:hAnsi="仿宋_GB2312" w:cs="仿宋_GB2312" w:hint="eastAsia"/>
          <w:sz w:val="32"/>
          <w:szCs w:val="32"/>
        </w:rPr>
        <w:t>年初预算为0万元，支出决算为0万元。全年因公出国（境）团组0个，累计0人次。</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lastRenderedPageBreak/>
        <w:t>2．公务用车购置及运行费</w:t>
      </w:r>
      <w:r>
        <w:rPr>
          <w:rFonts w:ascii="仿宋_GB2312" w:eastAsia="仿宋_GB2312" w:hAnsi="仿宋_GB2312" w:cs="仿宋_GB2312" w:hint="eastAsia"/>
          <w:sz w:val="32"/>
          <w:szCs w:val="32"/>
          <w:u w:val="dotDash"/>
        </w:rPr>
        <w:t>年</w:t>
      </w:r>
      <w:r>
        <w:rPr>
          <w:rFonts w:ascii="仿宋_GB2312" w:eastAsia="仿宋_GB2312" w:hAnsi="仿宋_GB2312" w:cs="仿宋_GB2312" w:hint="eastAsia"/>
          <w:sz w:val="32"/>
          <w:szCs w:val="32"/>
        </w:rPr>
        <w:t>初预算为3.3万元，支出决算为3.3万元，完成年初预算的100%。其中：</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公务用车购置支出</w:t>
      </w:r>
      <w:r>
        <w:rPr>
          <w:rFonts w:ascii="仿宋_GB2312" w:eastAsia="仿宋_GB2312" w:hAnsi="仿宋_GB2312" w:cs="仿宋_GB2312" w:hint="eastAsia"/>
          <w:sz w:val="32"/>
          <w:szCs w:val="32"/>
        </w:rPr>
        <w:t>为0万元，购置0辆车。</w:t>
      </w:r>
    </w:p>
    <w:p w:rsidR="000008AF" w:rsidRDefault="0017191C">
      <w:pPr>
        <w:widowControl/>
        <w:spacing w:line="590" w:lineRule="exact"/>
        <w:ind w:firstLineChars="150" w:firstLine="482"/>
        <w:rPr>
          <w:rFonts w:ascii="仿宋_GB2312" w:eastAsia="仿宋_GB2312" w:hAnsi="仿宋_GB2312" w:cs="仿宋_GB2312"/>
          <w:sz w:val="32"/>
          <w:szCs w:val="32"/>
        </w:rPr>
      </w:pPr>
      <w:r>
        <w:rPr>
          <w:rFonts w:ascii="仿宋_GB2312" w:eastAsia="仿宋_GB2312" w:hAnsi="仿宋_GB2312" w:cs="仿宋_GB2312" w:hint="eastAsia"/>
          <w:b/>
          <w:bCs/>
          <w:sz w:val="32"/>
          <w:szCs w:val="32"/>
        </w:rPr>
        <w:t>公务用车运行支出</w:t>
      </w:r>
      <w:r>
        <w:rPr>
          <w:rFonts w:ascii="仿宋_GB2312" w:eastAsia="仿宋_GB2312" w:hAnsi="仿宋_GB2312" w:cs="仿宋_GB2312" w:hint="eastAsia"/>
          <w:sz w:val="32"/>
          <w:szCs w:val="32"/>
        </w:rPr>
        <w:t>3.3万元。主要用于车辆维修和加油。2019年期末，部门开支财政拨款的公务用车保有量为2辆。</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3.公务接待费</w:t>
      </w:r>
      <w:r>
        <w:rPr>
          <w:rFonts w:ascii="仿宋_GB2312" w:eastAsia="仿宋_GB2312" w:hAnsi="仿宋_GB2312" w:cs="仿宋_GB2312" w:hint="eastAsia"/>
          <w:sz w:val="32"/>
          <w:szCs w:val="32"/>
          <w:u w:val="dotDash"/>
        </w:rPr>
        <w:t>年</w:t>
      </w:r>
      <w:r>
        <w:rPr>
          <w:rFonts w:ascii="仿宋_GB2312" w:eastAsia="仿宋_GB2312" w:hAnsi="仿宋_GB2312" w:cs="仿宋_GB2312" w:hint="eastAsia"/>
          <w:sz w:val="32"/>
          <w:szCs w:val="32"/>
        </w:rPr>
        <w:t>初预算为120.36万元，支出决算为109.78万元，完成年初预算的91.20%。决算数与年初预算数存在差异的主要原因是节约开支。其中：</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外宾接待支出</w:t>
      </w:r>
      <w:r>
        <w:rPr>
          <w:rFonts w:ascii="仿宋_GB2312" w:eastAsia="仿宋_GB2312" w:hAnsi="仿宋_GB2312" w:cs="仿宋_GB2312" w:hint="eastAsia"/>
          <w:sz w:val="32"/>
          <w:szCs w:val="32"/>
        </w:rPr>
        <w:t>0万元。2018年共接待（境）外来访团组0个，来访外宾0人次。</w:t>
      </w:r>
    </w:p>
    <w:p w:rsidR="000008AF" w:rsidRDefault="0017191C">
      <w:pPr>
        <w:widowControl/>
        <w:spacing w:line="590" w:lineRule="exact"/>
        <w:ind w:firstLineChars="200" w:firstLine="643"/>
        <w:rPr>
          <w:rFonts w:ascii="仿宋_GB2312" w:eastAsia="仿宋_GB2312" w:hAnsi="仿宋_GB2312" w:cs="仿宋_GB2312"/>
          <w:sz w:val="32"/>
          <w:szCs w:val="32"/>
        </w:rPr>
      </w:pPr>
      <w:r>
        <w:rPr>
          <w:rFonts w:ascii="仿宋_GB2312" w:eastAsia="仿宋_GB2312" w:hAnsi="仿宋_GB2312" w:cs="仿宋_GB2312" w:hint="eastAsia"/>
          <w:b/>
          <w:bCs/>
          <w:sz w:val="32"/>
          <w:szCs w:val="32"/>
        </w:rPr>
        <w:t>其他国内公务接待支出</w:t>
      </w:r>
      <w:r>
        <w:rPr>
          <w:rFonts w:ascii="仿宋_GB2312" w:eastAsia="仿宋_GB2312" w:hAnsi="仿宋_GB2312" w:cs="仿宋_GB2312" w:hint="eastAsia"/>
          <w:sz w:val="32"/>
          <w:szCs w:val="32"/>
        </w:rPr>
        <w:t>109.78万元。主要用于来客招待。2019年共接待国内来访团组1314个、来宾11867人次（不包括陪同人员）。</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八、预算绩效情况说明</w:t>
      </w:r>
    </w:p>
    <w:p w:rsidR="000008AF" w:rsidRDefault="0017191C">
      <w:pPr>
        <w:widowControl/>
        <w:spacing w:line="590" w:lineRule="exact"/>
        <w:ind w:firstLineChars="200" w:firstLine="643"/>
        <w:outlineLvl w:val="2"/>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（一）绩效管理工作开展情况。</w:t>
      </w:r>
    </w:p>
    <w:p w:rsidR="000008AF" w:rsidRDefault="0017191C">
      <w:pPr>
        <w:widowControl/>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教体局依据上级文件精神，制定了平桥区义务教育学校教师绩效工资考核指导意见。</w:t>
      </w:r>
    </w:p>
    <w:p w:rsidR="000008AF" w:rsidRDefault="0017191C">
      <w:pPr>
        <w:widowControl/>
        <w:spacing w:line="590" w:lineRule="exact"/>
        <w:ind w:firstLineChars="200" w:firstLine="643"/>
        <w:outlineLvl w:val="2"/>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（二）项目绩效自评结果。</w:t>
      </w:r>
    </w:p>
    <w:p w:rsidR="000008AF" w:rsidRDefault="0017191C">
      <w:pPr>
        <w:widowControl/>
        <w:ind w:firstLineChars="200" w:firstLine="640"/>
        <w:jc w:val="left"/>
        <w:rPr>
          <w:rFonts w:ascii="楷体_GB2312" w:eastAsia="楷体_GB2312" w:hAnsi="楷体_GB2312" w:cs="楷体_GB2312"/>
          <w:sz w:val="32"/>
          <w:szCs w:val="32"/>
        </w:rPr>
      </w:pPr>
      <w:r>
        <w:rPr>
          <w:rFonts w:ascii="楷体_GB2312" w:eastAsia="楷体_GB2312" w:hAnsi="楷体_GB2312" w:cs="楷体_GB2312" w:hint="eastAsia"/>
          <w:sz w:val="32"/>
          <w:szCs w:val="32"/>
        </w:rPr>
        <w:t>平桥区教育系统校舍维修改造项目59个，现已全部完成交付使用。</w:t>
      </w:r>
    </w:p>
    <w:p w:rsidR="000008AF" w:rsidRDefault="0017191C">
      <w:pPr>
        <w:widowControl/>
        <w:spacing w:line="590" w:lineRule="exact"/>
        <w:ind w:firstLineChars="200" w:firstLine="643"/>
        <w:outlineLvl w:val="2"/>
        <w:rPr>
          <w:rFonts w:ascii="楷体_GB2312" w:eastAsia="楷体_GB2312" w:hAnsi="楷体_GB2312" w:cs="楷体_GB2312"/>
          <w:b/>
          <w:bCs/>
          <w:sz w:val="32"/>
          <w:szCs w:val="32"/>
        </w:rPr>
      </w:pPr>
      <w:r>
        <w:rPr>
          <w:rFonts w:ascii="楷体_GB2312" w:eastAsia="楷体_GB2312" w:hAnsi="楷体_GB2312" w:cs="楷体_GB2312" w:hint="eastAsia"/>
          <w:b/>
          <w:bCs/>
          <w:sz w:val="32"/>
          <w:szCs w:val="32"/>
        </w:rPr>
        <w:t>（三）重点绩效评价结果。</w:t>
      </w:r>
    </w:p>
    <w:p w:rsidR="000008AF" w:rsidRDefault="003C6364">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我单位无</w:t>
      </w:r>
      <w:r>
        <w:rPr>
          <w:rFonts w:ascii="仿宋_GB2312" w:eastAsia="仿宋_GB2312" w:hAnsi="仿宋_GB2312" w:cs="仿宋_GB2312"/>
          <w:sz w:val="32"/>
          <w:szCs w:val="32"/>
        </w:rPr>
        <w:t>重点项目绩效评价。</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九、政府性基金预算财政拨款支出决算情况说明</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2019年度政府性基金预算财政拨款支出年初预算为0万元，支出决算为0万元，我部门2019年度没有政府性基金预算财政拨款收入和支出。 </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十、机关运行经费支出情况说明</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2019年度机关运行经费</w:t>
      </w:r>
      <w:r>
        <w:rPr>
          <w:rFonts w:ascii="仿宋_GB2312" w:eastAsia="仿宋_GB2312" w:hAnsi="仿宋_GB2312" w:cs="仿宋_GB2312" w:hint="eastAsia"/>
          <w:sz w:val="32"/>
          <w:szCs w:val="32"/>
          <w:u w:val="dotDash"/>
        </w:rPr>
        <w:t>年</w:t>
      </w:r>
      <w:r>
        <w:rPr>
          <w:rFonts w:ascii="仿宋_GB2312" w:eastAsia="仿宋_GB2312" w:hAnsi="仿宋_GB2312" w:cs="仿宋_GB2312" w:hint="eastAsia"/>
          <w:sz w:val="32"/>
          <w:szCs w:val="32"/>
        </w:rPr>
        <w:t>初预算为367.32万元，支出决算为367.32万元，完成年初预算的100%。</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十一、政府采购支出情况说明</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2019年度政府采购支出总额47万元，其中：政府采购货物支出18.06万元、政府采购工程支出0万元、政府采购服务支出28.94万元。</w:t>
      </w:r>
      <w:r w:rsidR="003C6364" w:rsidRPr="003C6364">
        <w:rPr>
          <w:rFonts w:ascii="仿宋_GB2312" w:eastAsia="仿宋_GB2312" w:hAnsi="仿宋_GB2312" w:cs="仿宋_GB2312" w:hint="eastAsia"/>
          <w:sz w:val="32"/>
          <w:szCs w:val="32"/>
        </w:rPr>
        <w:t>授予中小企业合同金额0万元，占政府采购支出总额的0%，其中：授予小微企业合同金额0万元，占政府采购支出总额的0%。</w:t>
      </w:r>
    </w:p>
    <w:p w:rsidR="000008AF" w:rsidRDefault="0017191C">
      <w:pPr>
        <w:widowControl/>
        <w:spacing w:line="590" w:lineRule="exact"/>
        <w:ind w:firstLineChars="200" w:firstLine="640"/>
        <w:outlineLvl w:val="1"/>
        <w:rPr>
          <w:rFonts w:ascii="黑体" w:eastAsia="黑体" w:hAnsi="黑体" w:cs="黑体"/>
          <w:sz w:val="32"/>
          <w:szCs w:val="32"/>
        </w:rPr>
      </w:pPr>
      <w:r>
        <w:rPr>
          <w:rFonts w:ascii="黑体" w:eastAsia="黑体" w:hAnsi="黑体" w:cs="黑体" w:hint="eastAsia"/>
          <w:sz w:val="32"/>
          <w:szCs w:val="32"/>
        </w:rPr>
        <w:t>十二、国有资产占用情况说明</w:t>
      </w:r>
    </w:p>
    <w:p w:rsidR="000008AF" w:rsidRDefault="0017191C">
      <w:pPr>
        <w:widowControl/>
        <w:spacing w:line="59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2019年期末，我部门共有车辆2辆，其中：省级领导干部用车0辆、主要领导干部用车0辆、机要通信用车0辆、应急保障车0辆、执法执勤用车0辆、特种专业技术用车0辆、离退休干部用车0辆、其他用车2辆；单位价值50万元以上通用设备0台（套），单位价值100万元以上专用设备0台（套）。</w:t>
      </w:r>
    </w:p>
    <w:p w:rsidR="000008AF" w:rsidRDefault="000008AF">
      <w:pPr>
        <w:widowControl/>
        <w:jc w:val="left"/>
        <w:rPr>
          <w:rFonts w:ascii="楷体_GB2312" w:eastAsia="楷体_GB2312" w:hAnsi="楷体_GB2312" w:cs="楷体_GB2312"/>
          <w:sz w:val="32"/>
          <w:szCs w:val="32"/>
        </w:rPr>
        <w:sectPr w:rsidR="000008AF">
          <w:pgSz w:w="11906" w:h="16838"/>
          <w:pgMar w:top="1440" w:right="1800" w:bottom="1440" w:left="1800" w:header="720" w:footer="720" w:gutter="0"/>
          <w:pgNumType w:fmt="numberInDash"/>
          <w:cols w:space="720"/>
          <w:docGrid w:type="lines" w:linePitch="312"/>
        </w:sect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0008AF">
      <w:pPr>
        <w:widowControl/>
        <w:jc w:val="left"/>
        <w:rPr>
          <w:rFonts w:ascii="黑体" w:eastAsia="黑体" w:hAnsi="宋体" w:cs="宋体"/>
          <w:kern w:val="0"/>
          <w:sz w:val="28"/>
          <w:szCs w:val="28"/>
        </w:rPr>
      </w:pPr>
    </w:p>
    <w:p w:rsidR="000008AF" w:rsidRDefault="0017191C">
      <w:pPr>
        <w:jc w:val="center"/>
        <w:outlineLvl w:val="0"/>
        <w:rPr>
          <w:rFonts w:ascii="黑体" w:eastAsia="黑体" w:hAnsi="黑体" w:cs="黑体"/>
          <w:sz w:val="48"/>
          <w:szCs w:val="48"/>
        </w:rPr>
      </w:pPr>
      <w:r>
        <w:rPr>
          <w:rFonts w:ascii="黑体" w:eastAsia="黑体" w:hAnsi="黑体" w:cs="黑体" w:hint="eastAsia"/>
          <w:sz w:val="48"/>
          <w:szCs w:val="48"/>
        </w:rPr>
        <w:t>第四部分  名词解释</w:t>
      </w:r>
    </w:p>
    <w:p w:rsidR="000008AF" w:rsidRDefault="000008AF">
      <w:pPr>
        <w:jc w:val="center"/>
        <w:rPr>
          <w:rFonts w:ascii="黑体" w:eastAsia="黑体" w:hAnsi="黑体" w:cs="黑体"/>
          <w:sz w:val="48"/>
          <w:szCs w:val="48"/>
        </w:rPr>
      </w:pPr>
    </w:p>
    <w:p w:rsidR="000008AF" w:rsidRDefault="000008AF">
      <w:pPr>
        <w:jc w:val="center"/>
        <w:outlineLvl w:val="0"/>
        <w:rPr>
          <w:rFonts w:ascii="黑体" w:eastAsia="黑体" w:hAnsi="黑体" w:cs="黑体"/>
          <w:sz w:val="48"/>
          <w:szCs w:val="48"/>
        </w:rPr>
        <w:sectPr w:rsidR="000008AF">
          <w:pgSz w:w="11906" w:h="16838"/>
          <w:pgMar w:top="1440" w:right="1531" w:bottom="1440" w:left="1587" w:header="850" w:footer="992" w:gutter="0"/>
          <w:pgNumType w:fmt="numberInDash"/>
          <w:cols w:space="720"/>
          <w:docGrid w:type="lines" w:linePitch="317"/>
        </w:sectPr>
      </w:pP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一、财政拨款收入：单位从同级政府财政部门取得的财政预算资金。</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二、事业收入：事业单位开展专业业务活动及其辅助活动取得的收入。</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三、上级补助收入：事业单位从主管部门和上级单位取得的非财政补助收入。</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四、附属单位上缴收入：事业单位取得附属独立核算单位根据有关规定上缴的收入。</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五、经营收入：事业单位在专业业务活动及其辅助活动之外开展非独立核算经营活动取得的收入。</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六、其他收入：单位取得的除“财政拨款收入”、“事业收入”、“上级补助收入”、“附属单位上缴收入”、“经营收入”以外的各项收入。</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七、用事业基金弥补收支差额：事业单位在当年收入不足以安排当年支出的情况下，使用以前年度积累的事业基金（事业单位当年收支相抵后按国家规定提取、用于弥补以后年度收支差额的基金）弥补当年收支缺口的资金。</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八、基本支出：为保障机构正常运转、完成日常工作任务而发生的人员支出和公用支出。</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九、项目支出：基本支出之外为完成特定行政任务和事业发展目标所发生的支出。</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十、“三公”经费：纳入同级财政预决算管理“三公”经费，指部门使用财政拨款安排的因公出国（境）费、公务用车购置及运行费和公务接待费。其中，因公出国（境）费反映单位公务出国（境）的国际旅费、国外城市间交通费、住宿费、伙食费、培训费、公杂费等支出；公务用车购置及运行费反映反映单位公务用车车辆购置支出（含车辆购置税）及租用费、燃料费、维修费、过路过桥费、保险费、安全奖励费用等支出；公务接待费反映单位按规定开支的各类公务接待（含外宾接待）支出。</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一、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十二、工资福利支出：单位支付给在职职工和编制外长期聘用人员的各类劳动报酬，以及为上述人员缴纳的各项社会保险费等。</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十三、商品和服务支出：单位购买商品和服务的支出。</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十四、对个人和家庭的补助支出：单位用于对个人和家庭的补助支出。</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十五、年末结转：本年度或以前年度预算安排，已执行但尚未完成或因客观条件发生变化无法按原计划实施，需延迟到以后年度按有关规定继续使用的资金。</w:t>
      </w:r>
    </w:p>
    <w:p w:rsidR="000008AF" w:rsidRDefault="0017191C">
      <w:pPr>
        <w:widowControl/>
        <w:spacing w:line="59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十六、年末结余：本年度或以前年度预算安排，已执行完毕或因客观条件发生变化无法按原预算安排实施，不需要再使用或无法按原预算安排继续使用的资金</w:t>
      </w:r>
    </w:p>
    <w:p w:rsidR="000008AF" w:rsidRDefault="000008AF"/>
    <w:sectPr w:rsidR="000008AF">
      <w:pgSz w:w="11906" w:h="16838"/>
      <w:pgMar w:top="1928" w:right="1474" w:bottom="1701" w:left="1588" w:header="851" w:footer="992" w:gutter="0"/>
      <w:pgNumType w:fmt="numberInDash"/>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D9F" w:rsidRDefault="00B41D9F">
      <w:r>
        <w:separator/>
      </w:r>
    </w:p>
  </w:endnote>
  <w:endnote w:type="continuationSeparator" w:id="0">
    <w:p w:rsidR="00B41D9F" w:rsidRDefault="00B41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8AF" w:rsidRDefault="00B41D9F">
    <w:pPr>
      <w:pStyle w:val="a4"/>
    </w:pPr>
    <w:r>
      <w:pict>
        <v:shapetype id="_x0000_t202" coordsize="21600,21600" o:spt="202" path="m,l,21600r21600,l21600,xe">
          <v:stroke joinstyle="miter"/>
          <v:path gradientshapeok="t" o:connecttype="rect"/>
        </v:shapetype>
        <v:shape id="文本框 2055" o:spid="_x0000_s2051" type="#_x0000_t202" style="position:absolute;margin-left:0;margin-top:0;width:2in;height:2in;z-index:251662336;mso-wrap-style:none;mso-position-horizontal:center;mso-position-horizontal-relative:margin;mso-width-relative:page;mso-height-relative:page" filled="f" stroked="f">
          <v:textbox style="mso-fit-shape-to-text:t" inset="0,0,0,0">
            <w:txbxContent>
              <w:p w:rsidR="000008AF" w:rsidRDefault="001719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- 28 -</w:t>
                </w:r>
                <w:r>
                  <w:rPr>
                    <w:rFonts w:hint="eastAsia"/>
                    <w:sz w:val="18"/>
                  </w:rPr>
                  <w:fldChar w:fldCharType="end"/>
                </w:r>
              </w:p>
            </w:txbxContent>
          </v:textbox>
          <w10:wrap anchorx="margin"/>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8AF" w:rsidRDefault="00B41D9F">
    <w:pPr>
      <w:pStyle w:val="a4"/>
    </w:pPr>
    <w:r>
      <w:pict>
        <v:shapetype id="_x0000_t202" coordsize="21600,21600" o:spt="202" path="m,l,21600r21600,l21600,xe">
          <v:stroke joinstyle="miter"/>
          <v:path gradientshapeok="t" o:connecttype="rect"/>
        </v:shapetype>
        <v:shape id="文本框 2054" o:spid="_x0000_s2050" type="#_x0000_t202" style="position:absolute;margin-left:0;margin-top:0;width:2in;height:2in;z-index:251661312;mso-wrap-style:none;mso-position-horizontal:center;mso-position-horizontal-relative:margin;mso-width-relative:page;mso-height-relative:page" filled="f" stroked="f">
          <v:textbox style="mso-fit-shape-to-text:t" inset="0,0,0,0">
            <w:txbxContent>
              <w:p w:rsidR="000008AF" w:rsidRDefault="0017191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AF2FA5">
                  <w:rPr>
                    <w:noProof/>
                    <w:sz w:val="18"/>
                  </w:rPr>
                  <w:t>- 22 -</w:t>
                </w:r>
                <w:r>
                  <w:rPr>
                    <w:rFonts w:hint="eastAsia"/>
                    <w:sz w:val="18"/>
                  </w:rPr>
                  <w:fldChar w:fldCharType="end"/>
                </w:r>
              </w:p>
            </w:txbxContent>
          </v:textbox>
          <w10:wrap anchorx="margin"/>
        </v:shape>
      </w:pict>
    </w:r>
    <w:r>
      <w:pict>
        <v:shape id="文本框 1027" o:spid="_x0000_s2049" type="#_x0000_t202" style="position:absolute;margin-left:0;margin-top:0;width:2in;height:2in;z-index:251660288;mso-wrap-style:none;mso-position-horizontal:center;mso-position-horizontal-relative:margin;mso-width-relative:page;mso-height-relative:page" filled="f" stroked="f">
          <v:textbox style="mso-fit-shape-to-text:t" inset="0,0,0,0">
            <w:txbxContent>
              <w:p w:rsidR="000008AF" w:rsidRDefault="000008AF"/>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D9F" w:rsidRDefault="00B41D9F">
      <w:r>
        <w:separator/>
      </w:r>
    </w:p>
  </w:footnote>
  <w:footnote w:type="continuationSeparator" w:id="0">
    <w:p w:rsidR="00B41D9F" w:rsidRDefault="00B41D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8AF" w:rsidRDefault="000008AF">
    <w:pPr>
      <w:pStyle w:val="a5"/>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8AF" w:rsidRDefault="000008AF">
    <w:pPr>
      <w:pStyle w:val="a5"/>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71BE17"/>
    <w:multiLevelType w:val="singleLevel"/>
    <w:tmpl w:val="5971BE17"/>
    <w:lvl w:ilvl="0">
      <w:start w:val="1"/>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16859"/>
    <w:rsid w:val="000008AF"/>
    <w:rsid w:val="0004163A"/>
    <w:rsid w:val="0005482F"/>
    <w:rsid w:val="00096AC5"/>
    <w:rsid w:val="00163942"/>
    <w:rsid w:val="0017191C"/>
    <w:rsid w:val="001A16C7"/>
    <w:rsid w:val="001A3B0F"/>
    <w:rsid w:val="001B4D70"/>
    <w:rsid w:val="001B5C7B"/>
    <w:rsid w:val="00206C9D"/>
    <w:rsid w:val="002221F8"/>
    <w:rsid w:val="00267FC4"/>
    <w:rsid w:val="00284DEA"/>
    <w:rsid w:val="003B2B01"/>
    <w:rsid w:val="003C6364"/>
    <w:rsid w:val="003C7AA0"/>
    <w:rsid w:val="00437C6F"/>
    <w:rsid w:val="004A2731"/>
    <w:rsid w:val="004D3497"/>
    <w:rsid w:val="004D6726"/>
    <w:rsid w:val="004F6C93"/>
    <w:rsid w:val="00587573"/>
    <w:rsid w:val="005D0980"/>
    <w:rsid w:val="005F6EB0"/>
    <w:rsid w:val="006071DC"/>
    <w:rsid w:val="0063186B"/>
    <w:rsid w:val="006559E0"/>
    <w:rsid w:val="00674EDE"/>
    <w:rsid w:val="006A3809"/>
    <w:rsid w:val="006E0AE5"/>
    <w:rsid w:val="006E0BD9"/>
    <w:rsid w:val="006F2BC6"/>
    <w:rsid w:val="00722856"/>
    <w:rsid w:val="007379DF"/>
    <w:rsid w:val="00755D87"/>
    <w:rsid w:val="007871D2"/>
    <w:rsid w:val="00807EC7"/>
    <w:rsid w:val="008127F8"/>
    <w:rsid w:val="00847F26"/>
    <w:rsid w:val="008640A2"/>
    <w:rsid w:val="008A4D32"/>
    <w:rsid w:val="008D4028"/>
    <w:rsid w:val="008F1F26"/>
    <w:rsid w:val="009030BC"/>
    <w:rsid w:val="0095558C"/>
    <w:rsid w:val="00975CCA"/>
    <w:rsid w:val="0099174E"/>
    <w:rsid w:val="009C2968"/>
    <w:rsid w:val="00A90E9B"/>
    <w:rsid w:val="00AA0F10"/>
    <w:rsid w:val="00AB0D07"/>
    <w:rsid w:val="00AB521A"/>
    <w:rsid w:val="00AD2A4B"/>
    <w:rsid w:val="00AD704D"/>
    <w:rsid w:val="00AF2FA5"/>
    <w:rsid w:val="00AF592F"/>
    <w:rsid w:val="00B41D9F"/>
    <w:rsid w:val="00B46A0C"/>
    <w:rsid w:val="00BC0D9D"/>
    <w:rsid w:val="00C22132"/>
    <w:rsid w:val="00C36112"/>
    <w:rsid w:val="00C51FA0"/>
    <w:rsid w:val="00CD181B"/>
    <w:rsid w:val="00CF644F"/>
    <w:rsid w:val="00D23777"/>
    <w:rsid w:val="00D3446E"/>
    <w:rsid w:val="00D43A68"/>
    <w:rsid w:val="00D50324"/>
    <w:rsid w:val="00D56057"/>
    <w:rsid w:val="00D635C7"/>
    <w:rsid w:val="00D83BE9"/>
    <w:rsid w:val="00DC2E79"/>
    <w:rsid w:val="00DE7745"/>
    <w:rsid w:val="00E129ED"/>
    <w:rsid w:val="00E16859"/>
    <w:rsid w:val="00E72B63"/>
    <w:rsid w:val="00E81EB8"/>
    <w:rsid w:val="00E919BC"/>
    <w:rsid w:val="00F93AD7"/>
    <w:rsid w:val="00FC211F"/>
    <w:rsid w:val="00FF1E58"/>
    <w:rsid w:val="22541578"/>
    <w:rsid w:val="4C4575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449700B1-89E1-426B-B02F-B500373F90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eastAsia="宋体" w:hAnsi="Calibri" w:cs="Times New Roman"/>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1"/>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5">
    <w:name w:val="header"/>
    <w:basedOn w:val="a"/>
    <w:link w:val="Char10"/>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paragraph" w:styleId="a6">
    <w:name w:val="footnote text"/>
    <w:basedOn w:val="a"/>
    <w:link w:val="Char0"/>
    <w:uiPriority w:val="99"/>
    <w:unhideWhenUsed/>
    <w:qFormat/>
    <w:pPr>
      <w:snapToGrid w:val="0"/>
      <w:jc w:val="left"/>
    </w:pPr>
    <w:rPr>
      <w:sz w:val="18"/>
    </w:rPr>
  </w:style>
  <w:style w:type="character" w:styleId="a7">
    <w:name w:val="footnote reference"/>
    <w:basedOn w:val="a0"/>
    <w:uiPriority w:val="99"/>
    <w:unhideWhenUsed/>
    <w:rPr>
      <w:vertAlign w:val="superscript"/>
    </w:rPr>
  </w:style>
  <w:style w:type="character" w:customStyle="1" w:styleId="Char2">
    <w:name w:val="页脚 Char"/>
    <w:uiPriority w:val="99"/>
    <w:rPr>
      <w:sz w:val="18"/>
      <w:szCs w:val="18"/>
    </w:rPr>
  </w:style>
  <w:style w:type="character" w:customStyle="1" w:styleId="Char3">
    <w:name w:val="页眉 Char"/>
    <w:uiPriority w:val="99"/>
    <w:rPr>
      <w:sz w:val="18"/>
      <w:szCs w:val="18"/>
    </w:rPr>
  </w:style>
  <w:style w:type="character" w:customStyle="1" w:styleId="Char0">
    <w:name w:val="脚注文本 Char"/>
    <w:basedOn w:val="a0"/>
    <w:link w:val="a6"/>
    <w:uiPriority w:val="99"/>
    <w:qFormat/>
    <w:rPr>
      <w:rFonts w:ascii="Calibri" w:eastAsia="宋体" w:hAnsi="Calibri" w:cs="Times New Roman"/>
      <w:sz w:val="18"/>
    </w:rPr>
  </w:style>
  <w:style w:type="character" w:customStyle="1" w:styleId="Char10">
    <w:name w:val="页眉 Char1"/>
    <w:basedOn w:val="a0"/>
    <w:link w:val="a5"/>
    <w:uiPriority w:val="99"/>
    <w:semiHidden/>
    <w:qFormat/>
    <w:rPr>
      <w:rFonts w:ascii="Calibri" w:eastAsia="宋体" w:hAnsi="Calibri" w:cs="Times New Roman"/>
      <w:sz w:val="18"/>
      <w:szCs w:val="18"/>
    </w:rPr>
  </w:style>
  <w:style w:type="character" w:customStyle="1" w:styleId="Char1">
    <w:name w:val="页脚 Char1"/>
    <w:basedOn w:val="a0"/>
    <w:link w:val="a4"/>
    <w:uiPriority w:val="99"/>
    <w:semiHidden/>
    <w:qFormat/>
    <w:rPr>
      <w:rFonts w:ascii="Calibri" w:eastAsia="宋体" w:hAnsi="Calibri" w:cs="Times New Roman"/>
      <w:sz w:val="18"/>
      <w:szCs w:val="18"/>
    </w:rPr>
  </w:style>
  <w:style w:type="character" w:customStyle="1" w:styleId="Char">
    <w:name w:val="批注框文本 Char"/>
    <w:basedOn w:val="a0"/>
    <w:link w:val="a3"/>
    <w:uiPriority w:val="99"/>
    <w:semiHidden/>
    <w:qFormat/>
    <w:rPr>
      <w:rFonts w:ascii="Calibri" w:eastAsia="宋体" w:hAnsi="Calibri" w:cs="Times New Roman"/>
      <w:sz w:val="18"/>
      <w:szCs w:val="18"/>
    </w:rPr>
  </w:style>
  <w:style w:type="character" w:customStyle="1" w:styleId="font41">
    <w:name w:val="font41"/>
    <w:rsid w:val="00A90E9B"/>
    <w:rPr>
      <w:rFonts w:ascii="宋体" w:eastAsia="宋体" w:hAnsi="宋体" w:cs="宋体" w:hint="eastAsia"/>
      <w:i w:val="0"/>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50"/>
    <customShpInfo spid="_x0000_s2049"/>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32</Pages>
  <Words>1105</Words>
  <Characters>6299</Characters>
  <Application>Microsoft Office Word</Application>
  <DocSecurity>0</DocSecurity>
  <Lines>52</Lines>
  <Paragraphs>14</Paragraphs>
  <ScaleCrop>false</ScaleCrop>
  <Company>微软中国</Company>
  <LinksUpToDate>false</LinksUpToDate>
  <CharactersWithSpaces>7390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微软用户</cp:lastModifiedBy>
  <cp:revision>53</cp:revision>
  <dcterms:created xsi:type="dcterms:W3CDTF">2020-10-26T08:08:00Z</dcterms:created>
  <dcterms:modified xsi:type="dcterms:W3CDTF">2021-06-22T12:13:00Z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