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807" w:hanging="1600" w:hangingChars="500"/>
        <w:jc w:val="both"/>
        <w:rPr>
          <w:rFonts w:hint="default" w:ascii="黑体" w:hAnsi="黑体" w:eastAsia="黑体"/>
          <w:color w:val="auto"/>
        </w:rPr>
      </w:pPr>
      <w:r>
        <w:rPr>
          <w:rFonts w:ascii="黑体" w:hAnsi="黑体" w:eastAsia="黑体"/>
          <w:color w:val="auto"/>
        </w:rPr>
        <w:t>信阳市平桥区2021年国民经济和   社会发展统计公报</w:t>
      </w:r>
    </w:p>
    <w:p>
      <w:pPr>
        <w:spacing w:line="480" w:lineRule="exact"/>
        <w:ind w:firstLine="420"/>
        <w:jc w:val="center"/>
        <w:rPr>
          <w:rFonts w:ascii="方正楷体简体" w:hAnsi="方正楷体简体" w:eastAsia="方正楷体简体" w:cs="方正楷体简体"/>
          <w:b/>
          <w:bCs/>
          <w:color w:val="auto"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Cs w:val="21"/>
        </w:rPr>
        <w:t>信阳市平桥区统计局</w:t>
      </w:r>
    </w:p>
    <w:p>
      <w:pPr>
        <w:spacing w:line="480" w:lineRule="exact"/>
        <w:ind w:firstLine="420"/>
        <w:jc w:val="center"/>
        <w:rPr>
          <w:rFonts w:ascii="方正楷体简体" w:hAnsi="方正楷体简体" w:eastAsia="方正楷体简体" w:cs="方正楷体简体"/>
          <w:b/>
          <w:bCs/>
          <w:color w:val="auto"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Cs w:val="21"/>
        </w:rPr>
        <w:t>2022年4月1日</w:t>
      </w:r>
    </w:p>
    <w:p>
      <w:pPr>
        <w:ind w:firstLine="420"/>
        <w:rPr>
          <w:color w:val="auto"/>
        </w:rPr>
      </w:pPr>
    </w:p>
    <w:p>
      <w:pPr>
        <w:spacing w:line="480" w:lineRule="exact"/>
        <w:ind w:firstLine="525" w:firstLineChars="25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2</w:t>
      </w:r>
      <w:r>
        <w:rPr>
          <w:rFonts w:hint="eastAsia" w:ascii="方正书宋简体" w:hAnsi="方正书宋简体" w:eastAsia="方正书宋简体" w:cs="方正书宋简体"/>
          <w:bCs/>
          <w:color w:val="auto"/>
          <w:szCs w:val="21"/>
        </w:rPr>
        <w:t>021年是平桥区经济发展历程中极为关键、极不平凡的一年，面对复杂严峻的发展环境、诸多风险挑战交织，特别是新冠肺炎疫情对全区经济发展带来严重冲击，全区上下以习近平新时代中国特色社会主义思想为指导，深入贯彻习近平总书记视察河南重要讲话精神和重要指示，坚持稳中求进工作总基调，顶住压力迎难而上、破解难题砥砺前行，经济社会各项工作取得明显成效。2021年在区委、区政府的正确领导下，统筹推进疫情防控和经济社会发展，扎实做好“六稳”工作，全面落实“六保”任务，着力打好三大攻坚战，做好“产城村”三篇文章，全区经济持续恢复向好，各项社会事业繁荣发展，生态环境质量全面改善，社会大局和谐稳定，决胜全面建成小康社会取得决定性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成就。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00" w:lineRule="exact"/>
        <w:ind w:firstLine="422" w:firstLineChars="200"/>
        <w:jc w:val="both"/>
        <w:rPr>
          <w:rFonts w:ascii="黑体" w:hAnsi="黑体" w:eastAsia="黑体" w:cs="方正书宋简体"/>
          <w:b/>
          <w:color w:val="auto"/>
          <w:szCs w:val="21"/>
        </w:rPr>
      </w:pPr>
      <w:r>
        <w:rPr>
          <w:rFonts w:hint="eastAsia" w:ascii="黑体" w:hAnsi="黑体" w:eastAsia="黑体" w:cs="方正书宋简体"/>
          <w:b/>
          <w:color w:val="auto"/>
          <w:szCs w:val="21"/>
        </w:rPr>
        <w:t>综合</w:t>
      </w:r>
    </w:p>
    <w:p>
      <w:pPr>
        <w:spacing w:line="50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初步核算，2021年平桥区属地区生产总值完成280.6亿元，同比增长7.4%（全国增速为8.1%，全省增速为6.3%，全市增速为6.5%），增速居全市第1位。其中：第一产业增加值完成52.0亿元，同比增长6.8%，与全市平均增速持平，增速居全市第3位；第二产业增加值完成114.8亿元，同比增长6.4%，比全市平均增速高1.7个百分点，增速居全市第3位；第三产业增加值完成113.8亿元，同比增长8.6%，比全市平均增速高0.8个百分点，增速居全市第2位。三次产业结构为18.5：40.9:40.6，三次产业结构更加合理。全年人均地区生产总值49948元（含三区），比上年增长10.4%；全年人均地区生产总值49185元（不含三区），比上年增长13.3%。</w:t>
      </w:r>
    </w:p>
    <w:p>
      <w:pPr>
        <w:spacing w:line="500" w:lineRule="exact"/>
        <w:ind w:firstLine="420"/>
        <w:rPr>
          <w:rFonts w:ascii="方正书宋简体" w:hAnsi="方正书宋简体" w:eastAsia="方正书宋简体" w:cs="方正书宋简体"/>
          <w:b/>
          <w:bCs/>
          <w:color w:val="auto"/>
          <w:szCs w:val="21"/>
        </w:rPr>
      </w:pPr>
    </w:p>
    <w:p>
      <w:pPr>
        <w:spacing w:line="500" w:lineRule="exact"/>
        <w:ind w:firstLine="420"/>
        <w:rPr>
          <w:rFonts w:ascii="方正书宋简体" w:hAnsi="方正书宋简体" w:eastAsia="方正书宋简体" w:cs="方正书宋简体"/>
          <w:b/>
          <w:bCs/>
          <w:color w:val="auto"/>
          <w:szCs w:val="21"/>
        </w:rPr>
      </w:pPr>
    </w:p>
    <w:p>
      <w:pPr>
        <w:spacing w:line="500" w:lineRule="exact"/>
        <w:ind w:firstLine="420"/>
        <w:rPr>
          <w:rFonts w:ascii="方正书宋简体" w:hAnsi="方正书宋简体" w:eastAsia="方正书宋简体" w:cs="方正书宋简体"/>
          <w:b/>
          <w:bCs/>
          <w:color w:val="auto"/>
          <w:szCs w:val="21"/>
        </w:rPr>
      </w:pPr>
    </w:p>
    <w:p>
      <w:pPr>
        <w:pStyle w:val="6"/>
        <w:spacing w:before="0" w:beforeAutospacing="0" w:after="0" w:afterAutospacing="0" w:line="480" w:lineRule="exact"/>
        <w:rPr>
          <w:rFonts w:ascii="方正书宋简体" w:hAnsi="方正书宋简体" w:eastAsia="方正书宋简体" w:cs="方正书宋简体"/>
          <w:color w:val="auto"/>
          <w:sz w:val="18"/>
          <w:szCs w:val="18"/>
        </w:rPr>
      </w:pP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bCs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bCs/>
          <w:color w:val="auto"/>
          <w:sz w:val="21"/>
          <w:szCs w:val="21"/>
        </w:rPr>
        <w:t>根据公安户籍人口及其变动情况统计，全区（含羊山新区、高新区和上天梯管理区）2021年末总户数29.96万户，总人口91.84万人，比上年末增加0.45万人，其中城镇人口34.81万人，乡村人口57.02万人；其中平桥区辖区总户数24.80万户，总人口76.62万人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  <w:sectPr>
          <w:footerReference r:id="rId3" w:type="default"/>
          <w:pgSz w:w="7370" w:h="10431"/>
          <w:pgMar w:top="964" w:right="1020" w:bottom="964" w:left="1020" w:header="680" w:footer="737" w:gutter="0"/>
          <w:cols w:space="0" w:num="1"/>
          <w:docGrid w:linePitch="312" w:charSpace="0"/>
        </w:sect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根据2021年人口抽样统计，全区（含三区）年末常住人口86.39万出生人口0.6万人，人口出生率7.23</w:t>
      </w:r>
      <w:r>
        <w:rPr>
          <w:rFonts w:ascii="Arial" w:hAnsi="Arial" w:eastAsia="方正书宋简体" w:cs="Arial"/>
          <w:color w:val="auto"/>
          <w:sz w:val="21"/>
          <w:szCs w:val="21"/>
        </w:rPr>
        <w:t>‰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,死亡人口0.7万人,人口死亡率8.03</w:t>
      </w:r>
      <w:r>
        <w:rPr>
          <w:rFonts w:ascii="Arial" w:hAnsi="Arial" w:eastAsia="方正书宋简体" w:cs="Arial"/>
          <w:color w:val="auto"/>
          <w:sz w:val="21"/>
          <w:szCs w:val="21"/>
        </w:rPr>
        <w:t>‰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,人口自然增长率-0.8</w:t>
      </w:r>
      <w:r>
        <w:rPr>
          <w:rFonts w:ascii="Arial" w:hAnsi="Arial" w:eastAsia="方正书宋简体" w:cs="Arial"/>
          <w:color w:val="auto"/>
          <w:sz w:val="21"/>
          <w:szCs w:val="21"/>
        </w:rPr>
        <w:t>‰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。</w:t>
      </w:r>
    </w:p>
    <w:p>
      <w:pPr>
        <w:pStyle w:val="7"/>
        <w:ind w:firstLine="210"/>
        <w:rPr>
          <w:color w:val="auto"/>
        </w:rPr>
      </w:pP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根据人口抽样，2021年全区常住人口86.39万人，比上年减少1.17万人，减少1.3%。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据初步推算，平桥区年末从业人员46.81万人，比去年同期增长0.1%，其中城镇就业人员11.15万人，同比增长1.9%；全年城镇新增就业人员16911人，同比减少6.0%，失业人员实现再就业7427人，就业困难人员实现再就业2432人。年末城镇登记失业率2.65%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据初步统计2021年在岗职工年平均工资70307元，较上年同比增长5.4%。</w:t>
      </w:r>
    </w:p>
    <w:p>
      <w:pPr>
        <w:pStyle w:val="3"/>
        <w:snapToGrid w:val="0"/>
        <w:spacing w:before="0" w:after="0" w:line="480" w:lineRule="exact"/>
        <w:ind w:firstLine="420"/>
        <w:jc w:val="both"/>
        <w:rPr>
          <w:rFonts w:ascii="方正书宋简体" w:hAnsi="方正书宋简体" w:eastAsia="方正书宋简体" w:cs="方正书宋简体"/>
          <w:b w:val="0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b w:val="0"/>
          <w:color w:val="auto"/>
          <w:szCs w:val="21"/>
        </w:rPr>
        <w:t>2021年末平桥区城镇化率为65.85%，比上年提升0.83个百分点。</w:t>
      </w:r>
    </w:p>
    <w:p>
      <w:pPr>
        <w:pStyle w:val="3"/>
        <w:snapToGrid w:val="0"/>
        <w:spacing w:before="0" w:after="0" w:line="480" w:lineRule="exact"/>
        <w:ind w:firstLine="420"/>
        <w:jc w:val="both"/>
        <w:rPr>
          <w:rFonts w:ascii="方正书宋简体" w:hAnsi="方正书宋简体" w:eastAsia="方正书宋简体" w:cs="方正书宋简体"/>
          <w:color w:val="auto"/>
          <w:szCs w:val="21"/>
        </w:rPr>
      </w:pPr>
    </w:p>
    <w:p>
      <w:pPr>
        <w:ind w:firstLine="420"/>
        <w:rPr>
          <w:color w:val="auto"/>
        </w:rPr>
      </w:pPr>
    </w:p>
    <w:p>
      <w:pPr>
        <w:pStyle w:val="7"/>
        <w:ind w:firstLine="210"/>
        <w:rPr>
          <w:color w:val="auto"/>
        </w:rPr>
      </w:pPr>
    </w:p>
    <w:p>
      <w:pPr>
        <w:pStyle w:val="7"/>
        <w:ind w:firstLine="210"/>
        <w:rPr>
          <w:color w:val="auto"/>
        </w:rPr>
      </w:pPr>
    </w:p>
    <w:p>
      <w:pPr>
        <w:pStyle w:val="7"/>
        <w:ind w:firstLine="210"/>
        <w:rPr>
          <w:color w:val="auto"/>
        </w:rPr>
      </w:pP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2021年平桥区（不含羊山新区、高新区和上天梯管理区）一般公共预算收入108426万元，同比增长12.5%；其中税收收入78127万元，同比增长8.3%;非税收入30299万元，同比增长25.1%。</w:t>
      </w:r>
    </w:p>
    <w:p>
      <w:pPr>
        <w:pStyle w:val="7"/>
        <w:ind w:firstLine="210"/>
        <w:rPr>
          <w:rFonts w:ascii="方正书宋简体" w:hAnsi="方正书宋简体" w:eastAsia="方正书宋简体" w:cs="方正书宋简体"/>
          <w:color w:val="auto"/>
          <w:szCs w:val="21"/>
        </w:rPr>
      </w:pPr>
    </w:p>
    <w:p>
      <w:pPr>
        <w:spacing w:line="480" w:lineRule="exact"/>
        <w:ind w:firstLine="422"/>
        <w:rPr>
          <w:rFonts w:ascii="黑体" w:hAnsi="黑体" w:eastAsia="黑体" w:cs="方正书宋简体"/>
          <w:b/>
          <w:bCs/>
          <w:color w:val="auto"/>
          <w:szCs w:val="21"/>
        </w:rPr>
      </w:pPr>
      <w:r>
        <w:rPr>
          <w:rFonts w:hint="eastAsia" w:ascii="黑体" w:hAnsi="黑体" w:eastAsia="黑体" w:cs="方正书宋简体"/>
          <w:b/>
          <w:bCs/>
          <w:color w:val="auto"/>
          <w:szCs w:val="21"/>
        </w:rPr>
        <w:t>二、农业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全年农林牧渔业总产值1056151万元，比上年增长7.7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。其中农业产值669422万元，比上年增长4.4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；林业产值21047 万元，比上年增长5.5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；畜牧业产值225316万元，比上年增长18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；渔业产值42223 万元，比上年增长7.4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；农林牧渔服务业产值98143 万元，比上年增长9.8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。全年农林牧渔业增加值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566177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万元，按可比价计算增长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6.9%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全年粮食种植面积74266.67公顷，比上年增加 652.67公顷。其中，小麦种植面积 33002.35公顷，增加588.35公顷；稻谷种植面积37833.31公顷，增加873.98公顷；玉米种植面积1746.67公顷，比去年减少114.93公顷。棉花种植面积17.9公顷，同比增加 0.1公顷。油料种植面积 24522.9公顷，比去年同期增加185.6公顷。蔬菜种植14414.5公顷，增加 123.9 公顷。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全年粮食产量49.85万吨，比上年增加0.1万吨，增长0.2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。其中，夏粮产量14.59万吨，增长1.94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，小麦产量14.59万吨，增产1.94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；秋粮产量35.26万吨，下降0.49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，稻谷产量33.65万吨，增产0.25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，玉米产量0.96万吨，比去年下降 7.3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全年棉花产量16.9吨，与上年下降11%。油料产量10.8万吨，增长3.2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。糖料产量0.03万吨，减产 33.9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。茶叶产量 0.18万吨，增产 0.8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预计全年猪牛羊禽肉产量7.92万吨，比上年增长16.3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。其中，猪肉产量  6.95万吨，增长15.45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；牛肉产量2500吨，增长5.73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；羊肉产量900吨，增长132.27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；禽肉产量  6200吨，增长21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。禽蛋产量3.01万吨，增长2.7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。年末生猪存栏59.59万头，增长6.66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；年度生猪出栏83.55万头，增长6.75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 xml:space="preserve">全年水产品产量3.26万吨，比上年增长1.2 %。其中，养殖水产品产量3.15 万吨，下降0.3 </w:t>
      </w:r>
      <w:r>
        <w:rPr>
          <w:rFonts w:ascii="方正书宋简体" w:hAnsi="方正书宋简体" w:eastAsia="方正书宋简体" w:cs="方正书宋简体"/>
          <w:color w:val="auto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；捕捞水产品产量   0.11万吨，同比83.2%。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全年木材产量1.8 万立方米，同比下降14.7%。</w:t>
      </w:r>
    </w:p>
    <w:p>
      <w:pPr>
        <w:pStyle w:val="7"/>
        <w:ind w:firstLine="210"/>
        <w:rPr>
          <w:color w:val="auto"/>
        </w:rPr>
      </w:pPr>
    </w:p>
    <w:p>
      <w:pPr>
        <w:spacing w:line="480" w:lineRule="exact"/>
        <w:ind w:firstLine="422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三、工业和建筑业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2021年末平桥辖区（不含羊山新区、高新区和上天梯管理区）规模以上工业企业147家，较上年增加14家。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2021年平桥辖区（不含三区）规上工业累计完</w:t>
      </w:r>
      <w:r>
        <w:rPr>
          <w:rFonts w:hint="eastAsia" w:ascii="方正书宋简体" w:hAnsi="新宋体" w:eastAsia="方正书宋简体" w:cs="仿宋"/>
          <w:color w:val="auto"/>
          <w:szCs w:val="21"/>
        </w:rPr>
        <w:t>成增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加值138.5亿元，同比增长10.4%，其中：中省市企业完成增加值47.4亿元，同比下降4.3%，纯平桥企业完成增加值91.0亿元，同比增长18.3%；平桥产业集聚区完成工业增加值48.69亿元，同比增长12.0%，明港产业集聚区完成工业增加值85.9亿元，同比增长10.7%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全区规模以上工业23个行业大类中有17个行业增加值呈现增长态势，增长面高达73.9%。也有部分行业出现下滑情况，其中代表性的行业有：黑色金属矿采选业下降44.5%；专用设备制造业下降17.6%；电力、热力生产和供应业下降2.3%。</w:t>
      </w:r>
    </w:p>
    <w:p>
      <w:pPr>
        <w:spacing w:line="480" w:lineRule="exact"/>
        <w:ind w:firstLine="422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四、固定资产投资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全年固定资产投资（不含羊山新区、高新区和上天梯管理区）143.9亿元，比上年增长19.3%。在固定资产投资（不含农户）中，第一产业投资5.98亿元，增长52.5%；第二产业投资52.58亿元，增长42.6%；第三产业投资85.34亿元，增长6.9%。基础设施投资52.77亿元，比上年下降1.7%，占固定资产投资（不含农户）的比重为36.7%。民间固定资产投资84.1亿元，比上年下降2.0%，占固定资产投资（不含农户）的比重为58.4%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全年房地产开发投资16.2亿元，比上年增长2.1%。其中住宅投资增长17.7%。</w:t>
      </w:r>
    </w:p>
    <w:p>
      <w:pPr>
        <w:spacing w:line="480" w:lineRule="exact"/>
        <w:ind w:firstLine="422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五、国内贸易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全年社会消费品零售总额（含羊山新区、高新区、上天梯管理区）165.6亿元，同比增长6.6%。按经营地统计，城镇消费品零售额126亿元，同比增长6.8%；乡村消费品零售额39.6亿元，同比增长6.2%。按消费类型统计，商品零售额190亿元，同比增长11.3%；住宿餐饮收入额12.6亿元，增长11.6%。</w:t>
      </w:r>
    </w:p>
    <w:p>
      <w:pPr>
        <w:pStyle w:val="7"/>
        <w:ind w:firstLine="210"/>
        <w:rPr>
          <w:color w:val="auto"/>
        </w:rPr>
      </w:pPr>
    </w:p>
    <w:p>
      <w:pPr>
        <w:pStyle w:val="7"/>
        <w:ind w:firstLine="210"/>
        <w:rPr>
          <w:color w:val="auto"/>
        </w:rPr>
      </w:pPr>
    </w:p>
    <w:p>
      <w:pPr>
        <w:pStyle w:val="7"/>
        <w:ind w:firstLine="210"/>
        <w:rPr>
          <w:color w:val="auto"/>
        </w:rPr>
      </w:pPr>
    </w:p>
    <w:p>
      <w:pPr>
        <w:spacing w:line="480" w:lineRule="exact"/>
        <w:ind w:firstLine="422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六、对外经济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全年货物进出口总额</w:t>
      </w:r>
      <w:r>
        <w:rPr>
          <w:rFonts w:hint="eastAsia" w:ascii="方正书宋简体" w:hAnsi="楷体" w:eastAsia="方正书宋简体" w:cs="楷体"/>
          <w:bCs/>
          <w:color w:val="auto"/>
          <w:szCs w:val="21"/>
        </w:rPr>
        <w:t>13703.4</w:t>
      </w: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万美元（2021年全年累计货物进出口总额、进口、出口等3个数据出自全区6家进出口企业中4家自报统计汇总数据，海关自2020年8月份起，暂未向县区反馈此类数据），全年实际利用外资金额5796万美元。</w:t>
      </w:r>
    </w:p>
    <w:p>
      <w:pPr>
        <w:spacing w:line="480" w:lineRule="exact"/>
        <w:ind w:firstLine="422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七、交通、邮电和旅游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平桥区境内公路通车里程2821.8公里，同比增长1.03%。其中：高速公路122.8公里，与去年持平；国道56.6公里，与去年持平；省道72.5公里，与去年持平；县道325公里，与去年持平；乡道365.5公里，与去年持平；村道1879.4公里，同比增长1.04%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年末全区各类运输车辆6518台，同比增长1%，其中货运车6379台，客运车139台。2020年载客量461万人次，同比增长3.3%；客运周转量13857万人公里，同比增长8.85%。</w:t>
      </w:r>
    </w:p>
    <w:p>
      <w:pPr>
        <w:pStyle w:val="7"/>
        <w:ind w:firstLine="210"/>
        <w:rPr>
          <w:color w:val="auto"/>
        </w:rPr>
      </w:pPr>
    </w:p>
    <w:p>
      <w:pPr>
        <w:spacing w:line="480" w:lineRule="exact"/>
        <w:ind w:firstLine="422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八、居民收入消费和社会保障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2021年，平桥区居民人均可支配收入为27496元，比上年名义增长9.6%，扣除价格因素，实际增长9.1%。其中，城镇居民人均可支配收入35874元，同比增长8.5%（以下如无特别说明，均为同比名义增长），扣除价格因素，实际增长8.0%；农村居民人均可支配收入为17793元，同比增长10.2%，扣除价格因素，实际增长9.7%。</w:t>
      </w:r>
    </w:p>
    <w:p>
      <w:pPr>
        <w:spacing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</w:p>
    <w:p>
      <w:pPr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</w:p>
    <w:p>
      <w:pPr>
        <w:pStyle w:val="7"/>
        <w:ind w:firstLine="0" w:firstLineChars="0"/>
        <w:rPr>
          <w:color w:val="auto"/>
        </w:rPr>
      </w:pPr>
    </w:p>
    <w:p>
      <w:pPr>
        <w:spacing w:line="480" w:lineRule="exact"/>
        <w:ind w:firstLine="420"/>
        <w:rPr>
          <w:color w:val="auto"/>
        </w:rPr>
      </w:pPr>
      <w:r>
        <w:rPr>
          <w:rFonts w:hint="eastAsia" w:ascii="方正书宋简体" w:hAnsi="方正书宋简体" w:eastAsia="方正书宋简体" w:cs="方正书宋简体"/>
          <w:color w:val="auto"/>
          <w:szCs w:val="21"/>
        </w:rPr>
        <w:t>按收入来源分，全年平桥区居民人均工资性收入16574元，比上年增长8.8%，占可支配收入的比重为60.3%；经营性净收入为3070元，比上年增长0.7%，占可支配收入的比重为11.2%，人均财产净收入2688元，比上年增长37.6%，占可支配收入的比重为9.8%；人均转移净收入5164元，同比增长6.1%，占可支配收入的比重为18.7%</w:t>
      </w:r>
      <w:r>
        <w:rPr>
          <w:rFonts w:hint="eastAsia"/>
          <w:color w:val="auto"/>
        </w:rPr>
        <w:t>。</w:t>
      </w:r>
    </w:p>
    <w:p>
      <w:pPr>
        <w:spacing w:line="480" w:lineRule="exact"/>
        <w:ind w:firstLine="422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九、教育、科学技术和文化体育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2021年，平桥区内学校（含高新区、上天梯管理区，不含羊山新区）普通高中招生6493人，在校生15605人，毕业生5282人。初中招生13502人，在校生33898人，毕业生11534人。普通小学招生9899人，在校生67912人，毕业生13132人。特殊教育招生15人，在校生111人。学前教育在园幼儿21384人。平桥区中等职业教育招生4171人，在校生11374人，毕业生3479人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年末全区（不含羊山新区、高新区和上天梯管理区）文化系统共有艺术表演团体 4 个，博物馆1 个，文化馆2个。全区共有公共图书馆19 个，现有文献信息资源53.19万册，文献年流通28.4万册次，注册读者6.1万人。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区内已建成省级重点实验室1家，省级工程技术研究中心8家，市级工程技术研究中心13家。</w:t>
      </w:r>
    </w:p>
    <w:p>
      <w:pPr>
        <w:spacing w:line="480" w:lineRule="exact"/>
        <w:ind w:firstLine="422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十、卫生和社会服务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年末全区共有医疗卫生机构487个，其中医院 18个。基层医疗卫生机构 463个：其中乡镇卫生院 16个，社区卫生服务中心（站）78个，门诊部（所）15个，村卫生室270个，诊所、卫生所、医务室84个。专业公共卫生机构4个：其中疾病预防控制中心1个，卫生监督所（中心）1个，妇幼保健院(所、站)1个，计划生育技术服务机构1个。年末卫生技术人员6107人，其中执业医师和执业助理医师2382人，注册护士2648人。医疗卫生机构床位6012张，其中医院3688张，乡镇卫生院1666张。</w:t>
      </w:r>
    </w:p>
    <w:p>
      <w:pPr>
        <w:spacing w:line="480" w:lineRule="exact"/>
        <w:ind w:firstLine="422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十一、资源环境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全年全区（不含羊山新区、高新区、上天梯管理区）国有建设用地供应总量38.6092公顷，比上年增长49.71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。其中，工矿仓储用地14.0516公顷，增长52.37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；房地产用地13.1675公顷，增长269.13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；基础设施等用地     11.3901公顷，下降12.38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全年水资源总量8.5441亿立方米。年末全区监测的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5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座中型水库蓄水总量0.4451亿立方米，比上年末蓄水量增加24.57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。全年总用水量1.289亿立方米，比上年下降47.50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。其中，生活用水下降48.93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，农业用水下降73.86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，工业用水下降21.48%。万元国内生产总值用水量44.1立方米，比上年略降1.34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。人均综合用水量（常住人口）203.5立方米，与上年基本持平。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全年完成人工植树造林面积3433公顷。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全区万元生产总值能耗（预计）下降3.00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，与上年基本持平。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 w:val="21"/>
          <w:szCs w:val="21"/>
        </w:rPr>
      </w:pP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20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21年，平桥区城市空气质量优质天数290天，较上年增长10天。细颗粒物（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PM2.5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）年平均浓度40微克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/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立方米，比上年下降2微克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/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立方米，细颗粒物（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PM10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）年平均浓度65微克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/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立方米，比上年下降3微克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/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立方米。</w:t>
      </w:r>
    </w:p>
    <w:p>
      <w:pPr>
        <w:pStyle w:val="6"/>
        <w:spacing w:before="0" w:beforeAutospacing="0" w:after="0" w:afterAutospacing="0" w:line="480" w:lineRule="exact"/>
        <w:ind w:firstLine="420"/>
        <w:rPr>
          <w:rFonts w:ascii="方正书宋简体" w:hAnsi="方正书宋简体" w:eastAsia="方正书宋简体" w:cs="方正书宋简体"/>
          <w:color w:val="auto"/>
          <w:szCs w:val="21"/>
        </w:rPr>
      </w:pP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全年累计降水量1252.8毫米，比上年下降14.65</w:t>
      </w:r>
      <w:r>
        <w:rPr>
          <w:rFonts w:ascii="方正书宋简体" w:hAnsi="方正书宋简体" w:eastAsia="方正书宋简体" w:cs="方正书宋简体"/>
          <w:color w:val="auto"/>
          <w:sz w:val="21"/>
          <w:szCs w:val="21"/>
        </w:rPr>
        <w:t>%</w:t>
      </w:r>
      <w:r>
        <w:rPr>
          <w:rFonts w:hint="eastAsia" w:ascii="方正书宋简体" w:hAnsi="方正书宋简体" w:eastAsia="方正书宋简体" w:cs="方正书宋简体"/>
          <w:color w:val="auto"/>
          <w:sz w:val="21"/>
          <w:szCs w:val="21"/>
        </w:rPr>
        <w:t>。全年平均气温为17.1℃，比上年上升0.2℃。</w:t>
      </w:r>
    </w:p>
    <w:p>
      <w:pPr>
        <w:spacing w:line="480" w:lineRule="exact"/>
        <w:rPr>
          <w:color w:val="auto"/>
        </w:rPr>
      </w:pPr>
      <w:r>
        <w:rPr>
          <w:rFonts w:hint="eastAsia" w:ascii="方正书宋简体" w:hAnsi="方正楷体简体" w:eastAsia="方正书宋简体" w:cs="方正楷体简体"/>
          <w:b/>
          <w:color w:val="auto"/>
          <w:szCs w:val="21"/>
        </w:rPr>
        <w:t>注：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1、本公报数据均为初步统计数，最终数据以统计年鉴为准。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2、未做特殊说明的数据口径包含羊山新区、信阳高新区、上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天梯管理区数据。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3、地区生产总值、各产业增加值和产值绝对数按现行价格计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算，增长速度按可比价格计算。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4、资料来源：平桥区统计局、平桥区教育体育局、平桥区工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业和信息化局、平桥公安分局、平桥区民政局、平桥区财政局、平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桥区人力资源和社会保障局、平桥区生态环境局、平桥区住房和城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乡建设局、平桥区城市管理局、平桥区交通运输局、平桥区农业农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村局、平桥区水利局、平桥区商务局、平桥区文化和旅游局、平桥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区卫生健康委员会、平桥区市场监督管理局、平桥区医疗保障局、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平桥区林业局、平桥区扶贫开发办公室、信阳市自然资源局平桥分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方正书宋简体" w:hAnsi="方正书宋简体" w:eastAsia="方正书宋简体" w:cs="方正书宋简体"/>
          <w:color w:val="auto"/>
          <w:kern w:val="0"/>
          <w:sz w:val="21"/>
          <w:szCs w:val="21"/>
          <w:lang w:val="en-US" w:eastAsia="zh-CN" w:bidi="ar"/>
        </w:rPr>
        <w:t xml:space="preserve">局及明港分局等。 </w:t>
      </w:r>
    </w:p>
    <w:p>
      <w:pPr>
        <w:pStyle w:val="7"/>
        <w:ind w:left="0" w:leftChars="0" w:firstLine="0" w:firstLineChars="0"/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61035" cy="139700"/>
              <wp:effectExtent l="0" t="0" r="0" b="0"/>
              <wp:wrapNone/>
              <wp:docPr id="172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top:0pt;height:11pt;width:52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9aPUm0QAAAAQBAAAPAAAAAAAAAAEAIAAAACIAAABkcnMvZG93bnJldi54&#10;bWxQSwECFAAUAAAACACHTuJAXq0llgECAAASBAAADgAAAAAAAAABACAAAAAg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D2DB6"/>
    <w:multiLevelType w:val="singleLevel"/>
    <w:tmpl w:val="99CD2D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2JlOTliNmQ4Yjc0ZGVmNDJkODIyOTUwZTMzNjYifQ=="/>
  </w:docVars>
  <w:rsids>
    <w:rsidRoot w:val="00000000"/>
    <w:rsid w:val="6BD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20" w:beforeAutospacing="0" w:after="120" w:afterAutospacing="0" w:line="440" w:lineRule="exact"/>
      <w:ind w:left="0" w:right="0"/>
      <w:jc w:val="center"/>
      <w:outlineLvl w:val="0"/>
    </w:pPr>
    <w:rPr>
      <w:rFonts w:hint="eastAsia" w:ascii="宋体" w:hAnsi="宋体" w:eastAsia="方正小标宋简体" w:cs="宋体"/>
      <w:kern w:val="44"/>
      <w:sz w:val="32"/>
      <w:szCs w:val="1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120" w:after="120"/>
      <w:jc w:val="center"/>
      <w:outlineLvl w:val="3"/>
    </w:pPr>
    <w:rPr>
      <w:rFonts w:ascii="宋体" w:hAnsi="宋体" w:eastAsia="方正黑体简体" w:cs="宋体"/>
      <w:b/>
      <w:szCs w:val="1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2024-01-22T08:42:20Z</dcterms:created>
  <dc:creator>Administrator</dc:creator>
  <cp:lastModifiedBy>WPS_1177601526</cp:lastModifiedBy>
  <dcterms:modified xsi:type="dcterms:W3CDTF">2024-01-22T08:42:40Z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CBEE8E6D41A449578A26DF235E4BBCF8_12</vt:lpwstr>
  </property>
</Properties>
</file>