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spacing w:before="10"/>
        <w:rPr>
          <w:rFonts w:hint="eastAsia" w:ascii="Times New Roman"/>
          <w:sz w:val="26"/>
        </w:rPr>
      </w:pPr>
    </w:p>
    <w:p>
      <w:pPr>
        <w:pStyle w:val="7"/>
        <w:rPr>
          <w:rFonts w:hint="eastAsia"/>
          <w:lang w:eastAsia="zh-CN"/>
        </w:rPr>
      </w:pPr>
      <w:r>
        <w:rPr>
          <w:lang w:eastAsia="zh-CN"/>
        </w:rPr>
        <w:t>202</w:t>
      </w:r>
      <w:r>
        <w:rPr>
          <w:rFonts w:hint="eastAsia"/>
          <w:lang w:eastAsia="zh-CN"/>
        </w:rPr>
        <w:t>3</w:t>
      </w:r>
      <w:r>
        <w:rPr>
          <w:lang w:eastAsia="zh-CN"/>
        </w:rPr>
        <w:t>年度</w:t>
      </w:r>
    </w:p>
    <w:p>
      <w:pPr>
        <w:pStyle w:val="7"/>
        <w:spacing w:before="287" w:line="343" w:lineRule="auto"/>
        <w:ind w:left="141"/>
        <w:rPr>
          <w:lang w:eastAsia="zh-CN"/>
        </w:rPr>
      </w:pPr>
      <w:r>
        <w:rPr>
          <w:rFonts w:hint="eastAsia"/>
          <w:lang w:eastAsia="zh-CN"/>
        </w:rPr>
        <w:t>信阳市平桥区胡店乡财税所</w:t>
      </w:r>
      <w:r>
        <w:rPr>
          <w:lang w:eastAsia="zh-CN"/>
        </w:rPr>
        <w:t>单位</w:t>
      </w:r>
    </w:p>
    <w:p>
      <w:pPr>
        <w:pStyle w:val="7"/>
        <w:spacing w:before="287" w:line="343" w:lineRule="auto"/>
        <w:ind w:left="141"/>
        <w:rPr>
          <w:rFonts w:hint="eastAsia"/>
          <w:lang w:eastAsia="zh-CN"/>
        </w:rPr>
      </w:pPr>
      <w:r>
        <w:rPr>
          <w:lang w:eastAsia="zh-CN"/>
        </w:rPr>
        <w:t>决算公开</w:t>
      </w:r>
    </w:p>
    <w:p>
      <w:pPr>
        <w:pStyle w:val="4"/>
        <w:rPr>
          <w:rFonts w:hint="eastAsia" w:ascii="黑体"/>
          <w:sz w:val="52"/>
          <w:lang w:eastAsia="zh-CN"/>
        </w:rPr>
      </w:pPr>
    </w:p>
    <w:p>
      <w:pPr>
        <w:pStyle w:val="4"/>
        <w:rPr>
          <w:rFonts w:hint="eastAsia" w:ascii="黑体"/>
          <w:sz w:val="52"/>
          <w:lang w:eastAsia="zh-CN"/>
        </w:rPr>
      </w:pPr>
    </w:p>
    <w:p>
      <w:pPr>
        <w:pStyle w:val="4"/>
        <w:rPr>
          <w:rFonts w:hint="eastAsia" w:ascii="黑体"/>
          <w:sz w:val="52"/>
          <w:lang w:eastAsia="zh-CN"/>
        </w:rPr>
      </w:pPr>
    </w:p>
    <w:p>
      <w:pPr>
        <w:pStyle w:val="4"/>
        <w:rPr>
          <w:rFonts w:hint="eastAsia" w:ascii="黑体"/>
          <w:sz w:val="52"/>
          <w:lang w:eastAsia="zh-CN"/>
        </w:rPr>
      </w:pPr>
    </w:p>
    <w:p>
      <w:pPr>
        <w:pStyle w:val="4"/>
        <w:rPr>
          <w:rFonts w:hint="eastAsia" w:ascii="黑体"/>
          <w:sz w:val="52"/>
          <w:lang w:eastAsia="zh-CN"/>
        </w:rPr>
      </w:pPr>
    </w:p>
    <w:p>
      <w:pPr>
        <w:pStyle w:val="4"/>
        <w:rPr>
          <w:rFonts w:hint="eastAsia" w:ascii="黑体"/>
          <w:sz w:val="52"/>
          <w:lang w:eastAsia="zh-CN"/>
        </w:rPr>
      </w:pPr>
    </w:p>
    <w:p>
      <w:pPr>
        <w:pStyle w:val="4"/>
        <w:rPr>
          <w:rFonts w:hint="eastAsia" w:ascii="黑体"/>
          <w:sz w:val="52"/>
          <w:lang w:eastAsia="zh-CN"/>
        </w:rPr>
      </w:pPr>
    </w:p>
    <w:p>
      <w:pPr>
        <w:pStyle w:val="4"/>
        <w:rPr>
          <w:rFonts w:hint="eastAsia" w:ascii="黑体"/>
          <w:sz w:val="52"/>
          <w:lang w:eastAsia="zh-CN"/>
        </w:rPr>
      </w:pPr>
    </w:p>
    <w:p>
      <w:pPr>
        <w:pStyle w:val="4"/>
        <w:spacing w:before="342"/>
        <w:ind w:left="134" w:right="101"/>
        <w:jc w:val="center"/>
        <w:rPr>
          <w:rFonts w:hint="eastAsia" w:ascii="黑体" w:eastAsia="黑体"/>
          <w:lang w:eastAsia="zh-CN"/>
        </w:rPr>
      </w:pPr>
      <w:r>
        <w:rPr>
          <w:rFonts w:hint="eastAsia" w:ascii="黑体" w:eastAsia="黑体"/>
          <w:lang w:eastAsia="zh-CN"/>
        </w:rPr>
        <w:t>二〇二四年九月</w:t>
      </w:r>
    </w:p>
    <w:p>
      <w:pPr>
        <w:jc w:val="center"/>
        <w:rPr>
          <w:rFonts w:hint="eastAsia" w:ascii="黑体" w:eastAsia="黑体"/>
          <w:lang w:eastAsia="zh-CN"/>
        </w:rPr>
        <w:sectPr>
          <w:type w:val="continuous"/>
          <w:pgSz w:w="11910" w:h="16840"/>
          <w:pgMar w:top="1580" w:right="1660" w:bottom="280" w:left="1680" w:header="720" w:footer="720" w:gutter="0"/>
          <w:cols w:space="720" w:num="1"/>
        </w:sectPr>
      </w:pPr>
    </w:p>
    <w:p>
      <w:pPr>
        <w:tabs>
          <w:tab w:val="left" w:pos="1079"/>
        </w:tabs>
        <w:spacing w:before="22"/>
        <w:ind w:right="21"/>
        <w:jc w:val="center"/>
        <w:rPr>
          <w:rFonts w:hint="eastAsia" w:ascii="黑体" w:eastAsia="黑体"/>
          <w:sz w:val="36"/>
          <w:lang w:eastAsia="zh-CN"/>
        </w:rPr>
      </w:pPr>
      <w:r>
        <w:rPr>
          <w:rFonts w:hint="eastAsia" w:ascii="黑体" w:eastAsia="黑体"/>
          <w:sz w:val="36"/>
          <w:lang w:eastAsia="zh-CN"/>
        </w:rPr>
        <w:t>目</w:t>
      </w:r>
      <w:r>
        <w:rPr>
          <w:rFonts w:hint="eastAsia" w:ascii="黑体" w:eastAsia="黑体"/>
          <w:sz w:val="36"/>
          <w:lang w:eastAsia="zh-CN"/>
        </w:rPr>
        <w:tab/>
      </w:r>
      <w:r>
        <w:rPr>
          <w:rFonts w:hint="eastAsia" w:ascii="黑体" w:eastAsia="黑体"/>
          <w:sz w:val="36"/>
          <w:lang w:eastAsia="zh-CN"/>
        </w:rPr>
        <w:t>录</w:t>
      </w:r>
    </w:p>
    <w:p>
      <w:pPr>
        <w:pStyle w:val="4"/>
        <w:tabs>
          <w:tab w:val="left" w:pos="1720"/>
        </w:tabs>
        <w:spacing w:before="191"/>
        <w:ind w:left="120"/>
        <w:rPr>
          <w:rFonts w:hint="eastAsia" w:ascii="黑体" w:eastAsia="黑体"/>
          <w:lang w:eastAsia="zh-CN"/>
        </w:rPr>
      </w:pPr>
      <w:r>
        <w:rPr>
          <w:rFonts w:hint="eastAsia" w:ascii="黑体" w:eastAsia="黑体"/>
          <w:lang w:eastAsia="zh-CN"/>
        </w:rPr>
        <w:t>第一部分</w:t>
      </w:r>
      <w:r>
        <w:rPr>
          <w:rFonts w:hint="eastAsia" w:ascii="黑体" w:eastAsia="黑体"/>
          <w:lang w:eastAsia="zh-CN"/>
        </w:rPr>
        <w:tab/>
      </w:r>
      <w:r>
        <w:rPr>
          <w:rFonts w:hint="eastAsia" w:ascii="黑体" w:eastAsia="黑体"/>
          <w:lang w:eastAsia="zh-CN"/>
        </w:rPr>
        <w:t>信阳市平桥区胡店乡财税所概况</w:t>
      </w:r>
    </w:p>
    <w:p>
      <w:pPr>
        <w:pStyle w:val="4"/>
        <w:spacing w:before="214" w:line="364" w:lineRule="auto"/>
        <w:ind w:left="760" w:right="5885"/>
        <w:rPr>
          <w:rFonts w:hint="eastAsia" w:ascii="宋体" w:eastAsia="宋体"/>
          <w:lang w:eastAsia="zh-CN"/>
        </w:rPr>
      </w:pPr>
      <w:r>
        <w:rPr>
          <w:rFonts w:hint="eastAsia" w:ascii="宋体" w:eastAsia="宋体"/>
          <w:lang w:eastAsia="zh-CN"/>
        </w:rPr>
        <w:t>一、单位职责二、机构设置</w:t>
      </w:r>
    </w:p>
    <w:p>
      <w:pPr>
        <w:pStyle w:val="4"/>
        <w:tabs>
          <w:tab w:val="left" w:pos="1720"/>
        </w:tabs>
        <w:spacing w:before="1"/>
        <w:ind w:left="120"/>
        <w:rPr>
          <w:rFonts w:hint="eastAsia" w:ascii="黑体" w:eastAsia="黑体"/>
          <w:lang w:eastAsia="zh-CN"/>
        </w:rPr>
      </w:pPr>
      <w:r>
        <w:rPr>
          <w:rFonts w:hint="eastAsia" w:ascii="黑体" w:eastAsia="黑体"/>
          <w:lang w:eastAsia="zh-CN"/>
        </w:rPr>
        <w:t>第二部分</w:t>
      </w:r>
      <w:r>
        <w:rPr>
          <w:rFonts w:hint="eastAsia" w:ascii="黑体" w:eastAsia="黑体"/>
          <w:lang w:eastAsia="zh-CN"/>
        </w:rPr>
        <w:tab/>
      </w:r>
      <w:r>
        <w:rPr>
          <w:rFonts w:hint="eastAsia" w:ascii="黑体" w:eastAsia="黑体"/>
          <w:lang w:eastAsia="zh-CN"/>
        </w:rPr>
        <w:t>2023年度单位决算表</w:t>
      </w:r>
    </w:p>
    <w:p>
      <w:pPr>
        <w:pStyle w:val="4"/>
        <w:spacing w:before="214" w:line="364" w:lineRule="auto"/>
        <w:ind w:left="760" w:right="4604"/>
        <w:rPr>
          <w:rFonts w:hint="eastAsia" w:ascii="宋体" w:eastAsia="宋体"/>
          <w:lang w:eastAsia="zh-CN"/>
        </w:rPr>
      </w:pPr>
      <w:r>
        <w:rPr>
          <w:rFonts w:hint="eastAsia" w:ascii="宋体" w:eastAsia="宋体"/>
          <w:spacing w:val="-2"/>
          <w:lang w:eastAsia="zh-CN"/>
        </w:rPr>
        <w:t>一、收入支出决算总表</w:t>
      </w:r>
      <w:r>
        <w:rPr>
          <w:rFonts w:hint="eastAsia" w:ascii="宋体" w:eastAsia="宋体"/>
          <w:lang w:eastAsia="zh-CN"/>
        </w:rPr>
        <w:t>二、收入决算表</w:t>
      </w:r>
    </w:p>
    <w:p>
      <w:pPr>
        <w:pStyle w:val="4"/>
        <w:spacing w:before="2"/>
        <w:ind w:left="760"/>
        <w:rPr>
          <w:rFonts w:hint="eastAsia" w:ascii="宋体" w:eastAsia="宋体"/>
          <w:lang w:eastAsia="zh-CN"/>
        </w:rPr>
      </w:pPr>
      <w:r>
        <w:rPr>
          <w:rFonts w:hint="eastAsia" w:ascii="宋体" w:eastAsia="宋体"/>
          <w:w w:val="95"/>
          <w:lang w:eastAsia="zh-CN"/>
        </w:rPr>
        <w:t>三、支出决算表</w:t>
      </w:r>
    </w:p>
    <w:p>
      <w:pPr>
        <w:pStyle w:val="4"/>
        <w:spacing w:before="214"/>
        <w:ind w:left="760"/>
        <w:rPr>
          <w:rFonts w:hint="eastAsia" w:ascii="宋体" w:eastAsia="宋体"/>
          <w:lang w:eastAsia="zh-CN"/>
        </w:rPr>
      </w:pPr>
      <w:r>
        <w:rPr>
          <w:rFonts w:hint="eastAsia" w:ascii="宋体" w:eastAsia="宋体"/>
          <w:lang w:eastAsia="zh-CN"/>
        </w:rPr>
        <w:t>四、财政拨款收入支出决算总表</w:t>
      </w:r>
    </w:p>
    <w:p>
      <w:pPr>
        <w:pStyle w:val="4"/>
        <w:spacing w:before="214"/>
        <w:ind w:left="760"/>
        <w:rPr>
          <w:rFonts w:hint="eastAsia" w:ascii="宋体" w:eastAsia="宋体"/>
          <w:lang w:eastAsia="zh-CN"/>
        </w:rPr>
      </w:pPr>
      <w:r>
        <w:rPr>
          <w:rFonts w:hint="eastAsia" w:ascii="宋体" w:eastAsia="宋体"/>
          <w:lang w:eastAsia="zh-CN"/>
        </w:rPr>
        <w:t>五、一般公共决算财政拨款支出决算表</w:t>
      </w:r>
    </w:p>
    <w:p>
      <w:pPr>
        <w:pStyle w:val="4"/>
        <w:spacing w:before="214" w:line="364" w:lineRule="auto"/>
        <w:ind w:left="760" w:right="1083"/>
        <w:rPr>
          <w:rFonts w:hint="eastAsia" w:ascii="宋体" w:eastAsia="宋体"/>
          <w:lang w:eastAsia="zh-CN"/>
        </w:rPr>
      </w:pPr>
      <w:r>
        <w:rPr>
          <w:rFonts w:hint="eastAsia" w:ascii="宋体" w:eastAsia="宋体"/>
          <w:spacing w:val="-1"/>
          <w:lang w:eastAsia="zh-CN"/>
        </w:rPr>
        <w:t>六、一般公共决算财政拨款基本支出决算明细表</w:t>
      </w:r>
      <w:r>
        <w:rPr>
          <w:rFonts w:hint="eastAsia" w:ascii="宋体" w:eastAsia="宋体"/>
          <w:lang w:eastAsia="zh-CN"/>
        </w:rPr>
        <w:t>七、政府性基金决算财政拨款收入支出决算表八、国有资本经营决算财政拨款支出决算表</w:t>
      </w:r>
    </w:p>
    <w:p>
      <w:pPr>
        <w:pStyle w:val="4"/>
        <w:spacing w:before="2"/>
        <w:ind w:left="760"/>
        <w:rPr>
          <w:rFonts w:hint="eastAsia" w:ascii="宋体" w:hAnsi="宋体" w:eastAsia="宋体"/>
          <w:lang w:eastAsia="zh-CN"/>
        </w:rPr>
      </w:pPr>
      <w:r>
        <w:rPr>
          <w:rFonts w:hint="eastAsia" w:ascii="宋体" w:hAnsi="宋体" w:eastAsia="宋体"/>
          <w:lang w:eastAsia="zh-CN"/>
        </w:rPr>
        <w:t>九、财政拨款“三公”经费支出决算表</w:t>
      </w:r>
    </w:p>
    <w:p>
      <w:pPr>
        <w:pStyle w:val="4"/>
        <w:tabs>
          <w:tab w:val="left" w:pos="1720"/>
        </w:tabs>
        <w:spacing w:before="214" w:line="364" w:lineRule="auto"/>
        <w:ind w:left="760" w:right="2924" w:hanging="641"/>
        <w:rPr>
          <w:rFonts w:hint="eastAsia" w:ascii="宋体" w:eastAsia="宋体"/>
          <w:lang w:eastAsia="zh-CN"/>
        </w:rPr>
      </w:pPr>
      <w:r>
        <w:rPr>
          <w:rFonts w:hint="eastAsia" w:ascii="黑体" w:eastAsia="黑体"/>
          <w:lang w:eastAsia="zh-CN"/>
        </w:rPr>
        <w:t>第三部分</w:t>
      </w:r>
      <w:r>
        <w:rPr>
          <w:rFonts w:hint="eastAsia" w:ascii="黑体" w:eastAsia="黑体"/>
          <w:lang w:eastAsia="zh-CN"/>
        </w:rPr>
        <w:tab/>
      </w:r>
      <w:r>
        <w:rPr>
          <w:rFonts w:hint="eastAsia" w:ascii="黑体" w:eastAsia="黑体"/>
          <w:lang w:eastAsia="zh-CN"/>
        </w:rPr>
        <w:t>2023年度单位决算情况说</w:t>
      </w:r>
      <w:r>
        <w:rPr>
          <w:rFonts w:hint="eastAsia" w:ascii="黑体" w:eastAsia="黑体"/>
          <w:spacing w:val="-13"/>
          <w:lang w:eastAsia="zh-CN"/>
        </w:rPr>
        <w:t>明</w:t>
      </w:r>
      <w:r>
        <w:rPr>
          <w:rFonts w:hint="eastAsia" w:ascii="宋体" w:eastAsia="宋体"/>
          <w:lang w:eastAsia="zh-CN"/>
        </w:rPr>
        <w:t>一、收入支出决算总体情况说明</w:t>
      </w:r>
      <w:r>
        <w:rPr>
          <w:rFonts w:hint="eastAsia" w:ascii="宋体" w:eastAsia="宋体"/>
          <w:lang w:val="en-US" w:eastAsia="zh-CN"/>
        </w:rPr>
        <w:t xml:space="preserve">  二、</w:t>
      </w:r>
      <w:r>
        <w:rPr>
          <w:rFonts w:hint="eastAsia" w:ascii="宋体" w:eastAsia="宋体"/>
          <w:lang w:eastAsia="zh-CN"/>
        </w:rPr>
        <w:t>收入决算情况说明</w:t>
      </w:r>
    </w:p>
    <w:p>
      <w:pPr>
        <w:pStyle w:val="4"/>
        <w:spacing w:before="3"/>
        <w:ind w:left="760"/>
        <w:rPr>
          <w:rFonts w:hint="eastAsia" w:ascii="宋体" w:eastAsia="宋体"/>
          <w:lang w:eastAsia="zh-CN"/>
        </w:rPr>
      </w:pPr>
      <w:r>
        <w:rPr>
          <w:rFonts w:hint="eastAsia" w:ascii="宋体" w:eastAsia="宋体"/>
          <w:w w:val="95"/>
          <w:lang w:eastAsia="zh-CN"/>
        </w:rPr>
        <w:t>三、支出决算情况说明</w:t>
      </w:r>
    </w:p>
    <w:p>
      <w:pPr>
        <w:pStyle w:val="4"/>
        <w:spacing w:before="214"/>
        <w:ind w:left="760"/>
        <w:rPr>
          <w:rFonts w:hint="eastAsia" w:ascii="宋体" w:eastAsia="宋体"/>
          <w:lang w:eastAsia="zh-CN"/>
        </w:rPr>
      </w:pPr>
      <w:r>
        <w:rPr>
          <w:rFonts w:hint="eastAsia" w:ascii="宋体" w:eastAsia="宋体"/>
          <w:lang w:eastAsia="zh-CN"/>
        </w:rPr>
        <w:t>四、财政拨款收入支出决算总体情况说明</w:t>
      </w:r>
    </w:p>
    <w:p>
      <w:pPr>
        <w:pStyle w:val="4"/>
        <w:spacing w:before="214"/>
        <w:ind w:left="760"/>
        <w:rPr>
          <w:rFonts w:hint="eastAsia" w:ascii="宋体" w:eastAsia="宋体"/>
          <w:lang w:eastAsia="zh-CN"/>
        </w:rPr>
      </w:pPr>
      <w:r>
        <w:rPr>
          <w:rFonts w:hint="eastAsia" w:ascii="宋体" w:eastAsia="宋体"/>
          <w:lang w:eastAsia="zh-CN"/>
        </w:rPr>
        <w:t>五、一般公共决算财政拨款支出决算情况说明</w:t>
      </w:r>
    </w:p>
    <w:p>
      <w:pPr>
        <w:pStyle w:val="4"/>
        <w:spacing w:before="214" w:line="364" w:lineRule="auto"/>
        <w:ind w:left="760" w:right="764"/>
        <w:rPr>
          <w:rFonts w:hint="eastAsia" w:ascii="宋体" w:eastAsia="宋体"/>
          <w:lang w:eastAsia="zh-CN"/>
        </w:rPr>
      </w:pPr>
      <w:r>
        <w:rPr>
          <w:rFonts w:hint="eastAsia" w:ascii="宋体" w:eastAsia="宋体"/>
          <w:lang w:eastAsia="zh-CN"/>
        </w:rPr>
        <w:t>六、一般公共决算财政拨款基本支出决算情况说明七、政府性基金决算财政拨款支出决算情况说明</w:t>
      </w:r>
    </w:p>
    <w:p>
      <w:pPr>
        <w:spacing w:line="364" w:lineRule="auto"/>
        <w:rPr>
          <w:rFonts w:hint="eastAsia"/>
          <w:lang w:eastAsia="zh-CN"/>
        </w:rPr>
        <w:sectPr>
          <w:pgSz w:w="11910" w:h="16840"/>
          <w:pgMar w:top="1480" w:right="1660" w:bottom="280" w:left="1680" w:header="720" w:footer="720" w:gutter="0"/>
          <w:cols w:space="720" w:num="1"/>
        </w:sectPr>
      </w:pPr>
    </w:p>
    <w:p>
      <w:pPr>
        <w:pStyle w:val="4"/>
        <w:spacing w:before="30" w:line="364" w:lineRule="auto"/>
        <w:ind w:left="760" w:right="764"/>
        <w:rPr>
          <w:rFonts w:hint="eastAsia" w:ascii="宋体" w:hAnsi="宋体" w:eastAsia="宋体"/>
          <w:lang w:eastAsia="zh-CN"/>
        </w:rPr>
      </w:pPr>
      <w:r>
        <w:rPr>
          <w:rFonts w:hint="eastAsia" w:ascii="宋体" w:hAnsi="宋体" w:eastAsia="宋体"/>
          <w:lang w:eastAsia="zh-CN"/>
        </w:rPr>
        <w:t>八、国有资本经营决算财政拨款支出决算情况说明九、财政拨款“三公”经费支出决算情况说明</w:t>
      </w:r>
    </w:p>
    <w:p>
      <w:pPr>
        <w:pStyle w:val="4"/>
        <w:spacing w:before="1" w:line="364" w:lineRule="auto"/>
        <w:ind w:left="760" w:right="3325"/>
        <w:rPr>
          <w:rFonts w:hint="eastAsia" w:ascii="宋体" w:eastAsia="宋体"/>
          <w:lang w:eastAsia="zh-CN"/>
        </w:rPr>
      </w:pPr>
      <w:r>
        <w:rPr>
          <w:rFonts w:hint="eastAsia" w:ascii="宋体" w:eastAsia="宋体"/>
          <w:spacing w:val="-1"/>
          <w:lang w:eastAsia="zh-CN"/>
        </w:rPr>
        <w:t>十、机关运行经费支出情况说明</w:t>
      </w:r>
      <w:r>
        <w:rPr>
          <w:rFonts w:hint="eastAsia" w:ascii="宋体" w:eastAsia="宋体"/>
          <w:lang w:eastAsia="zh-CN"/>
        </w:rPr>
        <w:t>十一、政府采购支出情况说明</w:t>
      </w:r>
    </w:p>
    <w:p>
      <w:pPr>
        <w:pStyle w:val="4"/>
        <w:spacing w:before="1" w:line="364" w:lineRule="auto"/>
        <w:ind w:left="760" w:right="3325"/>
        <w:rPr>
          <w:rFonts w:hint="eastAsia" w:ascii="宋体" w:eastAsia="宋体"/>
          <w:lang w:eastAsia="zh-CN"/>
        </w:rPr>
      </w:pPr>
      <w:r>
        <w:rPr>
          <w:rFonts w:hint="eastAsia" w:ascii="宋体" w:eastAsia="宋体"/>
          <w:lang w:eastAsia="zh-CN"/>
        </w:rPr>
        <w:t>十二、国有资产占用情况说明</w:t>
      </w:r>
    </w:p>
    <w:p>
      <w:pPr>
        <w:pStyle w:val="4"/>
        <w:spacing w:before="1" w:line="364" w:lineRule="auto"/>
        <w:ind w:left="760" w:right="3325"/>
        <w:rPr>
          <w:rFonts w:hint="eastAsia" w:ascii="宋体" w:eastAsia="宋体"/>
          <w:lang w:eastAsia="zh-CN"/>
        </w:rPr>
      </w:pPr>
      <w:r>
        <w:rPr>
          <w:rFonts w:hint="eastAsia" w:ascii="宋体" w:eastAsia="宋体"/>
          <w:lang w:eastAsia="zh-CN"/>
        </w:rPr>
        <w:t>十三、决算绩效情况说明</w:t>
      </w:r>
    </w:p>
    <w:p>
      <w:pPr>
        <w:pStyle w:val="4"/>
        <w:tabs>
          <w:tab w:val="left" w:pos="2039"/>
        </w:tabs>
        <w:spacing w:before="4"/>
        <w:ind w:left="120"/>
        <w:rPr>
          <w:rFonts w:hint="eastAsia" w:ascii="黑体" w:eastAsia="黑体"/>
          <w:lang w:eastAsia="zh-CN"/>
        </w:rPr>
      </w:pPr>
      <w:r>
        <w:rPr>
          <w:rFonts w:hint="eastAsia" w:ascii="黑体" w:eastAsia="黑体"/>
          <w:lang w:eastAsia="zh-CN"/>
        </w:rPr>
        <w:t>第四部分</w:t>
      </w:r>
      <w:r>
        <w:rPr>
          <w:rFonts w:hint="eastAsia" w:ascii="黑体" w:eastAsia="黑体"/>
          <w:lang w:eastAsia="zh-CN"/>
        </w:rPr>
        <w:tab/>
      </w:r>
      <w:r>
        <w:rPr>
          <w:rFonts w:hint="eastAsia" w:ascii="黑体" w:eastAsia="黑体"/>
          <w:lang w:eastAsia="zh-CN"/>
        </w:rPr>
        <w:t>名词解释</w:t>
      </w:r>
    </w:p>
    <w:p>
      <w:pPr>
        <w:rPr>
          <w:rFonts w:hint="eastAsia" w:ascii="黑体" w:eastAsia="黑体"/>
          <w:lang w:eastAsia="zh-CN"/>
        </w:rPr>
      </w:pPr>
    </w:p>
    <w:p>
      <w:pPr>
        <w:pStyle w:val="4"/>
        <w:tabs>
          <w:tab w:val="left" w:pos="2039"/>
        </w:tabs>
        <w:spacing w:before="4"/>
        <w:ind w:left="120"/>
        <w:rPr>
          <w:rFonts w:hint="eastAsia" w:ascii="黑体" w:eastAsia="黑体"/>
          <w:lang w:eastAsia="zh-CN"/>
        </w:rPr>
        <w:sectPr>
          <w:pgSz w:w="11910" w:h="16840"/>
          <w:pgMar w:top="1500" w:right="1660" w:bottom="280" w:left="1680" w:header="720" w:footer="720" w:gutter="0"/>
          <w:cols w:space="720" w:num="1"/>
        </w:sectPr>
      </w:pPr>
      <w:r>
        <w:rPr>
          <w:rFonts w:hint="eastAsia" w:ascii="黑体" w:eastAsia="黑体"/>
          <w:lang w:eastAsia="zh-CN"/>
        </w:rPr>
        <w:t>第五部分    附件</w:t>
      </w:r>
    </w:p>
    <w:p>
      <w:pPr>
        <w:pStyle w:val="4"/>
        <w:rPr>
          <w:rFonts w:hint="eastAsia" w:ascii="黑体"/>
          <w:sz w:val="20"/>
          <w:lang w:eastAsia="zh-CN"/>
        </w:rPr>
      </w:pPr>
    </w:p>
    <w:p>
      <w:pPr>
        <w:pStyle w:val="4"/>
        <w:spacing w:before="1"/>
        <w:rPr>
          <w:rFonts w:hint="eastAsia" w:ascii="黑体"/>
          <w:sz w:val="14"/>
          <w:lang w:eastAsia="zh-CN"/>
        </w:rPr>
      </w:pPr>
    </w:p>
    <w:p>
      <w:pPr>
        <w:pStyle w:val="2"/>
        <w:tabs>
          <w:tab w:val="left" w:pos="2591"/>
        </w:tabs>
        <w:spacing w:line="242" w:lineRule="auto"/>
        <w:ind w:left="3792" w:right="213" w:hanging="3600"/>
        <w:rPr>
          <w:rFonts w:hint="eastAsia"/>
          <w:lang w:eastAsia="zh-CN"/>
        </w:rPr>
      </w:pPr>
      <w:bookmarkStart w:id="0" w:name="第一部分__信阳市平桥区龙井乡卫生院概况"/>
      <w:bookmarkEnd w:id="0"/>
      <w:r>
        <w:rPr>
          <w:lang w:eastAsia="zh-CN"/>
        </w:rPr>
        <w:t>第一部分</w:t>
      </w:r>
      <w:r>
        <w:rPr>
          <w:lang w:eastAsia="zh-CN"/>
        </w:rPr>
        <w:tab/>
      </w:r>
      <w:r>
        <w:rPr>
          <w:rFonts w:hint="eastAsia"/>
          <w:lang w:eastAsia="zh-CN"/>
        </w:rPr>
        <w:t>信阳市平桥区胡店乡财税所</w:t>
      </w:r>
      <w:r>
        <w:rPr>
          <w:lang w:eastAsia="zh-CN"/>
        </w:rPr>
        <w:t>概</w:t>
      </w:r>
      <w:r>
        <w:rPr>
          <w:rFonts w:hint="eastAsia"/>
          <w:lang w:val="en-US" w:eastAsia="zh-CN"/>
        </w:rPr>
        <w:t xml:space="preserve"> </w:t>
      </w:r>
      <w:r>
        <w:rPr>
          <w:lang w:eastAsia="zh-CN"/>
        </w:rPr>
        <w:t>况</w:t>
      </w:r>
    </w:p>
    <w:p>
      <w:pPr>
        <w:pStyle w:val="4"/>
        <w:spacing w:before="4"/>
        <w:rPr>
          <w:rFonts w:hint="eastAsia" w:ascii="黑体"/>
          <w:sz w:val="57"/>
          <w:lang w:eastAsia="zh-CN"/>
        </w:rPr>
      </w:pPr>
    </w:p>
    <w:p>
      <w:pPr>
        <w:pStyle w:val="4"/>
        <w:spacing w:before="1" w:line="360" w:lineRule="auto"/>
        <w:ind w:left="760"/>
        <w:rPr>
          <w:rFonts w:hint="eastAsia" w:ascii="黑体" w:eastAsia="黑体"/>
          <w:lang w:eastAsia="zh-CN"/>
        </w:rPr>
      </w:pPr>
      <w:bookmarkStart w:id="1" w:name="一、单位职责"/>
      <w:bookmarkEnd w:id="1"/>
      <w:r>
        <w:rPr>
          <w:rFonts w:hint="eastAsia" w:ascii="黑体" w:eastAsia="黑体"/>
          <w:lang w:eastAsia="zh-CN"/>
        </w:rPr>
        <w:t>一、单位职责</w:t>
      </w:r>
    </w:p>
    <w:p>
      <w:pPr>
        <w:pStyle w:val="4"/>
        <w:spacing w:line="360" w:lineRule="auto"/>
        <w:ind w:firstLine="640" w:firstLineChars="200"/>
        <w:rPr>
          <w:rFonts w:hint="eastAsia"/>
          <w:lang w:eastAsia="zh-CN"/>
        </w:rPr>
      </w:pPr>
      <w:bookmarkStart w:id="2" w:name="二、机构设置"/>
      <w:bookmarkEnd w:id="2"/>
      <w:r>
        <w:rPr>
          <w:rFonts w:hint="eastAsia"/>
          <w:lang w:eastAsia="zh-CN"/>
        </w:rPr>
        <w:t>1.编制乡政府年度财政决算草案并组织执行；向乡政府报告财政决算；管理和监督乡镇各项财政收支。</w:t>
      </w:r>
    </w:p>
    <w:p>
      <w:pPr>
        <w:pStyle w:val="4"/>
        <w:spacing w:line="360" w:lineRule="auto"/>
        <w:ind w:firstLine="640" w:firstLineChars="200"/>
        <w:rPr>
          <w:rFonts w:hint="eastAsia"/>
          <w:lang w:eastAsia="zh-CN"/>
        </w:rPr>
      </w:pPr>
      <w:r>
        <w:rPr>
          <w:rFonts w:hint="eastAsia"/>
          <w:lang w:eastAsia="zh-CN"/>
        </w:rPr>
        <w:t>2.负责对各类专项资金的监管，提高财政资金使用率。</w:t>
      </w:r>
    </w:p>
    <w:p>
      <w:pPr>
        <w:pStyle w:val="4"/>
        <w:spacing w:line="360" w:lineRule="auto"/>
        <w:ind w:firstLine="640" w:firstLineChars="200"/>
        <w:rPr>
          <w:rFonts w:hint="eastAsia"/>
          <w:lang w:eastAsia="zh-CN"/>
        </w:rPr>
      </w:pPr>
      <w:r>
        <w:rPr>
          <w:rFonts w:hint="eastAsia"/>
          <w:lang w:eastAsia="zh-CN"/>
        </w:rPr>
        <w:t>3.负责本乡行政事业单位的国有资产监督管理工作。</w:t>
      </w:r>
    </w:p>
    <w:p>
      <w:pPr>
        <w:pStyle w:val="4"/>
        <w:spacing w:line="360" w:lineRule="auto"/>
        <w:ind w:firstLine="640" w:firstLineChars="200"/>
        <w:rPr>
          <w:rFonts w:hint="eastAsia"/>
          <w:lang w:eastAsia="zh-CN"/>
        </w:rPr>
      </w:pPr>
      <w:r>
        <w:rPr>
          <w:rFonts w:hint="eastAsia"/>
          <w:lang w:eastAsia="zh-CN"/>
        </w:rPr>
        <w:t>4.承办乡政府及上级财政部门交办的其他事项。</w:t>
      </w:r>
    </w:p>
    <w:p>
      <w:pPr>
        <w:pStyle w:val="4"/>
        <w:spacing w:line="360" w:lineRule="auto"/>
        <w:ind w:left="760"/>
        <w:rPr>
          <w:rFonts w:hint="eastAsia" w:ascii="黑体" w:eastAsia="黑体"/>
          <w:lang w:eastAsia="zh-CN"/>
        </w:rPr>
      </w:pPr>
      <w:r>
        <w:rPr>
          <w:rFonts w:hint="eastAsia" w:ascii="黑体" w:eastAsia="黑体"/>
          <w:lang w:eastAsia="zh-CN"/>
        </w:rPr>
        <w:t>二、机构设置</w:t>
      </w:r>
    </w:p>
    <w:p>
      <w:pPr>
        <w:pStyle w:val="4"/>
        <w:spacing w:line="360" w:lineRule="auto"/>
        <w:ind w:firstLine="640" w:firstLineChars="200"/>
        <w:rPr>
          <w:rFonts w:hint="eastAsia"/>
          <w:sz w:val="20"/>
          <w:lang w:eastAsia="zh-CN"/>
        </w:rPr>
      </w:pPr>
      <w:r>
        <w:rPr>
          <w:rFonts w:hint="eastAsia"/>
          <w:lang w:eastAsia="zh-CN"/>
        </w:rPr>
        <w:t>信阳市平桥区胡店乡财税所</w:t>
      </w:r>
      <w:r>
        <w:rPr>
          <w:rFonts w:hint="eastAsia"/>
          <w:spacing w:val="-6"/>
          <w:lang w:eastAsia="zh-CN"/>
        </w:rPr>
        <w:t>无所属决算单位，部门决算包括：办公室、财务室。</w:t>
      </w: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spacing w:before="4"/>
        <w:rPr>
          <w:rFonts w:hint="eastAsia"/>
          <w:sz w:val="26"/>
          <w:lang w:eastAsia="zh-CN"/>
        </w:rPr>
      </w:pPr>
    </w:p>
    <w:p>
      <w:pPr>
        <w:pStyle w:val="2"/>
        <w:tabs>
          <w:tab w:val="left" w:pos="3251"/>
        </w:tabs>
        <w:ind w:left="851"/>
        <w:rPr>
          <w:rFonts w:hint="eastAsia"/>
          <w:lang w:eastAsia="zh-CN"/>
        </w:rPr>
      </w:pPr>
      <w:bookmarkStart w:id="3" w:name="第二部分__2022年度单位决算表"/>
      <w:bookmarkEnd w:id="3"/>
      <w:r>
        <w:rPr>
          <w:lang w:eastAsia="zh-CN"/>
        </w:rPr>
        <w:t>第二部分</w:t>
      </w:r>
      <w:r>
        <w:rPr>
          <w:lang w:eastAsia="zh-CN"/>
        </w:rPr>
        <w:tab/>
      </w:r>
      <w:r>
        <w:rPr>
          <w:rFonts w:hint="eastAsia"/>
          <w:lang w:eastAsia="zh-CN"/>
        </w:rPr>
        <w:t>2023</w:t>
      </w:r>
      <w:r>
        <w:rPr>
          <w:lang w:eastAsia="zh-CN"/>
        </w:rPr>
        <w:t>年度单位决算表</w:t>
      </w:r>
    </w:p>
    <w:p>
      <w:pPr>
        <w:rPr>
          <w:rFonts w:hint="eastAsia"/>
          <w:lang w:eastAsia="zh-CN"/>
        </w:rPr>
        <w:sectPr>
          <w:pgSz w:w="11910" w:h="16840"/>
          <w:pgMar w:top="1580" w:right="1660" w:bottom="280" w:left="1680" w:header="720" w:footer="720" w:gutter="0"/>
          <w:cols w:space="720" w:num="1"/>
        </w:sectPr>
      </w:pPr>
    </w:p>
    <w:p>
      <w:pPr>
        <w:rPr>
          <w:rFonts w:hint="eastAsia" w:ascii="黑体"/>
          <w:sz w:val="15"/>
          <w:lang w:eastAsia="zh-CN"/>
        </w:rPr>
        <w:sectPr>
          <w:pgSz w:w="16840" w:h="11910" w:orient="landscape"/>
          <w:pgMar w:top="1100" w:right="960" w:bottom="280" w:left="1300" w:header="720" w:footer="720" w:gutter="0"/>
          <w:cols w:space="720" w:num="1"/>
        </w:sectPr>
      </w:pPr>
    </w:p>
    <w:tbl>
      <w:tblPr>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605"/>
        <w:gridCol w:w="809"/>
        <w:gridCol w:w="1621"/>
        <w:gridCol w:w="4507"/>
        <w:gridCol w:w="841"/>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35" w:type="dxa"/>
            <w:gridSpan w:val="3"/>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收入</w:t>
            </w:r>
          </w:p>
        </w:tc>
        <w:tc>
          <w:tcPr>
            <w:tcW w:w="7035" w:type="dxa"/>
            <w:gridSpan w:val="3"/>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二、政府性基金预算财政拨款收入</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三、国有资本经营预算财政拨款收入</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四、上级补助收入</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五、事业收入</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六、经营收入</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七、附属单位上缴收入</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八、其他收入</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使用非财政拨款结余(含专用结余)</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结余分配</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2.本套报表金额单位转换时可能存在尾数误差。</w:t>
            </w:r>
          </w:p>
        </w:tc>
      </w:tr>
    </w:tbl>
    <w:p>
      <w:pPr>
        <w:pStyle w:val="4"/>
        <w:spacing w:before="102"/>
        <w:jc w:val="both"/>
        <w:rPr>
          <w:rFonts w:hint="eastAsia"/>
          <w:sz w:val="20"/>
          <w:lang w:eastAsia="zh-CN"/>
        </w:rPr>
        <w:sectPr>
          <w:type w:val="continuous"/>
          <w:pgSz w:w="16840" w:h="11910" w:orient="landscape"/>
          <w:pgMar w:top="1580" w:right="960" w:bottom="280" w:left="1300" w:header="720" w:footer="720" w:gutter="0"/>
          <w:cols w:equalWidth="0" w:num="2">
            <w:col w:w="8351" w:space="40"/>
            <w:col w:w="6189"/>
          </w:cols>
        </w:sectPr>
      </w:pPr>
    </w:p>
    <w:p>
      <w:pPr>
        <w:tabs>
          <w:tab w:val="left" w:pos="6130"/>
          <w:tab w:val="left" w:pos="13003"/>
        </w:tabs>
        <w:spacing w:before="73" w:after="26"/>
        <w:rPr>
          <w:rFonts w:hint="eastAsia" w:ascii="Times New Roman"/>
          <w:sz w:val="20"/>
        </w:rPr>
        <w:sectPr>
          <w:type w:val="continuous"/>
          <w:pgSz w:w="16840" w:h="11910" w:orient="landscape"/>
          <w:pgMar w:top="1580" w:right="960" w:bottom="280" w:left="1300" w:header="720" w:footer="720" w:gutter="0"/>
          <w:cols w:space="720" w:num="1"/>
        </w:sectPr>
      </w:pPr>
    </w:p>
    <w:p>
      <w:pPr>
        <w:rPr>
          <w:rFonts w:hint="eastAsia"/>
          <w:sz w:val="20"/>
        </w:rPr>
      </w:pPr>
    </w:p>
    <w:tbl>
      <w:tblPr>
        <w:tblW w:w="70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07"/>
        <w:gridCol w:w="841"/>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35" w:type="dxa"/>
            <w:gridSpan w:val="3"/>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结余分配</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r>
    </w:tbl>
    <w:p>
      <w:pPr>
        <w:rPr>
          <w:rFonts w:hint="eastAsia"/>
          <w:sz w:val="20"/>
        </w:rPr>
      </w:pPr>
    </w:p>
    <w:p>
      <w:pPr>
        <w:spacing w:before="2"/>
        <w:rPr>
          <w:rFonts w:hint="eastAsia"/>
          <w:sz w:val="14"/>
        </w:rPr>
      </w:pPr>
    </w:p>
    <w:p>
      <w:pPr>
        <w:rPr>
          <w:rFonts w:hint="eastAsia" w:ascii="Times New Roman"/>
          <w:sz w:val="18"/>
        </w:rPr>
        <w:sectPr>
          <w:pgSz w:w="16840" w:h="11910" w:orient="landscape"/>
          <w:pgMar w:top="1100" w:right="960" w:bottom="280" w:left="1300" w:header="720" w:footer="720" w:gutter="0"/>
          <w:cols w:space="720" w:num="1"/>
        </w:sectPr>
      </w:pPr>
    </w:p>
    <w:p>
      <w:pPr>
        <w:rPr>
          <w:rFonts w:hint="eastAsia"/>
          <w:sz w:val="20"/>
        </w:rPr>
      </w:pPr>
    </w:p>
    <w:p>
      <w:pPr>
        <w:rPr>
          <w:rFonts w:hint="eastAsia"/>
          <w:sz w:val="20"/>
        </w:rPr>
      </w:pPr>
    </w:p>
    <w:p>
      <w:pPr>
        <w:spacing w:before="2"/>
        <w:rPr>
          <w:rFonts w:hint="eastAsia"/>
          <w:sz w:val="14"/>
        </w:rPr>
      </w:pPr>
    </w:p>
    <w:tbl>
      <w:tblPr>
        <w:tblW w:w="17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90"/>
        <w:gridCol w:w="3930"/>
        <w:gridCol w:w="1800"/>
        <w:gridCol w:w="1800"/>
        <w:gridCol w:w="1800"/>
        <w:gridCol w:w="1800"/>
        <w:gridCol w:w="1800"/>
        <w:gridCol w:w="180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80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180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180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180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180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180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180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80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80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80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80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80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80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80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财政事务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2010650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事业运行</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注：本表反映部门本年度取得的各项收入情况。</w:t>
            </w:r>
          </w:p>
        </w:tc>
      </w:tr>
    </w:tbl>
    <w:p>
      <w:pPr>
        <w:rPr>
          <w:rFonts w:hint="eastAsia"/>
          <w:sz w:val="20"/>
          <w:lang w:eastAsia="zh-CN"/>
        </w:rPr>
        <w:sectPr>
          <w:pgSz w:w="16840" w:h="11910" w:orient="landscape"/>
          <w:pgMar w:top="1100" w:right="960" w:bottom="280" w:left="1300" w:header="720" w:footer="720" w:gutter="0"/>
          <w:cols w:space="720" w:num="1"/>
        </w:sectPr>
      </w:pPr>
    </w:p>
    <w:p>
      <w:pPr>
        <w:jc w:val="center"/>
        <w:rPr>
          <w:rFonts w:hint="eastAsia"/>
          <w:sz w:val="20"/>
          <w:lang w:eastAsia="zh-CN"/>
        </w:rPr>
      </w:pPr>
    </w:p>
    <w:tbl>
      <w:tblPr>
        <w:tblW w:w="13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90"/>
        <w:gridCol w:w="3930"/>
        <w:gridCol w:w="1800"/>
        <w:gridCol w:w="1800"/>
        <w:gridCol w:w="1800"/>
        <w:gridCol w:w="180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80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180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80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80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180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80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80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80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80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80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财政事务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2010650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事业运行</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bl>
    <w:p>
      <w:pPr>
        <w:rPr>
          <w:rFonts w:hint="eastAsia"/>
          <w:sz w:val="20"/>
          <w:lang w:eastAsia="zh-CN"/>
        </w:rPr>
      </w:pPr>
    </w:p>
    <w:p>
      <w:pPr>
        <w:spacing w:before="5"/>
        <w:rPr>
          <w:rFonts w:hint="eastAsia"/>
          <w:sz w:val="15"/>
          <w:lang w:eastAsia="zh-CN"/>
        </w:rPr>
      </w:pPr>
    </w:p>
    <w:p>
      <w:pPr>
        <w:rPr>
          <w:rFonts w:hint="eastAsia"/>
          <w:sz w:val="20"/>
          <w:lang w:eastAsia="zh-CN"/>
        </w:rPr>
        <w:sectPr>
          <w:pgSz w:w="16840" w:h="11910" w:orient="landscape"/>
          <w:pgMar w:top="1580" w:right="960" w:bottom="280" w:left="1300" w:header="720" w:footer="720" w:gutter="0"/>
          <w:cols w:space="720" w:num="1"/>
        </w:sectPr>
      </w:pPr>
    </w:p>
    <w:p>
      <w:pPr>
        <w:rPr>
          <w:rFonts w:hint="eastAsia"/>
          <w:sz w:val="15"/>
          <w:lang w:eastAsia="zh-CN"/>
        </w:rPr>
        <w:sectPr>
          <w:pgSz w:w="16840" w:h="11910" w:orient="landscape"/>
          <w:pgMar w:top="1100" w:right="960" w:bottom="280" w:left="1300" w:header="720" w:footer="720" w:gutter="0"/>
          <w:cols w:space="720" w:num="1"/>
        </w:sectPr>
      </w:pPr>
    </w:p>
    <w:tbl>
      <w:tblPr>
        <w:tblW w:w="16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296"/>
        <w:gridCol w:w="570"/>
        <w:gridCol w:w="1654"/>
        <w:gridCol w:w="4270"/>
        <w:gridCol w:w="599"/>
        <w:gridCol w:w="1566"/>
        <w:gridCol w:w="1783"/>
        <w:gridCol w:w="1390"/>
        <w:gridCol w:w="1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520" w:type="dxa"/>
            <w:gridSpan w:val="3"/>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w:t>
            </w:r>
          </w:p>
        </w:tc>
        <w:tc>
          <w:tcPr>
            <w:tcW w:w="11070" w:type="dxa"/>
            <w:gridSpan w:val="6"/>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27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7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168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366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7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vMerge w:val="restart"/>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68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168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180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27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一般公共预算财政拨款</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政府性基金预算财政拨款</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国有资本经营预算财政拨款</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20"/>
                <w:szCs w:val="20"/>
                <w:u w:val="none"/>
              </w:rPr>
            </w:pPr>
          </w:p>
        </w:tc>
      </w:tr>
    </w:tbl>
    <w:p>
      <w:pPr>
        <w:pStyle w:val="4"/>
        <w:spacing w:before="102"/>
        <w:jc w:val="both"/>
        <w:rPr>
          <w:rFonts w:hint="eastAsia"/>
          <w:sz w:val="20"/>
          <w:lang w:eastAsia="zh-CN"/>
        </w:rPr>
        <w:sectPr>
          <w:type w:val="continuous"/>
          <w:pgSz w:w="16840" w:h="11910" w:orient="landscape"/>
          <w:pgMar w:top="1580" w:right="960" w:bottom="280" w:left="1300" w:header="720" w:footer="720" w:gutter="0"/>
          <w:cols w:equalWidth="0" w:num="2">
            <w:col w:w="7866" w:space="40"/>
            <w:col w:w="6674"/>
          </w:cols>
        </w:sectPr>
      </w:pPr>
    </w:p>
    <w:p>
      <w:pPr>
        <w:tabs>
          <w:tab w:val="left" w:pos="6699"/>
          <w:tab w:val="left" w:pos="12996"/>
        </w:tabs>
        <w:spacing w:before="73" w:after="26"/>
        <w:rPr>
          <w:rFonts w:hint="eastAsia"/>
          <w:sz w:val="20"/>
          <w:lang w:eastAsia="zh-CN"/>
        </w:rPr>
      </w:pPr>
    </w:p>
    <w:p>
      <w:pPr>
        <w:rPr>
          <w:rFonts w:hint="eastAsia"/>
          <w:sz w:val="20"/>
          <w:lang w:eastAsia="zh-CN"/>
        </w:rPr>
        <w:sectPr>
          <w:type w:val="continuous"/>
          <w:pgSz w:w="16840" w:h="11910" w:orient="landscape"/>
          <w:pgMar w:top="1580" w:right="960" w:bottom="280" w:left="1300" w:header="720" w:footer="720" w:gutter="0"/>
          <w:cols w:space="720" w:num="1"/>
        </w:sectPr>
      </w:pPr>
    </w:p>
    <w:tbl>
      <w:tblPr>
        <w:tblW w:w="11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270"/>
        <w:gridCol w:w="599"/>
        <w:gridCol w:w="1566"/>
        <w:gridCol w:w="1783"/>
        <w:gridCol w:w="1390"/>
        <w:gridCol w:w="1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070" w:type="dxa"/>
            <w:gridSpan w:val="6"/>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66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7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vMerge w:val="restart"/>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68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168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180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66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bl>
    <w:p>
      <w:pPr>
        <w:rPr>
          <w:rFonts w:hint="eastAsia"/>
          <w:sz w:val="20"/>
          <w:lang w:eastAsia="zh-CN"/>
        </w:rPr>
      </w:pPr>
    </w:p>
    <w:p>
      <w:pPr>
        <w:rPr>
          <w:rFonts w:hint="eastAsia"/>
          <w:sz w:val="15"/>
          <w:lang w:eastAsia="zh-CN"/>
        </w:rPr>
        <w:sectPr>
          <w:pgSz w:w="16840" w:h="11910" w:orient="landscape"/>
          <w:pgMar w:top="1100" w:right="960" w:bottom="280" w:left="1300" w:header="720" w:footer="720" w:gutter="0"/>
          <w:cols w:space="720" w:num="1"/>
        </w:sectPr>
      </w:pPr>
    </w:p>
    <w:p>
      <w:pPr>
        <w:pStyle w:val="4"/>
        <w:spacing w:before="102"/>
        <w:rPr>
          <w:rFonts w:hint="eastAsia"/>
          <w:sz w:val="20"/>
          <w:lang w:eastAsia="zh-CN"/>
        </w:rPr>
        <w:sectPr>
          <w:type w:val="continuous"/>
          <w:pgSz w:w="16840" w:h="11910" w:orient="landscape"/>
          <w:pgMar w:top="1580" w:right="960" w:bottom="280" w:left="1300" w:header="720" w:footer="720" w:gutter="0"/>
          <w:cols w:equalWidth="0" w:num="2">
            <w:col w:w="8504" w:space="40"/>
            <w:col w:w="6036"/>
          </w:cols>
        </w:sectPr>
      </w:pPr>
    </w:p>
    <w:p>
      <w:pPr>
        <w:tabs>
          <w:tab w:val="left" w:pos="7783"/>
          <w:tab w:val="left" w:pos="13104"/>
        </w:tabs>
        <w:spacing w:before="73" w:after="26"/>
        <w:rPr>
          <w:rFonts w:hint="eastAsia" w:ascii="Times New Roman"/>
          <w:sz w:val="20"/>
        </w:rPr>
        <w:sectPr>
          <w:type w:val="continuous"/>
          <w:pgSz w:w="16840" w:h="11910" w:orient="landscape"/>
          <w:pgMar w:top="1580" w:right="960" w:bottom="280" w:left="1300" w:header="720" w:footer="720" w:gutter="0"/>
          <w:cols w:space="720" w:num="1"/>
        </w:sectPr>
      </w:pPr>
    </w:p>
    <w:p>
      <w:pPr>
        <w:rPr>
          <w:rFonts w:hint="eastAsia"/>
          <w:sz w:val="20"/>
        </w:rPr>
      </w:pPr>
    </w:p>
    <w:tbl>
      <w:tblPr>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90"/>
        <w:gridCol w:w="3930"/>
        <w:gridCol w:w="2250"/>
        <w:gridCol w:w="2250"/>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6750" w:type="dxa"/>
            <w:gridSpan w:val="3"/>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25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225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25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9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财政事务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2010650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事业运行</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391,973.02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注：本表反映部门本年度一般公共预算财政拨款支出情况。</w:t>
            </w:r>
          </w:p>
        </w:tc>
      </w:tr>
    </w:tbl>
    <w:p>
      <w:pPr>
        <w:rPr>
          <w:rFonts w:hint="eastAsia"/>
          <w:sz w:val="20"/>
        </w:rPr>
      </w:pPr>
    </w:p>
    <w:p>
      <w:pPr>
        <w:spacing w:before="2"/>
        <w:rPr>
          <w:rFonts w:hint="eastAsia"/>
          <w:sz w:val="14"/>
        </w:rPr>
      </w:pPr>
    </w:p>
    <w:p>
      <w:pPr>
        <w:rPr>
          <w:rFonts w:hint="eastAsia" w:ascii="Times New Roman"/>
          <w:sz w:val="18"/>
        </w:rPr>
        <w:sectPr>
          <w:pgSz w:w="16840" w:h="11910" w:orient="landscape"/>
          <w:pgMar w:top="1100" w:right="960" w:bottom="280" w:left="1300" w:header="720" w:footer="720" w:gutter="0"/>
          <w:cols w:space="720" w:num="1"/>
        </w:sectPr>
      </w:pPr>
    </w:p>
    <w:tbl>
      <w:tblPr>
        <w:tblW w:w="18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66"/>
        <w:gridCol w:w="3525"/>
        <w:gridCol w:w="1769"/>
        <w:gridCol w:w="766"/>
        <w:gridCol w:w="2775"/>
        <w:gridCol w:w="1796"/>
        <w:gridCol w:w="766"/>
        <w:gridCol w:w="4515"/>
        <w:gridCol w:w="1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060" w:type="dxa"/>
            <w:gridSpan w:val="3"/>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12360" w:type="dxa"/>
            <w:gridSpan w:val="6"/>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35"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3525"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735"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775"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735"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4515"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35"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3525"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735"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2775"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735"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4515"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282,613.49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109,359.53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134,832.00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2,699.44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19,944.00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54,464.78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31,128.96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1,800.56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12,257.03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23,346.72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6,240.00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101,859.53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经常性赠与</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39910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资本性赠与</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人员经费合计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282,613.49</w:t>
            </w:r>
          </w:p>
        </w:tc>
        <w:tc>
          <w:tcPr>
            <w:tcW w:w="0" w:type="auto"/>
            <w:gridSpan w:val="5"/>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109,359.53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注：本表反映部门本年度一般公共预算财政拨款基本支出明细情况。</w:t>
            </w:r>
          </w:p>
        </w:tc>
      </w:tr>
    </w:tbl>
    <w:p>
      <w:pPr>
        <w:rPr>
          <w:rFonts w:hint="eastAsia"/>
          <w:sz w:val="20"/>
        </w:rPr>
      </w:pPr>
    </w:p>
    <w:tbl>
      <w:tblPr>
        <w:tblW w:w="12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66"/>
        <w:gridCol w:w="2775"/>
        <w:gridCol w:w="1796"/>
        <w:gridCol w:w="766"/>
        <w:gridCol w:w="4515"/>
        <w:gridCol w:w="1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360" w:type="dxa"/>
            <w:gridSpan w:val="6"/>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35"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775"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735"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4515"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35"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2775"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735"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4515"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109,359.53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2,699.44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1,800.56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101,859.53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经常性赠与</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39910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资本性赠与</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109,359.53</w:t>
            </w:r>
          </w:p>
        </w:tc>
      </w:tr>
    </w:tbl>
    <w:p>
      <w:pPr>
        <w:rPr>
          <w:rFonts w:hint="eastAsia"/>
          <w:sz w:val="20"/>
        </w:rPr>
      </w:pPr>
    </w:p>
    <w:p>
      <w:pPr>
        <w:spacing w:before="2"/>
        <w:rPr>
          <w:rFonts w:hint="eastAsia"/>
          <w:sz w:val="14"/>
        </w:rPr>
      </w:pPr>
    </w:p>
    <w:p>
      <w:pPr>
        <w:spacing w:before="44" w:line="292" w:lineRule="auto"/>
        <w:ind w:right="1637"/>
        <w:rPr>
          <w:rFonts w:hint="eastAsia"/>
          <w:sz w:val="20"/>
          <w:lang w:eastAsia="zh-CN"/>
        </w:rPr>
        <w:sectPr>
          <w:pgSz w:w="16840" w:h="11910" w:orient="landscape"/>
          <w:pgMar w:top="1100" w:right="960" w:bottom="280" w:left="1300" w:header="720" w:footer="720" w:gutter="0"/>
          <w:cols w:space="720" w:num="1"/>
        </w:sectPr>
      </w:pPr>
    </w:p>
    <w:tbl>
      <w:tblPr>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90"/>
        <w:gridCol w:w="3930"/>
        <w:gridCol w:w="1680"/>
        <w:gridCol w:w="1680"/>
        <w:gridCol w:w="1680"/>
        <w:gridCol w:w="1680"/>
        <w:gridCol w:w="16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68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168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w:t>
            </w:r>
          </w:p>
        </w:tc>
        <w:tc>
          <w:tcPr>
            <w:tcW w:w="5040" w:type="dxa"/>
            <w:gridSpan w:val="3"/>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c>
          <w:tcPr>
            <w:tcW w:w="168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68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68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注：本表反映部门本年度政府性基金预算财政拨款收入、支出及结转和结余情况。</w:t>
            </w:r>
          </w:p>
        </w:tc>
      </w:tr>
    </w:tbl>
    <w:p>
      <w:pPr>
        <w:rPr>
          <w:rFonts w:hint="eastAsia"/>
          <w:sz w:val="15"/>
          <w:lang w:eastAsia="zh-CN"/>
        </w:rPr>
        <w:sectPr>
          <w:pgSz w:w="16840" w:h="11910" w:orient="landscape"/>
          <w:pgMar w:top="1100" w:right="960" w:bottom="280" w:left="1300" w:header="720" w:footer="720" w:gutter="0"/>
          <w:cols w:space="720" w:num="1"/>
        </w:sectPr>
      </w:pPr>
    </w:p>
    <w:p>
      <w:pPr>
        <w:pStyle w:val="4"/>
        <w:spacing w:before="102"/>
        <w:rPr>
          <w:rFonts w:hint="eastAsia"/>
          <w:sz w:val="20"/>
          <w:lang w:eastAsia="zh-CN"/>
        </w:rPr>
        <w:sectPr>
          <w:type w:val="continuous"/>
          <w:pgSz w:w="16840" w:h="11910" w:orient="landscape"/>
          <w:pgMar w:top="1580" w:right="960" w:bottom="280" w:left="1300" w:header="720" w:footer="720" w:gutter="0"/>
          <w:cols w:equalWidth="0" w:num="2">
            <w:col w:w="9469" w:space="40"/>
            <w:col w:w="5071"/>
          </w:cols>
        </w:sectPr>
      </w:pPr>
    </w:p>
    <w:p>
      <w:pPr>
        <w:tabs>
          <w:tab w:val="left" w:pos="7164"/>
          <w:tab w:val="left" w:pos="12996"/>
        </w:tabs>
        <w:spacing w:before="73" w:after="26"/>
        <w:rPr>
          <w:rFonts w:hint="eastAsia"/>
          <w:sz w:val="20"/>
          <w:lang w:eastAsia="zh-CN"/>
        </w:rPr>
      </w:pPr>
    </w:p>
    <w:p>
      <w:pPr>
        <w:bidi w:val="0"/>
        <w:rPr>
          <w:rFonts w:hint="eastAsia" w:ascii="宋体" w:hAnsi="宋体" w:eastAsia="宋体" w:cs="宋体"/>
          <w:sz w:val="22"/>
          <w:szCs w:val="22"/>
          <w:lang w:val="en-US" w:eastAsia="zh-CN" w:bidi="ar-SA"/>
        </w:rPr>
      </w:pPr>
    </w:p>
    <w:p>
      <w:pPr>
        <w:bidi w:val="0"/>
        <w:rPr>
          <w:rFonts w:hint="eastAsia"/>
          <w:lang w:val="en-US" w:eastAsia="zh-CN"/>
        </w:rPr>
      </w:pPr>
    </w:p>
    <w:p>
      <w:pPr>
        <w:bidi w:val="0"/>
        <w:rPr>
          <w:rFonts w:hint="eastAsia"/>
          <w:lang w:val="en-US" w:eastAsia="zh-CN"/>
        </w:rPr>
      </w:pPr>
    </w:p>
    <w:tbl>
      <w:tblPr>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90"/>
        <w:gridCol w:w="3930"/>
        <w:gridCol w:w="1680"/>
        <w:gridCol w:w="16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040" w:type="dxa"/>
            <w:gridSpan w:val="3"/>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68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68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68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注：本表反映部门本年度国有资本经营预算财政拨款支出情况。</w:t>
            </w:r>
          </w:p>
        </w:tc>
      </w:tr>
    </w:tbl>
    <w:p>
      <w:pPr>
        <w:bidi w:val="0"/>
        <w:jc w:val="left"/>
        <w:rPr>
          <w:rFonts w:hint="eastAsia"/>
          <w:lang w:val="en-US" w:eastAsia="zh-CN"/>
        </w:rPr>
        <w:sectPr>
          <w:type w:val="continuous"/>
          <w:pgSz w:w="16840" w:h="11910" w:orient="landscape"/>
          <w:pgMar w:top="1580" w:right="960" w:bottom="280" w:left="1300" w:header="720" w:footer="720" w:gutter="0"/>
          <w:cols w:space="720" w:num="1"/>
        </w:sectPr>
      </w:pPr>
    </w:p>
    <w:tbl>
      <w:tblPr>
        <w:tblW w:w="16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10"/>
        <w:gridCol w:w="1410"/>
        <w:gridCol w:w="1410"/>
        <w:gridCol w:w="1410"/>
        <w:gridCol w:w="1410"/>
        <w:gridCol w:w="1410"/>
        <w:gridCol w:w="1410"/>
        <w:gridCol w:w="1410"/>
        <w:gridCol w:w="1410"/>
        <w:gridCol w:w="1410"/>
        <w:gridCol w:w="141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460" w:type="dxa"/>
            <w:gridSpan w:val="6"/>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8460" w:type="dxa"/>
            <w:gridSpan w:val="6"/>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41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41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4230" w:type="dxa"/>
            <w:gridSpan w:val="3"/>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41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141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41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4230" w:type="dxa"/>
            <w:gridSpan w:val="3"/>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41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41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41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2"/>
            <w:tcBorders>
              <w:top w:val="nil"/>
              <w:left w:val="nil"/>
              <w:bottom w:val="single" w:color="D4D4D4" w:sz="4" w:space="0"/>
              <w:right w:val="single" w:color="D4D4D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注：本表反映部门本年度财政拨款“三公”经费支出预决算情况。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920" w:type="dxa"/>
            <w:gridSpan w:val="12"/>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其中，预算数为“三公”经费全年预算数，反映按规定程序调整后的预算数；决算数是包括当年财政拨款和以前年度结转资金安排的实际支出。</w:t>
            </w:r>
          </w:p>
        </w:tc>
      </w:tr>
    </w:tbl>
    <w:p>
      <w:pPr>
        <w:rPr>
          <w:rFonts w:hint="eastAsia"/>
          <w:sz w:val="20"/>
          <w:lang w:eastAsia="zh-CN"/>
        </w:rPr>
      </w:pPr>
    </w:p>
    <w:p>
      <w:pPr>
        <w:rPr>
          <w:rFonts w:hint="eastAsia"/>
          <w:sz w:val="20"/>
        </w:rPr>
      </w:pPr>
    </w:p>
    <w:p>
      <w:pPr>
        <w:rPr>
          <w:rFonts w:hint="eastAsia"/>
          <w:sz w:val="20"/>
        </w:rPr>
      </w:pPr>
    </w:p>
    <w:tbl>
      <w:tblPr>
        <w:tblW w:w="8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10"/>
        <w:gridCol w:w="1410"/>
        <w:gridCol w:w="1410"/>
        <w:gridCol w:w="1410"/>
        <w:gridCol w:w="141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460" w:type="dxa"/>
            <w:gridSpan w:val="6"/>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41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41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4230" w:type="dxa"/>
            <w:gridSpan w:val="3"/>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410" w:type="dxa"/>
            <w:vMerge w:val="restart"/>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410" w:type="dxa"/>
            <w:vMerge w:val="continue"/>
            <w:tcBorders>
              <w:top w:val="nil"/>
              <w:left w:val="nil"/>
              <w:bottom w:val="single" w:color="D4D4D4" w:sz="4" w:space="0"/>
              <w:right w:val="single" w:color="D4D4D4"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410" w:type="dxa"/>
            <w:tcBorders>
              <w:top w:val="nil"/>
              <w:left w:val="nil"/>
              <w:bottom w:val="single" w:color="D4D4D4" w:sz="4" w:space="0"/>
              <w:right w:val="single" w:color="D4D4D4"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noWrap/>
            <w:vAlign w:val="center"/>
          </w:tcPr>
          <w:p>
            <w:pPr>
              <w:jc w:val="right"/>
              <w:rPr>
                <w:rFonts w:hint="eastAsia" w:ascii="宋体" w:hAnsi="宋体" w:eastAsia="宋体" w:cs="宋体"/>
                <w:i w:val="0"/>
                <w:iCs w:val="0"/>
                <w:color w:val="000000"/>
                <w:sz w:val="22"/>
                <w:szCs w:val="22"/>
                <w:u w:val="none"/>
              </w:rPr>
            </w:pPr>
          </w:p>
        </w:tc>
      </w:tr>
    </w:tbl>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tabs>
          <w:tab w:val="left" w:pos="6262"/>
          <w:tab w:val="left" w:pos="12984"/>
        </w:tabs>
        <w:spacing w:before="70" w:after="28"/>
        <w:rPr>
          <w:rFonts w:hint="eastAsia"/>
          <w:lang w:eastAsia="zh-CN"/>
        </w:rPr>
        <w:sectPr>
          <w:type w:val="continuous"/>
          <w:pgSz w:w="16840" w:h="11910" w:orient="landscape"/>
          <w:pgMar w:top="1580" w:right="960" w:bottom="280" w:left="1300" w:header="720" w:footer="720" w:gutter="0"/>
          <w:cols w:space="720" w:num="1"/>
        </w:sectPr>
      </w:pPr>
    </w:p>
    <w:p>
      <w:pPr>
        <w:pStyle w:val="4"/>
        <w:spacing w:before="101"/>
        <w:rPr>
          <w:rFonts w:hint="eastAsia"/>
          <w:sz w:val="20"/>
          <w:lang w:eastAsia="zh-CN"/>
        </w:rPr>
        <w:sectPr>
          <w:type w:val="continuous"/>
          <w:pgSz w:w="16840" w:h="11910" w:orient="landscape"/>
          <w:pgMar w:top="1580" w:right="960" w:bottom="280" w:left="1300" w:header="720" w:footer="720" w:gutter="0"/>
          <w:cols w:equalWidth="0" w:num="2">
            <w:col w:w="9455" w:space="40"/>
            <w:col w:w="5085"/>
          </w:cols>
        </w:sectPr>
      </w:pPr>
    </w:p>
    <w:p>
      <w:pPr>
        <w:tabs>
          <w:tab w:val="left" w:pos="7068"/>
          <w:tab w:val="left" w:pos="12939"/>
        </w:tabs>
        <w:spacing w:before="70" w:after="28"/>
        <w:rPr>
          <w:rFonts w:hint="eastAsia"/>
          <w:sz w:val="20"/>
          <w:lang w:eastAsia="zh-CN"/>
        </w:rPr>
        <w:sectPr>
          <w:type w:val="continuous"/>
          <w:pgSz w:w="16840" w:h="11910" w:orient="landscape"/>
          <w:pgMar w:top="1580" w:right="960" w:bottom="280" w:left="1300" w:header="720" w:footer="720" w:gutter="0"/>
          <w:cols w:space="720" w:num="1"/>
        </w:sect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spacing w:before="9"/>
        <w:rPr>
          <w:rFonts w:hint="eastAsia"/>
          <w:sz w:val="23"/>
          <w:lang w:eastAsia="zh-CN"/>
        </w:rPr>
      </w:pPr>
    </w:p>
    <w:p>
      <w:pPr>
        <w:pStyle w:val="2"/>
        <w:tabs>
          <w:tab w:val="left" w:pos="2411"/>
        </w:tabs>
        <w:ind w:left="251"/>
        <w:rPr>
          <w:rFonts w:hint="eastAsia"/>
          <w:lang w:eastAsia="zh-CN"/>
        </w:rPr>
      </w:pPr>
      <w:bookmarkStart w:id="4" w:name="第三部分_2022年度单位决算情况说明"/>
      <w:bookmarkEnd w:id="4"/>
      <w:r>
        <w:rPr>
          <w:lang w:eastAsia="zh-CN"/>
        </w:rPr>
        <w:t>第三部分</w:t>
      </w:r>
      <w:r>
        <w:rPr>
          <w:lang w:eastAsia="zh-CN"/>
        </w:rPr>
        <w:tab/>
      </w:r>
      <w:r>
        <w:rPr>
          <w:rFonts w:hint="eastAsia"/>
          <w:lang w:eastAsia="zh-CN"/>
        </w:rPr>
        <w:t>2023</w:t>
      </w:r>
      <w:r>
        <w:rPr>
          <w:lang w:eastAsia="zh-CN"/>
        </w:rPr>
        <w:t>年度单位决算情况说明</w:t>
      </w:r>
    </w:p>
    <w:p>
      <w:pPr>
        <w:rPr>
          <w:rFonts w:hint="eastAsia"/>
          <w:lang w:eastAsia="zh-CN"/>
        </w:rPr>
        <w:sectPr>
          <w:pgSz w:w="11910" w:h="16840"/>
          <w:pgMar w:top="1580" w:right="1380" w:bottom="280" w:left="1680" w:header="720" w:footer="720" w:gutter="0"/>
          <w:cols w:space="720" w:num="1"/>
        </w:sectPr>
      </w:pPr>
    </w:p>
    <w:p>
      <w:pPr>
        <w:pStyle w:val="4"/>
        <w:spacing w:before="35"/>
        <w:ind w:left="760"/>
        <w:rPr>
          <w:rFonts w:hint="eastAsia" w:ascii="黑体" w:eastAsia="黑体"/>
          <w:lang w:eastAsia="zh-CN"/>
        </w:rPr>
      </w:pPr>
      <w:bookmarkStart w:id="5" w:name="一、收入支出决算总体情况说明"/>
      <w:bookmarkEnd w:id="5"/>
      <w:r>
        <w:rPr>
          <w:rFonts w:hint="eastAsia" w:ascii="黑体" w:eastAsia="黑体"/>
          <w:lang w:eastAsia="zh-CN"/>
        </w:rPr>
        <w:t>一、收入支出决算总体情况说明</w:t>
      </w:r>
    </w:p>
    <w:p>
      <w:pPr>
        <w:pStyle w:val="4"/>
        <w:spacing w:before="179" w:line="345" w:lineRule="auto"/>
        <w:ind w:left="120" w:right="259" w:firstLine="640"/>
        <w:rPr>
          <w:rFonts w:hint="eastAsia"/>
          <w:spacing w:val="-14"/>
          <w:lang w:eastAsia="zh-CN"/>
        </w:rPr>
      </w:pPr>
      <w:r>
        <w:rPr>
          <w:rFonts w:hint="eastAsia"/>
          <w:lang w:eastAsia="zh-CN"/>
        </w:rPr>
        <w:t>2023</w:t>
      </w:r>
      <w:r>
        <w:rPr>
          <w:spacing w:val="-23"/>
          <w:lang w:eastAsia="zh-CN"/>
        </w:rPr>
        <w:t>年度收、支总计均为</w:t>
      </w:r>
      <w:r>
        <w:rPr>
          <w:rFonts w:hint="eastAsia"/>
          <w:lang w:val="en-US" w:eastAsia="zh-CN"/>
        </w:rPr>
        <w:t>39.2</w:t>
      </w:r>
      <w:r>
        <w:rPr>
          <w:spacing w:val="-14"/>
          <w:lang w:eastAsia="zh-CN"/>
        </w:rPr>
        <w:t>万元。</w:t>
      </w:r>
      <w:r>
        <w:rPr>
          <w:rFonts w:hint="eastAsia"/>
          <w:spacing w:val="-14"/>
          <w:lang w:eastAsia="zh-CN"/>
        </w:rPr>
        <w:t>与2022年决算相比，收、支总计各增加</w:t>
      </w:r>
      <w:r>
        <w:rPr>
          <w:rFonts w:hint="eastAsia"/>
          <w:lang w:val="en-US" w:eastAsia="zh-CN"/>
        </w:rPr>
        <w:t>39.2</w:t>
      </w:r>
      <w:r>
        <w:rPr>
          <w:rFonts w:hint="eastAsia"/>
          <w:spacing w:val="-14"/>
          <w:lang w:eastAsia="zh-CN"/>
        </w:rPr>
        <w:t>万元，增长100.00%。主要原因:我单位2022年未编报决算公开。</w:t>
      </w:r>
    </w:p>
    <w:p>
      <w:pPr>
        <w:pStyle w:val="4"/>
        <w:ind w:left="760"/>
        <w:rPr>
          <w:rFonts w:hint="eastAsia" w:ascii="黑体" w:eastAsia="黑体"/>
          <w:lang w:eastAsia="zh-CN"/>
        </w:rPr>
      </w:pPr>
      <w:bookmarkStart w:id="6" w:name="二、收入决算情况说明"/>
      <w:bookmarkEnd w:id="6"/>
      <w:r>
        <w:rPr>
          <w:rFonts w:hint="eastAsia" w:ascii="黑体" w:eastAsia="黑体"/>
          <w:lang w:eastAsia="zh-CN"/>
        </w:rPr>
        <w:t>二、收入决算情况说明</w:t>
      </w:r>
    </w:p>
    <w:p>
      <w:pPr>
        <w:pStyle w:val="4"/>
        <w:spacing w:before="180"/>
        <w:ind w:left="760"/>
        <w:jc w:val="both"/>
        <w:rPr>
          <w:rFonts w:hint="eastAsia"/>
          <w:lang w:eastAsia="zh-CN"/>
        </w:rPr>
      </w:pPr>
      <w:bookmarkStart w:id="7" w:name="2022_年度收入合计543.69万元，其中：财政拨款收入_85.62万元，占_"/>
      <w:bookmarkEnd w:id="7"/>
      <w:r>
        <w:rPr>
          <w:rFonts w:hint="eastAsia"/>
          <w:lang w:eastAsia="zh-CN"/>
        </w:rPr>
        <w:t>2023</w:t>
      </w:r>
      <w:r>
        <w:rPr>
          <w:lang w:eastAsia="zh-CN"/>
        </w:rPr>
        <w:t>年度收入合计</w:t>
      </w:r>
      <w:r>
        <w:rPr>
          <w:rFonts w:hint="eastAsia"/>
          <w:lang w:val="en-US" w:eastAsia="zh-CN"/>
        </w:rPr>
        <w:t>39.2</w:t>
      </w:r>
      <w:r>
        <w:rPr>
          <w:lang w:eastAsia="zh-CN"/>
        </w:rPr>
        <w:t>万元，其中：财政拨款收入</w:t>
      </w:r>
    </w:p>
    <w:p>
      <w:pPr>
        <w:pStyle w:val="4"/>
        <w:spacing w:before="180" w:line="343" w:lineRule="auto"/>
        <w:ind w:left="120" w:right="259"/>
        <w:rPr>
          <w:rFonts w:hint="eastAsia"/>
          <w:lang w:eastAsia="zh-CN"/>
        </w:rPr>
      </w:pPr>
      <w:r>
        <w:rPr>
          <w:rFonts w:hint="eastAsia"/>
          <w:lang w:val="en-US" w:eastAsia="zh-CN"/>
        </w:rPr>
        <w:t>39.2</w:t>
      </w:r>
      <w:r>
        <w:rPr>
          <w:spacing w:val="-29"/>
          <w:lang w:eastAsia="zh-CN"/>
        </w:rPr>
        <w:t>万元，占</w:t>
      </w:r>
      <w:r>
        <w:rPr>
          <w:spacing w:val="-12"/>
          <w:lang w:eastAsia="zh-CN"/>
        </w:rPr>
        <w:t>1</w:t>
      </w:r>
      <w:r>
        <w:rPr>
          <w:rFonts w:hint="eastAsia"/>
          <w:spacing w:val="-12"/>
          <w:lang w:eastAsia="zh-CN"/>
        </w:rPr>
        <w:t>00.00</w:t>
      </w:r>
      <w:r>
        <w:rPr>
          <w:lang w:eastAsia="zh-CN"/>
        </w:rPr>
        <w:t>%。</w:t>
      </w:r>
    </w:p>
    <w:p>
      <w:pPr>
        <w:pStyle w:val="4"/>
        <w:spacing w:before="6"/>
        <w:ind w:left="760"/>
        <w:rPr>
          <w:rFonts w:hint="eastAsia" w:ascii="黑体" w:eastAsia="黑体"/>
          <w:lang w:eastAsia="zh-CN"/>
        </w:rPr>
      </w:pPr>
      <w:bookmarkStart w:id="8" w:name="三、支出决算情况说明"/>
      <w:bookmarkEnd w:id="8"/>
      <w:r>
        <w:rPr>
          <w:rFonts w:hint="eastAsia" w:ascii="黑体" w:eastAsia="黑体"/>
          <w:lang w:eastAsia="zh-CN"/>
        </w:rPr>
        <w:t>三、支出决算情况说明</w:t>
      </w:r>
    </w:p>
    <w:p>
      <w:pPr>
        <w:pStyle w:val="4"/>
        <w:spacing w:before="181" w:line="345" w:lineRule="auto"/>
        <w:ind w:left="120" w:right="416" w:firstLine="640"/>
        <w:rPr>
          <w:rFonts w:hint="eastAsia"/>
          <w:lang w:eastAsia="zh-CN"/>
        </w:rPr>
      </w:pPr>
      <w:bookmarkStart w:id="9" w:name="2022年度支出合计_543.69万元，其中：基本支出543.69_万元，占10"/>
      <w:bookmarkEnd w:id="9"/>
      <w:r>
        <w:rPr>
          <w:rFonts w:hint="eastAsia"/>
          <w:lang w:eastAsia="zh-CN"/>
        </w:rPr>
        <w:t>2023</w:t>
      </w:r>
      <w:r>
        <w:rPr>
          <w:spacing w:val="-17"/>
          <w:lang w:eastAsia="zh-CN"/>
        </w:rPr>
        <w:t>年度支出合计</w:t>
      </w:r>
      <w:r>
        <w:rPr>
          <w:rFonts w:hint="eastAsia"/>
          <w:lang w:val="en-US" w:eastAsia="zh-CN"/>
        </w:rPr>
        <w:t>39.2</w:t>
      </w:r>
      <w:r>
        <w:rPr>
          <w:spacing w:val="-37"/>
          <w:lang w:eastAsia="zh-CN"/>
        </w:rPr>
        <w:t>万元，其中：基本支出</w:t>
      </w:r>
      <w:r>
        <w:rPr>
          <w:rFonts w:hint="eastAsia"/>
          <w:lang w:val="en-US" w:eastAsia="zh-CN"/>
        </w:rPr>
        <w:t>39.2</w:t>
      </w:r>
      <w:r>
        <w:rPr>
          <w:spacing w:val="-16"/>
          <w:lang w:eastAsia="zh-CN"/>
        </w:rPr>
        <w:t>万元，占</w:t>
      </w:r>
      <w:r>
        <w:rPr>
          <w:lang w:eastAsia="zh-CN"/>
        </w:rPr>
        <w:t>100.00%。</w:t>
      </w:r>
    </w:p>
    <w:p>
      <w:pPr>
        <w:pStyle w:val="4"/>
        <w:ind w:left="760"/>
        <w:rPr>
          <w:rFonts w:hint="eastAsia" w:ascii="黑体" w:eastAsia="黑体"/>
          <w:lang w:eastAsia="zh-CN"/>
        </w:rPr>
      </w:pPr>
      <w:bookmarkStart w:id="10" w:name="四、财政拨款收入支出决算总体情况说明"/>
      <w:bookmarkEnd w:id="10"/>
      <w:r>
        <w:rPr>
          <w:rFonts w:hint="eastAsia" w:ascii="黑体" w:eastAsia="黑体"/>
          <w:lang w:eastAsia="zh-CN"/>
        </w:rPr>
        <w:t>四、财政拨款收入支出决算总体情况说明</w:t>
      </w:r>
    </w:p>
    <w:p>
      <w:pPr>
        <w:pStyle w:val="4"/>
        <w:spacing w:before="179" w:line="345" w:lineRule="auto"/>
        <w:ind w:left="120" w:right="259" w:firstLine="640"/>
        <w:rPr>
          <w:rFonts w:hint="eastAsia"/>
          <w:lang w:eastAsia="zh-CN"/>
        </w:rPr>
      </w:pPr>
      <w:r>
        <w:rPr>
          <w:rFonts w:hint="eastAsia"/>
          <w:lang w:eastAsia="zh-CN"/>
        </w:rPr>
        <w:t>2023年度财政拨款收、支总计均为</w:t>
      </w:r>
      <w:r>
        <w:rPr>
          <w:rFonts w:hint="eastAsia"/>
          <w:lang w:val="en-US" w:eastAsia="zh-CN"/>
        </w:rPr>
        <w:t>39.2</w:t>
      </w:r>
      <w:r>
        <w:rPr>
          <w:rFonts w:hint="eastAsia"/>
          <w:lang w:eastAsia="zh-CN"/>
        </w:rPr>
        <w:t>万元。与上年度相比，财政拨款收、支总计各</w:t>
      </w:r>
      <w:r>
        <w:rPr>
          <w:rFonts w:hint="eastAsia"/>
          <w:spacing w:val="-15"/>
          <w:lang w:eastAsia="zh-CN"/>
        </w:rPr>
        <w:t>增加</w:t>
      </w:r>
      <w:r>
        <w:rPr>
          <w:rFonts w:hint="eastAsia"/>
          <w:lang w:val="en-US" w:eastAsia="zh-CN"/>
        </w:rPr>
        <w:t>39.2</w:t>
      </w:r>
      <w:r>
        <w:rPr>
          <w:spacing w:val="-23"/>
          <w:lang w:eastAsia="zh-CN"/>
        </w:rPr>
        <w:t>万元，</w:t>
      </w:r>
      <w:r>
        <w:rPr>
          <w:rFonts w:hint="eastAsia"/>
          <w:spacing w:val="-23"/>
          <w:lang w:eastAsia="zh-CN"/>
        </w:rPr>
        <w:t>增长</w:t>
      </w:r>
      <w:r>
        <w:rPr>
          <w:rFonts w:hint="eastAsia"/>
          <w:lang w:eastAsia="zh-CN"/>
        </w:rPr>
        <w:t>100.00</w:t>
      </w:r>
      <w:r>
        <w:rPr>
          <w:lang w:eastAsia="zh-CN"/>
        </w:rPr>
        <w:t>%</w:t>
      </w:r>
      <w:r>
        <w:rPr>
          <w:rFonts w:hint="eastAsia"/>
          <w:lang w:eastAsia="zh-CN"/>
        </w:rPr>
        <w:t>。主要原因是</w:t>
      </w:r>
      <w:r>
        <w:rPr>
          <w:rFonts w:hint="eastAsia"/>
          <w:spacing w:val="-14"/>
          <w:lang w:eastAsia="zh-CN"/>
        </w:rPr>
        <w:t>我单位2022年未编报决算公开</w:t>
      </w:r>
      <w:r>
        <w:rPr>
          <w:rFonts w:hint="eastAsia"/>
          <w:lang w:eastAsia="zh-CN"/>
        </w:rPr>
        <w:t>。</w:t>
      </w:r>
    </w:p>
    <w:p>
      <w:pPr>
        <w:pStyle w:val="4"/>
        <w:ind w:left="760"/>
        <w:rPr>
          <w:rFonts w:hint="eastAsia" w:ascii="黑体" w:eastAsia="黑体"/>
          <w:lang w:eastAsia="zh-CN"/>
        </w:rPr>
      </w:pPr>
      <w:bookmarkStart w:id="11" w:name="五、一般公共预算财政拨款支出决算情况说明"/>
      <w:bookmarkEnd w:id="11"/>
      <w:r>
        <w:rPr>
          <w:rFonts w:hint="eastAsia" w:ascii="黑体" w:eastAsia="黑体"/>
          <w:lang w:eastAsia="zh-CN"/>
        </w:rPr>
        <w:t>五、一般公共决算财政拨款支出决算情况说明</w:t>
      </w:r>
    </w:p>
    <w:p>
      <w:pPr>
        <w:pStyle w:val="3"/>
        <w:rPr>
          <w:rFonts w:hint="eastAsia"/>
          <w:lang w:eastAsia="zh-CN"/>
        </w:rPr>
      </w:pPr>
      <w:r>
        <w:rPr>
          <w:lang w:eastAsia="zh-CN"/>
        </w:rPr>
        <w:t>（一）总体情况</w:t>
      </w:r>
    </w:p>
    <w:p>
      <w:pPr>
        <w:pStyle w:val="4"/>
        <w:spacing w:before="179" w:line="345" w:lineRule="auto"/>
        <w:ind w:left="120" w:right="259" w:firstLine="640"/>
        <w:rPr>
          <w:rFonts w:hint="eastAsia"/>
          <w:lang w:eastAsia="zh-CN"/>
        </w:rPr>
      </w:pPr>
      <w:r>
        <w:rPr>
          <w:rFonts w:hint="eastAsia"/>
          <w:lang w:eastAsia="zh-CN"/>
        </w:rPr>
        <w:t>2023</w:t>
      </w:r>
      <w:r>
        <w:rPr>
          <w:spacing w:val="-15"/>
          <w:lang w:eastAsia="zh-CN"/>
        </w:rPr>
        <w:t>年度一般公共决算财政拨款支出</w:t>
      </w:r>
      <w:r>
        <w:rPr>
          <w:rFonts w:hint="eastAsia"/>
          <w:lang w:val="en-US" w:eastAsia="zh-CN"/>
        </w:rPr>
        <w:t>39.2</w:t>
      </w:r>
      <w:r>
        <w:rPr>
          <w:spacing w:val="-31"/>
          <w:lang w:eastAsia="zh-CN"/>
        </w:rPr>
        <w:t>万元，占支</w:t>
      </w:r>
      <w:r>
        <w:rPr>
          <w:spacing w:val="3"/>
          <w:lang w:eastAsia="zh-CN"/>
        </w:rPr>
        <w:t>出合计的</w:t>
      </w:r>
      <w:r>
        <w:rPr>
          <w:lang w:eastAsia="zh-CN"/>
        </w:rPr>
        <w:t>1</w:t>
      </w:r>
      <w:r>
        <w:rPr>
          <w:rFonts w:hint="eastAsia"/>
          <w:lang w:eastAsia="zh-CN"/>
        </w:rPr>
        <w:t>00.00</w:t>
      </w:r>
      <w:r>
        <w:rPr>
          <w:spacing w:val="3"/>
          <w:lang w:eastAsia="zh-CN"/>
        </w:rPr>
        <w:t>%。与上年度相比，一般公共决算财政拨款</w:t>
      </w:r>
      <w:r>
        <w:rPr>
          <w:spacing w:val="-15"/>
          <w:lang w:eastAsia="zh-CN"/>
        </w:rPr>
        <w:t>支出</w:t>
      </w:r>
      <w:r>
        <w:rPr>
          <w:rFonts w:hint="eastAsia"/>
          <w:spacing w:val="-15"/>
          <w:lang w:eastAsia="zh-CN"/>
        </w:rPr>
        <w:t>增加</w:t>
      </w:r>
      <w:r>
        <w:rPr>
          <w:rFonts w:hint="eastAsia"/>
          <w:lang w:val="en-US" w:eastAsia="zh-CN"/>
        </w:rPr>
        <w:t>39.2</w:t>
      </w:r>
      <w:r>
        <w:rPr>
          <w:spacing w:val="-23"/>
          <w:lang w:eastAsia="zh-CN"/>
        </w:rPr>
        <w:t>万元，</w:t>
      </w:r>
      <w:r>
        <w:rPr>
          <w:rFonts w:hint="eastAsia"/>
          <w:spacing w:val="-23"/>
          <w:lang w:eastAsia="zh-CN"/>
        </w:rPr>
        <w:t>增长</w:t>
      </w:r>
      <w:r>
        <w:rPr>
          <w:rFonts w:hint="eastAsia"/>
          <w:lang w:eastAsia="zh-CN"/>
        </w:rPr>
        <w:t>100.00</w:t>
      </w:r>
      <w:r>
        <w:rPr>
          <w:lang w:eastAsia="zh-CN"/>
        </w:rPr>
        <w:t>%。主要原因是</w:t>
      </w:r>
      <w:r>
        <w:rPr>
          <w:rFonts w:hint="eastAsia"/>
          <w:spacing w:val="-14"/>
          <w:lang w:eastAsia="zh-CN"/>
        </w:rPr>
        <w:t>我单位2022年未编报决算公开。</w:t>
      </w:r>
    </w:p>
    <w:p>
      <w:pPr>
        <w:pStyle w:val="3"/>
        <w:numPr>
          <w:ilvl w:val="0"/>
          <w:numId w:val="1"/>
        </w:numPr>
        <w:spacing w:before="0" w:line="408" w:lineRule="exact"/>
        <w:rPr>
          <w:rFonts w:hint="eastAsia"/>
        </w:rPr>
      </w:pPr>
      <w:r>
        <w:t>结构情况</w:t>
      </w:r>
    </w:p>
    <w:p>
      <w:pPr>
        <w:pStyle w:val="4"/>
        <w:spacing w:before="35" w:line="343" w:lineRule="auto"/>
        <w:ind w:left="120" w:right="259" w:firstLine="640"/>
        <w:jc w:val="both"/>
        <w:rPr>
          <w:rFonts w:hint="eastAsia"/>
          <w:lang w:eastAsia="zh-CN"/>
        </w:rPr>
      </w:pPr>
      <w:r>
        <w:rPr>
          <w:rFonts w:hint="eastAsia"/>
          <w:lang w:eastAsia="zh-CN"/>
        </w:rPr>
        <w:t>2023</w:t>
      </w:r>
      <w:r>
        <w:rPr>
          <w:spacing w:val="-15"/>
          <w:lang w:eastAsia="zh-CN"/>
        </w:rPr>
        <w:t>年度一般公共决算财政拨款支出</w:t>
      </w:r>
      <w:r>
        <w:rPr>
          <w:rFonts w:hint="eastAsia"/>
          <w:lang w:val="en-US" w:eastAsia="zh-CN"/>
        </w:rPr>
        <w:t>39.2</w:t>
      </w:r>
      <w:r>
        <w:rPr>
          <w:spacing w:val="-31"/>
          <w:lang w:eastAsia="zh-CN"/>
        </w:rPr>
        <w:t>万元，主要</w:t>
      </w:r>
      <w:r>
        <w:rPr>
          <w:spacing w:val="-37"/>
          <w:lang w:eastAsia="zh-CN"/>
        </w:rPr>
        <w:t>用于以下方面：</w:t>
      </w:r>
      <w:r>
        <w:rPr>
          <w:rFonts w:hint="eastAsia"/>
          <w:spacing w:val="-37"/>
          <w:lang w:eastAsia="zh-CN"/>
        </w:rPr>
        <w:t>一般公共服务支出</w:t>
      </w:r>
      <w:r>
        <w:rPr>
          <w:lang w:eastAsia="zh-CN"/>
        </w:rPr>
        <w:t>（类</w:t>
      </w:r>
      <w:r>
        <w:rPr>
          <w:spacing w:val="-103"/>
          <w:lang w:eastAsia="zh-CN"/>
        </w:rPr>
        <w:t>）</w:t>
      </w:r>
      <w:r>
        <w:rPr>
          <w:spacing w:val="-29"/>
          <w:lang w:eastAsia="zh-CN"/>
        </w:rPr>
        <w:t>支出</w:t>
      </w:r>
      <w:r>
        <w:rPr>
          <w:rFonts w:hint="eastAsia"/>
          <w:lang w:val="en-US" w:eastAsia="zh-CN"/>
        </w:rPr>
        <w:t>39.2</w:t>
      </w:r>
      <w:r>
        <w:rPr>
          <w:rFonts w:hint="eastAsia"/>
          <w:lang w:eastAsia="zh-CN"/>
        </w:rPr>
        <w:t>4</w:t>
      </w:r>
      <w:r>
        <w:rPr>
          <w:spacing w:val="-46"/>
          <w:lang w:eastAsia="zh-CN"/>
        </w:rPr>
        <w:t>万元，占</w:t>
      </w:r>
      <w:r>
        <w:rPr>
          <w:lang w:eastAsia="zh-CN"/>
        </w:rPr>
        <w:t>100.00%。</w:t>
      </w:r>
    </w:p>
    <w:p>
      <w:pPr>
        <w:pStyle w:val="3"/>
        <w:numPr>
          <w:ilvl w:val="0"/>
          <w:numId w:val="2"/>
        </w:numPr>
        <w:spacing w:before="6"/>
        <w:rPr>
          <w:rFonts w:hint="eastAsia"/>
        </w:rPr>
      </w:pPr>
      <w:r>
        <w:t>具体情况</w:t>
      </w:r>
    </w:p>
    <w:p>
      <w:pPr>
        <w:pStyle w:val="3"/>
        <w:spacing w:before="6"/>
        <w:ind w:left="0"/>
        <w:rPr>
          <w:rFonts w:hint="eastAsia"/>
        </w:rPr>
      </w:pPr>
    </w:p>
    <w:p>
      <w:pPr>
        <w:pStyle w:val="4"/>
        <w:spacing w:before="181" w:line="345" w:lineRule="auto"/>
        <w:ind w:left="120" w:right="405" w:firstLine="640"/>
        <w:jc w:val="both"/>
        <w:rPr>
          <w:rFonts w:hint="eastAsia"/>
          <w:lang w:eastAsia="zh-CN"/>
        </w:rPr>
      </w:pPr>
      <w:r>
        <w:rPr>
          <w:rFonts w:hint="eastAsia"/>
          <w:lang w:eastAsia="zh-CN"/>
        </w:rPr>
        <w:t>2023</w:t>
      </w:r>
      <w:r>
        <w:rPr>
          <w:spacing w:val="-15"/>
          <w:lang w:eastAsia="zh-CN"/>
        </w:rPr>
        <w:t>年度一般公共决算财政拨款支出年初</w:t>
      </w:r>
      <w:r>
        <w:rPr>
          <w:rFonts w:hint="eastAsia"/>
          <w:spacing w:val="-15"/>
          <w:lang w:eastAsia="zh-CN"/>
        </w:rPr>
        <w:t>预算</w:t>
      </w:r>
      <w:r>
        <w:rPr>
          <w:spacing w:val="-15"/>
          <w:lang w:eastAsia="zh-CN"/>
        </w:rPr>
        <w:t>为</w:t>
      </w:r>
      <w:r>
        <w:rPr>
          <w:rFonts w:hint="eastAsia"/>
          <w:lang w:val="en-US" w:eastAsia="zh-CN"/>
        </w:rPr>
        <w:t>39.2</w:t>
      </w:r>
      <w:r>
        <w:rPr>
          <w:spacing w:val="-1"/>
          <w:lang w:eastAsia="zh-CN"/>
        </w:rPr>
        <w:t>万元，支出决算为</w:t>
      </w:r>
      <w:r>
        <w:rPr>
          <w:rFonts w:hint="eastAsia"/>
          <w:lang w:val="en-US" w:eastAsia="zh-CN"/>
        </w:rPr>
        <w:t>39.2</w:t>
      </w:r>
      <w:r>
        <w:rPr>
          <w:spacing w:val="-17"/>
          <w:lang w:eastAsia="zh-CN"/>
        </w:rPr>
        <w:t>万元，完成年初</w:t>
      </w:r>
      <w:r>
        <w:rPr>
          <w:rFonts w:hint="eastAsia"/>
          <w:spacing w:val="-17"/>
          <w:lang w:eastAsia="zh-CN"/>
        </w:rPr>
        <w:t>预算</w:t>
      </w:r>
      <w:r>
        <w:rPr>
          <w:spacing w:val="-17"/>
          <w:lang w:eastAsia="zh-CN"/>
        </w:rPr>
        <w:t>的</w:t>
      </w:r>
      <w:r>
        <w:rPr>
          <w:rFonts w:hint="eastAsia"/>
          <w:lang w:eastAsia="zh-CN"/>
        </w:rPr>
        <w:t>100</w:t>
      </w:r>
      <w:r>
        <w:rPr>
          <w:lang w:eastAsia="zh-CN"/>
        </w:rPr>
        <w:t>%。其中：</w:t>
      </w:r>
    </w:p>
    <w:p>
      <w:pPr>
        <w:spacing w:line="345" w:lineRule="auto"/>
        <w:ind w:left="120" w:right="418" w:firstLine="640"/>
        <w:jc w:val="both"/>
        <w:rPr>
          <w:rFonts w:hint="eastAsia" w:ascii="仿宋" w:eastAsia="仿宋"/>
          <w:sz w:val="32"/>
          <w:lang w:eastAsia="zh-CN"/>
        </w:rPr>
      </w:pPr>
      <w:r>
        <w:rPr>
          <w:rFonts w:hint="eastAsia" w:ascii="仿宋" w:eastAsia="仿宋"/>
          <w:b/>
          <w:spacing w:val="6"/>
          <w:w w:val="95"/>
          <w:sz w:val="32"/>
          <w:lang w:eastAsia="zh-CN"/>
        </w:rPr>
        <w:t>1．</w:t>
      </w:r>
      <w:r>
        <w:rPr>
          <w:rFonts w:hint="eastAsia" w:ascii="仿宋" w:eastAsia="仿宋"/>
          <w:b/>
          <w:spacing w:val="7"/>
          <w:w w:val="95"/>
          <w:sz w:val="32"/>
          <w:lang w:eastAsia="zh-CN"/>
        </w:rPr>
        <w:t>一般公共服务支出（类）财政事务（款）事业运行（项</w:t>
      </w:r>
      <w:r>
        <w:rPr>
          <w:rFonts w:hint="eastAsia" w:ascii="仿宋" w:eastAsia="仿宋"/>
          <w:b/>
          <w:spacing w:val="-149"/>
          <w:sz w:val="32"/>
          <w:lang w:eastAsia="zh-CN"/>
        </w:rPr>
        <w:t>）</w:t>
      </w:r>
      <w:r>
        <w:rPr>
          <w:rFonts w:hint="eastAsia" w:ascii="仿宋" w:eastAsia="仿宋"/>
          <w:b/>
          <w:spacing w:val="12"/>
          <w:sz w:val="32"/>
          <w:lang w:eastAsia="zh-CN"/>
        </w:rPr>
        <w:t>。</w:t>
      </w:r>
      <w:r>
        <w:rPr>
          <w:rFonts w:hint="eastAsia" w:ascii="仿宋" w:eastAsia="仿宋"/>
          <w:spacing w:val="-7"/>
          <w:sz w:val="32"/>
          <w:lang w:eastAsia="zh-CN"/>
        </w:rPr>
        <w:t>年初预算</w:t>
      </w:r>
      <w:r>
        <w:rPr>
          <w:rFonts w:hint="eastAsia" w:ascii="仿宋" w:eastAsia="仿宋"/>
          <w:spacing w:val="-10"/>
          <w:sz w:val="32"/>
          <w:lang w:eastAsia="zh-CN"/>
        </w:rPr>
        <w:t>为</w:t>
      </w:r>
      <w:r>
        <w:rPr>
          <w:rFonts w:hint="eastAsia" w:ascii="仿宋" w:eastAsia="仿宋"/>
          <w:spacing w:val="-10"/>
          <w:sz w:val="32"/>
          <w:lang w:val="en-US" w:eastAsia="zh-CN"/>
        </w:rPr>
        <w:t>38.9</w:t>
      </w:r>
      <w:r>
        <w:rPr>
          <w:rFonts w:hint="eastAsia" w:ascii="仿宋" w:eastAsia="仿宋"/>
          <w:spacing w:val="-10"/>
          <w:sz w:val="32"/>
          <w:lang w:eastAsia="zh-CN"/>
        </w:rPr>
        <w:t>万元，支出决算为</w:t>
      </w:r>
      <w:r>
        <w:rPr>
          <w:rFonts w:hint="eastAsia" w:ascii="仿宋" w:eastAsia="仿宋"/>
          <w:sz w:val="32"/>
          <w:lang w:val="en-US" w:eastAsia="zh-CN"/>
        </w:rPr>
        <w:t>39.2</w:t>
      </w:r>
      <w:r>
        <w:rPr>
          <w:rFonts w:hint="eastAsia" w:ascii="仿宋" w:eastAsia="仿宋"/>
          <w:spacing w:val="-8"/>
          <w:sz w:val="32"/>
          <w:lang w:eastAsia="zh-CN"/>
        </w:rPr>
        <w:t>万元，完成</w:t>
      </w:r>
      <w:r>
        <w:rPr>
          <w:rFonts w:hint="eastAsia" w:ascii="仿宋" w:eastAsia="仿宋"/>
          <w:sz w:val="32"/>
          <w:lang w:eastAsia="zh-CN"/>
        </w:rPr>
        <w:t>年初决算的</w:t>
      </w:r>
      <w:r>
        <w:rPr>
          <w:rFonts w:hint="eastAsia" w:ascii="仿宋" w:eastAsia="仿宋"/>
          <w:sz w:val="32"/>
          <w:lang w:val="en-US" w:eastAsia="zh-CN"/>
        </w:rPr>
        <w:t>100.77</w:t>
      </w:r>
      <w:r>
        <w:rPr>
          <w:rFonts w:hint="eastAsia" w:ascii="仿宋" w:eastAsia="仿宋"/>
          <w:sz w:val="32"/>
          <w:lang w:eastAsia="zh-CN"/>
        </w:rPr>
        <w:t>%。决算数与年初决算数差异原因是我单位本年度上级安排任务以及办公业务增加导致相应支出增加。</w:t>
      </w:r>
    </w:p>
    <w:p>
      <w:pPr>
        <w:pStyle w:val="4"/>
        <w:spacing w:line="408" w:lineRule="exact"/>
        <w:ind w:left="760"/>
        <w:rPr>
          <w:rFonts w:hint="eastAsia" w:ascii="黑体" w:eastAsia="黑体"/>
          <w:lang w:eastAsia="zh-CN"/>
        </w:rPr>
      </w:pPr>
      <w:bookmarkStart w:id="12" w:name="六、一般公共预算财政拨款基本支出决算情况说明"/>
      <w:bookmarkEnd w:id="12"/>
      <w:r>
        <w:rPr>
          <w:rFonts w:hint="eastAsia" w:ascii="黑体" w:eastAsia="黑体"/>
          <w:lang w:eastAsia="zh-CN"/>
        </w:rPr>
        <w:t>六、一般公共决算财政拨款基本支出决算情况说明</w:t>
      </w:r>
    </w:p>
    <w:p>
      <w:pPr>
        <w:pStyle w:val="4"/>
        <w:spacing w:before="181" w:line="345" w:lineRule="auto"/>
        <w:ind w:left="120" w:right="420" w:firstLine="640"/>
        <w:jc w:val="both"/>
        <w:rPr>
          <w:spacing w:val="-19"/>
          <w:lang w:eastAsia="zh-CN"/>
        </w:rPr>
      </w:pPr>
      <w:r>
        <w:rPr>
          <w:rFonts w:hint="eastAsia"/>
          <w:spacing w:val="-19"/>
          <w:lang w:eastAsia="zh-CN"/>
        </w:rPr>
        <w:t>2023</w:t>
      </w:r>
      <w:r>
        <w:rPr>
          <w:spacing w:val="-19"/>
          <w:lang w:eastAsia="zh-CN"/>
        </w:rPr>
        <w:t>年度一般公共决算财政拨款基本支出</w:t>
      </w:r>
      <w:r>
        <w:rPr>
          <w:rFonts w:hint="eastAsia"/>
          <w:spacing w:val="-19"/>
          <w:lang w:val="en-US" w:eastAsia="zh-CN"/>
        </w:rPr>
        <w:t>39.2</w:t>
      </w:r>
      <w:r>
        <w:rPr>
          <w:spacing w:val="-19"/>
          <w:lang w:eastAsia="zh-CN"/>
        </w:rPr>
        <w:t>万元。其中：人员经费</w:t>
      </w:r>
      <w:r>
        <w:rPr>
          <w:rFonts w:hint="eastAsia"/>
          <w:spacing w:val="-19"/>
          <w:lang w:val="en-US" w:eastAsia="zh-CN"/>
        </w:rPr>
        <w:t>28.26</w:t>
      </w:r>
      <w:r>
        <w:rPr>
          <w:spacing w:val="-19"/>
          <w:lang w:eastAsia="zh-CN"/>
        </w:rPr>
        <w:t>万元，主要包括：基本工资、</w:t>
      </w:r>
      <w:r>
        <w:rPr>
          <w:rFonts w:hint="eastAsia"/>
          <w:spacing w:val="-19"/>
          <w:lang w:eastAsia="zh-CN"/>
        </w:rPr>
        <w:t>奖金、津</w:t>
      </w:r>
      <w:r>
        <w:rPr>
          <w:spacing w:val="-19"/>
          <w:lang w:eastAsia="zh-CN"/>
        </w:rPr>
        <w:t>贴补贴、绩效工资</w:t>
      </w:r>
      <w:r>
        <w:rPr>
          <w:rFonts w:hint="eastAsia"/>
          <w:spacing w:val="-19"/>
          <w:lang w:eastAsia="zh-CN"/>
        </w:rPr>
        <w:t>、机关事业单位基本养老保险缴费、住房公积金、其他工资福利支出</w:t>
      </w:r>
      <w:r>
        <w:rPr>
          <w:spacing w:val="-19"/>
          <w:lang w:eastAsia="zh-CN"/>
        </w:rPr>
        <w:t>；公用经费</w:t>
      </w:r>
      <w:r>
        <w:rPr>
          <w:rFonts w:hint="eastAsia"/>
          <w:spacing w:val="-19"/>
          <w:lang w:val="en-US" w:eastAsia="zh-CN"/>
        </w:rPr>
        <w:t>10.94</w:t>
      </w:r>
      <w:r>
        <w:rPr>
          <w:spacing w:val="-19"/>
          <w:lang w:eastAsia="zh-CN"/>
        </w:rPr>
        <w:t>万</w:t>
      </w:r>
      <w:r>
        <w:rPr>
          <w:rFonts w:hint="eastAsia"/>
          <w:spacing w:val="-19"/>
          <w:lang w:eastAsia="zh-CN"/>
        </w:rPr>
        <w:t>元，</w:t>
      </w:r>
      <w:r>
        <w:rPr>
          <w:spacing w:val="-19"/>
          <w:lang w:eastAsia="zh-CN"/>
        </w:rPr>
        <w:t>主要包括</w:t>
      </w:r>
      <w:bookmarkStart w:id="13" w:name="七、政府性基金预算财政拨款支出决算情况说明"/>
      <w:bookmarkEnd w:id="13"/>
      <w:r>
        <w:rPr>
          <w:rFonts w:hint="eastAsia"/>
          <w:spacing w:val="-19"/>
          <w:lang w:eastAsia="zh-CN"/>
        </w:rPr>
        <w:t>：办公费、水费、电费、邮电费、差旅费、维修（护）费、劳务费、工会经费、其他商品和服务支出。</w:t>
      </w:r>
    </w:p>
    <w:p>
      <w:pPr>
        <w:pStyle w:val="4"/>
        <w:spacing w:before="181" w:line="345" w:lineRule="auto"/>
        <w:ind w:left="120" w:right="420" w:firstLine="640"/>
        <w:jc w:val="both"/>
        <w:rPr>
          <w:rFonts w:hint="eastAsia" w:ascii="黑体" w:eastAsia="黑体"/>
          <w:lang w:eastAsia="zh-CN"/>
        </w:rPr>
      </w:pPr>
      <w:r>
        <w:rPr>
          <w:rFonts w:hint="eastAsia" w:ascii="黑体" w:eastAsia="黑体"/>
          <w:lang w:eastAsia="zh-CN"/>
        </w:rPr>
        <w:t>七、政府性基金决算财政拨款支出决算情况说明</w:t>
      </w:r>
    </w:p>
    <w:p>
      <w:pPr>
        <w:pStyle w:val="4"/>
        <w:spacing w:before="181" w:line="345" w:lineRule="auto"/>
        <w:ind w:left="120" w:right="420" w:firstLine="640"/>
        <w:jc w:val="both"/>
        <w:rPr>
          <w:rFonts w:hint="eastAsia"/>
          <w:lang w:eastAsia="zh-CN"/>
        </w:rPr>
      </w:pPr>
      <w:r>
        <w:rPr>
          <w:spacing w:val="-19"/>
          <w:lang w:eastAsia="zh-CN"/>
        </w:rPr>
        <w:t>我单位</w:t>
      </w:r>
      <w:r>
        <w:rPr>
          <w:rFonts w:hint="eastAsia"/>
          <w:lang w:eastAsia="zh-CN"/>
        </w:rPr>
        <w:t>2023</w:t>
      </w:r>
      <w:r>
        <w:rPr>
          <w:spacing w:val="-2"/>
          <w:lang w:eastAsia="zh-CN"/>
        </w:rPr>
        <w:t>年度没有政府性基金收入，也没有使用政府性基金安排的支出。</w:t>
      </w:r>
    </w:p>
    <w:p>
      <w:pPr>
        <w:pStyle w:val="4"/>
        <w:ind w:left="760"/>
        <w:rPr>
          <w:rFonts w:hint="eastAsia" w:ascii="黑体" w:eastAsia="黑体"/>
          <w:lang w:eastAsia="zh-CN"/>
        </w:rPr>
      </w:pPr>
      <w:r>
        <w:rPr>
          <w:rFonts w:hint="eastAsia" w:ascii="黑体" w:eastAsia="黑体"/>
          <w:lang w:eastAsia="zh-CN"/>
        </w:rPr>
        <w:t>八、国有资本经营决算财政拨款支出决算情况说明</w:t>
      </w:r>
    </w:p>
    <w:p>
      <w:pPr>
        <w:pStyle w:val="4"/>
        <w:spacing w:before="178" w:line="345" w:lineRule="auto"/>
        <w:ind w:left="120" w:right="420" w:firstLine="640"/>
        <w:jc w:val="both"/>
        <w:rPr>
          <w:rFonts w:hint="eastAsia"/>
          <w:lang w:eastAsia="zh-CN"/>
        </w:rPr>
      </w:pPr>
      <w:r>
        <w:rPr>
          <w:spacing w:val="-19"/>
          <w:lang w:eastAsia="zh-CN"/>
        </w:rPr>
        <w:t>我单位</w:t>
      </w:r>
      <w:r>
        <w:rPr>
          <w:rFonts w:hint="eastAsia"/>
          <w:lang w:eastAsia="zh-CN"/>
        </w:rPr>
        <w:t>2023</w:t>
      </w:r>
      <w:r>
        <w:rPr>
          <w:spacing w:val="-2"/>
          <w:lang w:eastAsia="zh-CN"/>
        </w:rPr>
        <w:t>年度没有国有资本经营收入，也没有使用国有资本经营安排的支出。</w:t>
      </w:r>
    </w:p>
    <w:p>
      <w:pPr>
        <w:pStyle w:val="4"/>
        <w:ind w:left="760"/>
        <w:rPr>
          <w:rFonts w:hint="eastAsia" w:ascii="黑体" w:hAnsi="黑体" w:eastAsia="黑体"/>
          <w:lang w:eastAsia="zh-CN"/>
        </w:rPr>
      </w:pPr>
      <w:bookmarkStart w:id="14" w:name="九、财政拨款“三公”经费支出决算情况说明"/>
      <w:bookmarkEnd w:id="14"/>
      <w:r>
        <w:rPr>
          <w:rFonts w:hint="eastAsia" w:ascii="黑体" w:hAnsi="黑体" w:eastAsia="黑体"/>
          <w:lang w:eastAsia="zh-CN"/>
        </w:rPr>
        <w:t>九、财政拨款“三公”经费支出决算情况说明</w:t>
      </w:r>
    </w:p>
    <w:p>
      <w:pPr>
        <w:pStyle w:val="3"/>
        <w:rPr>
          <w:rFonts w:hint="eastAsia"/>
          <w:lang w:eastAsia="zh-CN"/>
        </w:rPr>
      </w:pPr>
      <w:bookmarkStart w:id="15" w:name="（一）“三公”经费财政拨款支出决算总体情况说明。"/>
      <w:bookmarkEnd w:id="15"/>
      <w:r>
        <w:rPr>
          <w:spacing w:val="2"/>
          <w:w w:val="99"/>
          <w:lang w:eastAsia="zh-CN"/>
        </w:rPr>
        <w:t>（</w:t>
      </w:r>
      <w:r>
        <w:rPr>
          <w:w w:val="99"/>
          <w:lang w:eastAsia="zh-CN"/>
        </w:rPr>
        <w:t>一</w:t>
      </w:r>
      <w:r>
        <w:rPr>
          <w:spacing w:val="-159"/>
          <w:w w:val="99"/>
          <w:lang w:eastAsia="zh-CN"/>
        </w:rPr>
        <w:t>）</w:t>
      </w:r>
      <w:r>
        <w:rPr>
          <w:w w:val="99"/>
          <w:lang w:eastAsia="zh-CN"/>
        </w:rPr>
        <w:t>“三公”经费财政拨款支出决算总体情况说明。</w:t>
      </w:r>
    </w:p>
    <w:p>
      <w:pPr>
        <w:rPr>
          <w:rFonts w:hint="eastAsia"/>
          <w:lang w:eastAsia="zh-CN"/>
        </w:rPr>
        <w:sectPr>
          <w:pgSz w:w="11910" w:h="16840"/>
          <w:pgMar w:top="1540" w:right="1380" w:bottom="280" w:left="1680" w:header="720" w:footer="720" w:gutter="0"/>
          <w:cols w:space="720" w:num="1"/>
        </w:sectPr>
      </w:pPr>
    </w:p>
    <w:p>
      <w:pPr>
        <w:pStyle w:val="4"/>
        <w:spacing w:before="35" w:line="345" w:lineRule="auto"/>
        <w:ind w:left="120" w:right="259" w:firstLine="640"/>
        <w:rPr>
          <w:rFonts w:hint="eastAsia"/>
          <w:lang w:eastAsia="zh-CN"/>
        </w:rPr>
      </w:pPr>
      <w:r>
        <w:rPr>
          <w:rFonts w:hint="eastAsia"/>
          <w:lang w:eastAsia="zh-CN"/>
        </w:rPr>
        <w:t>2023</w:t>
      </w:r>
      <w:r>
        <w:rPr>
          <w:spacing w:val="-19"/>
          <w:lang w:eastAsia="zh-CN"/>
        </w:rPr>
        <w:t>年度“三公”经费财政拨款</w:t>
      </w:r>
      <w:r>
        <w:rPr>
          <w:rFonts w:hint="eastAsia"/>
          <w:spacing w:val="-19"/>
          <w:lang w:eastAsia="zh-CN"/>
        </w:rPr>
        <w:t>年初预算</w:t>
      </w:r>
      <w:r>
        <w:rPr>
          <w:spacing w:val="-19"/>
          <w:lang w:eastAsia="zh-CN"/>
        </w:rPr>
        <w:t>为</w:t>
      </w:r>
      <w:r>
        <w:rPr>
          <w:rFonts w:hint="eastAsia"/>
          <w:lang w:eastAsia="zh-CN"/>
        </w:rPr>
        <w:t>0.00</w:t>
      </w:r>
      <w:r>
        <w:rPr>
          <w:spacing w:val="-21"/>
          <w:lang w:eastAsia="zh-CN"/>
        </w:rPr>
        <w:t>万元，</w:t>
      </w:r>
      <w:r>
        <w:rPr>
          <w:spacing w:val="-32"/>
          <w:lang w:eastAsia="zh-CN"/>
        </w:rPr>
        <w:t>支出决算为</w:t>
      </w:r>
      <w:r>
        <w:rPr>
          <w:rFonts w:hint="eastAsia"/>
          <w:lang w:eastAsia="zh-CN"/>
        </w:rPr>
        <w:t>0.00</w:t>
      </w:r>
      <w:r>
        <w:rPr>
          <w:spacing w:val="-25"/>
          <w:lang w:eastAsia="zh-CN"/>
        </w:rPr>
        <w:t>万元，完成决算的</w:t>
      </w:r>
      <w:r>
        <w:rPr>
          <w:lang w:eastAsia="zh-CN"/>
        </w:rPr>
        <w:t>100.00%</w:t>
      </w:r>
      <w:r>
        <w:rPr>
          <w:spacing w:val="-55"/>
          <w:lang w:eastAsia="zh-CN"/>
        </w:rPr>
        <w:t>。</w:t>
      </w:r>
      <w:r>
        <w:rPr>
          <w:rFonts w:hint="eastAsia"/>
          <w:lang w:eastAsia="zh-CN"/>
        </w:rPr>
        <w:t>2023</w:t>
      </w:r>
      <w:r>
        <w:rPr>
          <w:spacing w:val="-29"/>
          <w:lang w:eastAsia="zh-CN"/>
        </w:rPr>
        <w:t>年度“三公”经费支出决算数与决算数不存在差异。</w:t>
      </w:r>
    </w:p>
    <w:p>
      <w:pPr>
        <w:pStyle w:val="3"/>
        <w:spacing w:before="0" w:line="408" w:lineRule="exact"/>
        <w:rPr>
          <w:rFonts w:hint="eastAsia"/>
          <w:lang w:eastAsia="zh-CN"/>
        </w:rPr>
      </w:pPr>
      <w:bookmarkStart w:id="16" w:name="（二）“三公”经费财政拨款支出决算具体情况说明。"/>
      <w:bookmarkEnd w:id="16"/>
      <w:r>
        <w:rPr>
          <w:spacing w:val="2"/>
          <w:w w:val="99"/>
          <w:lang w:eastAsia="zh-CN"/>
        </w:rPr>
        <w:t>（</w:t>
      </w:r>
      <w:r>
        <w:rPr>
          <w:w w:val="99"/>
          <w:lang w:eastAsia="zh-CN"/>
        </w:rPr>
        <w:t>二</w:t>
      </w:r>
      <w:r>
        <w:rPr>
          <w:spacing w:val="-159"/>
          <w:w w:val="99"/>
          <w:lang w:eastAsia="zh-CN"/>
        </w:rPr>
        <w:t>）</w:t>
      </w:r>
      <w:r>
        <w:rPr>
          <w:w w:val="99"/>
          <w:lang w:eastAsia="zh-CN"/>
        </w:rPr>
        <w:t>“三公”经费财政拨款支出决算具体情况说明。</w:t>
      </w:r>
    </w:p>
    <w:p>
      <w:pPr>
        <w:pStyle w:val="4"/>
        <w:spacing w:before="181" w:line="345" w:lineRule="auto"/>
        <w:ind w:left="120" w:right="259" w:firstLine="640"/>
        <w:rPr>
          <w:rFonts w:hint="eastAsia"/>
          <w:lang w:eastAsia="zh-CN"/>
        </w:rPr>
      </w:pPr>
      <w:r>
        <w:rPr>
          <w:rFonts w:hint="eastAsia"/>
          <w:lang w:eastAsia="zh-CN"/>
        </w:rPr>
        <w:t>2023</w:t>
      </w:r>
      <w:r>
        <w:rPr>
          <w:spacing w:val="3"/>
          <w:lang w:eastAsia="zh-CN"/>
        </w:rPr>
        <w:t>年度“三公”经费财政拨款支出决算中，因公出</w:t>
      </w:r>
      <w:r>
        <w:rPr>
          <w:spacing w:val="-142"/>
          <w:w w:val="99"/>
          <w:lang w:eastAsia="zh-CN"/>
        </w:rPr>
        <w:t>国</w:t>
      </w:r>
      <w:r>
        <w:rPr>
          <w:w w:val="99"/>
          <w:lang w:eastAsia="zh-CN"/>
        </w:rPr>
        <w:t>（境</w:t>
      </w:r>
      <w:r>
        <w:rPr>
          <w:spacing w:val="-142"/>
          <w:w w:val="99"/>
          <w:lang w:eastAsia="zh-CN"/>
        </w:rPr>
        <w:t>）</w:t>
      </w:r>
      <w:r>
        <w:rPr>
          <w:w w:val="99"/>
          <w:lang w:eastAsia="zh-CN"/>
        </w:rPr>
        <w:t>费支出决算</w:t>
      </w:r>
      <w:r>
        <w:rPr>
          <w:spacing w:val="1"/>
          <w:w w:val="99"/>
          <w:lang w:eastAsia="zh-CN"/>
        </w:rPr>
        <w:t>0.</w:t>
      </w:r>
      <w:r>
        <w:rPr>
          <w:spacing w:val="-2"/>
          <w:w w:val="99"/>
          <w:lang w:eastAsia="zh-CN"/>
        </w:rPr>
        <w:t>0</w:t>
      </w:r>
      <w:r>
        <w:rPr>
          <w:w w:val="99"/>
          <w:lang w:eastAsia="zh-CN"/>
        </w:rPr>
        <w:t>0</w:t>
      </w:r>
      <w:r>
        <w:rPr>
          <w:spacing w:val="-20"/>
          <w:w w:val="99"/>
          <w:lang w:eastAsia="zh-CN"/>
        </w:rPr>
        <w:t>万元，完成决算的</w:t>
      </w:r>
      <w:r>
        <w:rPr>
          <w:spacing w:val="1"/>
          <w:w w:val="99"/>
          <w:lang w:eastAsia="zh-CN"/>
        </w:rPr>
        <w:t>0.</w:t>
      </w:r>
      <w:r>
        <w:rPr>
          <w:spacing w:val="-2"/>
          <w:w w:val="99"/>
          <w:lang w:eastAsia="zh-CN"/>
        </w:rPr>
        <w:t>0</w:t>
      </w:r>
      <w:r>
        <w:rPr>
          <w:spacing w:val="1"/>
          <w:w w:val="99"/>
          <w:lang w:eastAsia="zh-CN"/>
        </w:rPr>
        <w:t>0</w:t>
      </w:r>
      <w:r>
        <w:rPr>
          <w:spacing w:val="-48"/>
          <w:w w:val="99"/>
          <w:lang w:eastAsia="zh-CN"/>
        </w:rPr>
        <w:t>%，占</w:t>
      </w:r>
      <w:r>
        <w:rPr>
          <w:spacing w:val="1"/>
          <w:w w:val="99"/>
          <w:lang w:eastAsia="zh-CN"/>
        </w:rPr>
        <w:t>0.</w:t>
      </w:r>
      <w:r>
        <w:rPr>
          <w:spacing w:val="-2"/>
          <w:w w:val="99"/>
          <w:lang w:eastAsia="zh-CN"/>
        </w:rPr>
        <w:t>0</w:t>
      </w:r>
      <w:r>
        <w:rPr>
          <w:spacing w:val="1"/>
          <w:w w:val="99"/>
          <w:lang w:eastAsia="zh-CN"/>
        </w:rPr>
        <w:t>0</w:t>
      </w:r>
      <w:r>
        <w:rPr>
          <w:spacing w:val="-1"/>
          <w:w w:val="99"/>
          <w:lang w:eastAsia="zh-CN"/>
        </w:rPr>
        <w:t>%；</w:t>
      </w:r>
      <w:r>
        <w:rPr>
          <w:spacing w:val="13"/>
          <w:lang w:eastAsia="zh-CN"/>
        </w:rPr>
        <w:t>公务用车购置及运行费支出决算</w:t>
      </w:r>
      <w:r>
        <w:rPr>
          <w:lang w:eastAsia="zh-CN"/>
        </w:rPr>
        <w:t>0.</w:t>
      </w:r>
      <w:r>
        <w:rPr>
          <w:rFonts w:hint="eastAsia"/>
          <w:lang w:eastAsia="zh-CN"/>
        </w:rPr>
        <w:t>00</w:t>
      </w:r>
      <w:r>
        <w:rPr>
          <w:spacing w:val="8"/>
          <w:lang w:eastAsia="zh-CN"/>
        </w:rPr>
        <w:t>万元</w:t>
      </w:r>
      <w:r>
        <w:rPr>
          <w:spacing w:val="-10"/>
          <w:lang w:eastAsia="zh-CN"/>
        </w:rPr>
        <w:t>；公务接待费支出决算</w:t>
      </w:r>
      <w:r>
        <w:rPr>
          <w:rFonts w:hint="eastAsia"/>
          <w:spacing w:val="-10"/>
          <w:lang w:val="en-US" w:eastAsia="zh-CN"/>
        </w:rPr>
        <w:t>2.56</w:t>
      </w:r>
      <w:r>
        <w:rPr>
          <w:spacing w:val="-20"/>
          <w:lang w:eastAsia="zh-CN"/>
        </w:rPr>
        <w:t>万元，完成</w:t>
      </w:r>
      <w:r>
        <w:rPr>
          <w:spacing w:val="-36"/>
          <w:lang w:eastAsia="zh-CN"/>
        </w:rPr>
        <w:t>决算的</w:t>
      </w:r>
      <w:r>
        <w:rPr>
          <w:lang w:eastAsia="zh-CN"/>
        </w:rPr>
        <w:t>100.00</w:t>
      </w:r>
      <w:r>
        <w:rPr>
          <w:spacing w:val="-20"/>
          <w:lang w:eastAsia="zh-CN"/>
        </w:rPr>
        <w:t>%，占</w:t>
      </w:r>
      <w:r>
        <w:rPr>
          <w:rFonts w:hint="eastAsia"/>
          <w:lang w:eastAsia="zh-CN"/>
        </w:rPr>
        <w:t>100.00</w:t>
      </w:r>
      <w:r>
        <w:rPr>
          <w:lang w:eastAsia="zh-CN"/>
        </w:rPr>
        <w:t>%。具体情况如下：</w:t>
      </w:r>
    </w:p>
    <w:p>
      <w:pPr>
        <w:pStyle w:val="11"/>
        <w:tabs>
          <w:tab w:val="left" w:pos="1242"/>
        </w:tabs>
        <w:spacing w:line="345" w:lineRule="auto"/>
        <w:ind w:left="0" w:right="418" w:firstLine="535" w:firstLineChars="200"/>
        <w:rPr>
          <w:rFonts w:hint="eastAsia"/>
          <w:sz w:val="32"/>
          <w:lang w:eastAsia="zh-CN"/>
        </w:rPr>
      </w:pPr>
      <w:r>
        <w:rPr>
          <w:rFonts w:hint="eastAsia"/>
          <w:b/>
          <w:spacing w:val="-27"/>
          <w:sz w:val="32"/>
          <w:lang w:eastAsia="zh-CN"/>
        </w:rPr>
        <w:t>1、</w:t>
      </w:r>
      <w:r>
        <w:rPr>
          <w:b/>
          <w:spacing w:val="-27"/>
          <w:sz w:val="32"/>
          <w:lang w:eastAsia="zh-CN"/>
        </w:rPr>
        <w:t>因公出国</w:t>
      </w:r>
      <w:r>
        <w:rPr>
          <w:b/>
          <w:sz w:val="32"/>
          <w:lang w:eastAsia="zh-CN"/>
        </w:rPr>
        <w:t>（境</w:t>
      </w:r>
      <w:r>
        <w:rPr>
          <w:b/>
          <w:spacing w:val="-106"/>
          <w:sz w:val="32"/>
          <w:lang w:eastAsia="zh-CN"/>
        </w:rPr>
        <w:t>）</w:t>
      </w:r>
      <w:r>
        <w:rPr>
          <w:b/>
          <w:sz w:val="32"/>
          <w:lang w:eastAsia="zh-CN"/>
        </w:rPr>
        <w:t>费</w:t>
      </w:r>
      <w:r>
        <w:rPr>
          <w:spacing w:val="-21"/>
          <w:sz w:val="32"/>
          <w:lang w:eastAsia="zh-CN"/>
        </w:rPr>
        <w:t>决算为</w:t>
      </w:r>
      <w:r>
        <w:rPr>
          <w:sz w:val="32"/>
          <w:lang w:eastAsia="zh-CN"/>
        </w:rPr>
        <w:t>0.00</w:t>
      </w:r>
      <w:r>
        <w:rPr>
          <w:spacing w:val="-24"/>
          <w:sz w:val="32"/>
          <w:lang w:eastAsia="zh-CN"/>
        </w:rPr>
        <w:t>万元，支出决算为0.00</w:t>
      </w:r>
      <w:r>
        <w:rPr>
          <w:spacing w:val="-10"/>
          <w:sz w:val="32"/>
          <w:lang w:eastAsia="zh-CN"/>
        </w:rPr>
        <w:t>万元，完成决算的</w:t>
      </w:r>
      <w:r>
        <w:rPr>
          <w:sz w:val="32"/>
          <w:lang w:eastAsia="zh-CN"/>
        </w:rPr>
        <w:t>0.00%。决算数与决算数不存在差异。全年因公出国（境）</w:t>
      </w:r>
      <w:r>
        <w:rPr>
          <w:spacing w:val="-27"/>
          <w:sz w:val="32"/>
          <w:lang w:eastAsia="zh-CN"/>
        </w:rPr>
        <w:t>团组</w:t>
      </w:r>
      <w:r>
        <w:rPr>
          <w:sz w:val="32"/>
          <w:lang w:eastAsia="zh-CN"/>
        </w:rPr>
        <w:t>0</w:t>
      </w:r>
      <w:r>
        <w:rPr>
          <w:spacing w:val="-28"/>
          <w:sz w:val="32"/>
          <w:lang w:eastAsia="zh-CN"/>
        </w:rPr>
        <w:t>个，累计</w:t>
      </w:r>
      <w:r>
        <w:rPr>
          <w:sz w:val="32"/>
          <w:lang w:eastAsia="zh-CN"/>
        </w:rPr>
        <w:t>0</w:t>
      </w:r>
      <w:r>
        <w:rPr>
          <w:spacing w:val="-21"/>
          <w:sz w:val="32"/>
          <w:lang w:eastAsia="zh-CN"/>
        </w:rPr>
        <w:t>人次。</w:t>
      </w:r>
    </w:p>
    <w:p>
      <w:pPr>
        <w:pStyle w:val="11"/>
        <w:tabs>
          <w:tab w:val="left" w:pos="1242"/>
        </w:tabs>
        <w:spacing w:line="345" w:lineRule="auto"/>
        <w:ind w:left="0" w:right="420" w:firstLine="643" w:firstLineChars="200"/>
        <w:rPr>
          <w:rFonts w:hint="eastAsia"/>
          <w:sz w:val="32"/>
          <w:lang w:eastAsia="zh-CN"/>
        </w:rPr>
      </w:pPr>
      <w:r>
        <w:rPr>
          <w:rFonts w:hint="eastAsia"/>
          <w:b/>
          <w:sz w:val="32"/>
          <w:lang w:eastAsia="zh-CN"/>
        </w:rPr>
        <w:t>2、</w:t>
      </w:r>
      <w:r>
        <w:rPr>
          <w:b/>
          <w:sz w:val="32"/>
          <w:lang w:eastAsia="zh-CN"/>
        </w:rPr>
        <w:t>公务用车购置及运行费</w:t>
      </w:r>
      <w:r>
        <w:rPr>
          <w:spacing w:val="-22"/>
          <w:sz w:val="32"/>
          <w:lang w:eastAsia="zh-CN"/>
        </w:rPr>
        <w:t>决算为</w:t>
      </w:r>
      <w:r>
        <w:rPr>
          <w:sz w:val="32"/>
          <w:lang w:eastAsia="zh-CN"/>
        </w:rPr>
        <w:t>0.</w:t>
      </w:r>
      <w:r>
        <w:rPr>
          <w:rFonts w:hint="eastAsia"/>
          <w:sz w:val="32"/>
          <w:lang w:eastAsia="zh-CN"/>
        </w:rPr>
        <w:t>00</w:t>
      </w:r>
      <w:r>
        <w:rPr>
          <w:spacing w:val="-14"/>
          <w:sz w:val="32"/>
          <w:lang w:eastAsia="zh-CN"/>
        </w:rPr>
        <w:t>万元</w:t>
      </w:r>
      <w:r>
        <w:rPr>
          <w:rFonts w:hint="eastAsia"/>
          <w:spacing w:val="-14"/>
          <w:sz w:val="32"/>
          <w:lang w:eastAsia="zh-CN"/>
        </w:rPr>
        <w:t>。</w:t>
      </w:r>
      <w:r>
        <w:rPr>
          <w:spacing w:val="-7"/>
          <w:sz w:val="32"/>
          <w:lang w:eastAsia="zh-CN"/>
        </w:rPr>
        <w:t>其中：</w:t>
      </w:r>
    </w:p>
    <w:p>
      <w:pPr>
        <w:spacing w:line="408" w:lineRule="exact"/>
        <w:ind w:firstLine="643" w:firstLineChars="200"/>
        <w:jc w:val="both"/>
        <w:rPr>
          <w:rFonts w:hint="eastAsia" w:ascii="仿宋" w:eastAsia="仿宋"/>
          <w:sz w:val="32"/>
          <w:lang w:eastAsia="zh-CN"/>
        </w:rPr>
      </w:pPr>
      <w:r>
        <w:rPr>
          <w:rFonts w:hint="eastAsia" w:ascii="仿宋" w:eastAsia="仿宋"/>
          <w:b/>
          <w:sz w:val="32"/>
          <w:lang w:eastAsia="zh-CN"/>
        </w:rPr>
        <w:t>公务用车购置支出</w:t>
      </w:r>
      <w:r>
        <w:rPr>
          <w:rFonts w:hint="eastAsia" w:ascii="仿宋" w:eastAsia="仿宋"/>
          <w:sz w:val="32"/>
          <w:lang w:eastAsia="zh-CN"/>
        </w:rPr>
        <w:t>0.00万元，购置车辆0台。</w:t>
      </w:r>
    </w:p>
    <w:p>
      <w:pPr>
        <w:spacing w:before="178" w:line="345" w:lineRule="auto"/>
        <w:ind w:right="420" w:firstLine="623" w:firstLineChars="200"/>
        <w:rPr>
          <w:rFonts w:hint="eastAsia" w:ascii="仿宋" w:eastAsia="仿宋"/>
          <w:sz w:val="32"/>
          <w:lang w:eastAsia="zh-CN"/>
        </w:rPr>
      </w:pPr>
      <w:r>
        <w:rPr>
          <w:rFonts w:hint="eastAsia" w:ascii="仿宋" w:eastAsia="仿宋"/>
          <w:b/>
          <w:spacing w:val="-5"/>
          <w:sz w:val="32"/>
          <w:lang w:eastAsia="zh-CN"/>
        </w:rPr>
        <w:t>公务用车运行维护支出</w:t>
      </w:r>
      <w:r>
        <w:rPr>
          <w:rFonts w:hint="eastAsia" w:ascii="仿宋" w:eastAsia="仿宋"/>
          <w:sz w:val="32"/>
          <w:lang w:eastAsia="zh-CN"/>
        </w:rPr>
        <w:t>0.00</w:t>
      </w:r>
      <w:r>
        <w:rPr>
          <w:rFonts w:hint="eastAsia" w:ascii="仿宋" w:eastAsia="仿宋"/>
          <w:spacing w:val="-20"/>
          <w:sz w:val="32"/>
          <w:lang w:eastAsia="zh-CN"/>
        </w:rPr>
        <w:t>万元。</w:t>
      </w:r>
      <w:r>
        <w:rPr>
          <w:rFonts w:hint="eastAsia" w:ascii="仿宋" w:eastAsia="仿宋"/>
          <w:sz w:val="32"/>
          <w:lang w:eastAsia="zh-CN"/>
        </w:rPr>
        <w:t>2023</w:t>
      </w:r>
      <w:r>
        <w:rPr>
          <w:rFonts w:hint="eastAsia" w:ascii="仿宋" w:eastAsia="仿宋"/>
          <w:spacing w:val="-12"/>
          <w:sz w:val="32"/>
          <w:lang w:eastAsia="zh-CN"/>
        </w:rPr>
        <w:t>年期末，单位</w:t>
      </w:r>
      <w:r>
        <w:rPr>
          <w:rFonts w:hint="eastAsia" w:ascii="仿宋" w:eastAsia="仿宋"/>
          <w:spacing w:val="-17"/>
          <w:sz w:val="32"/>
          <w:lang w:eastAsia="zh-CN"/>
        </w:rPr>
        <w:t>开支财政拨款的公务用车保有量为</w:t>
      </w:r>
      <w:r>
        <w:rPr>
          <w:rFonts w:hint="eastAsia" w:ascii="仿宋" w:eastAsia="仿宋"/>
          <w:sz w:val="32"/>
          <w:lang w:eastAsia="zh-CN"/>
        </w:rPr>
        <w:t>0</w:t>
      </w:r>
      <w:r>
        <w:rPr>
          <w:rFonts w:hint="eastAsia" w:ascii="仿宋" w:eastAsia="仿宋"/>
          <w:spacing w:val="-27"/>
          <w:sz w:val="32"/>
          <w:lang w:eastAsia="zh-CN"/>
        </w:rPr>
        <w:t>辆。</w:t>
      </w:r>
    </w:p>
    <w:p>
      <w:pPr>
        <w:pStyle w:val="11"/>
        <w:tabs>
          <w:tab w:val="left" w:pos="1083"/>
        </w:tabs>
        <w:spacing w:line="344" w:lineRule="auto"/>
        <w:ind w:left="0" w:right="261" w:firstLine="643" w:firstLineChars="200"/>
        <w:jc w:val="left"/>
        <w:rPr>
          <w:rFonts w:hint="eastAsia"/>
          <w:sz w:val="32"/>
          <w:lang w:eastAsia="zh-CN"/>
        </w:rPr>
      </w:pPr>
      <w:r>
        <w:rPr>
          <w:rFonts w:hint="eastAsia"/>
          <w:b/>
          <w:sz w:val="32"/>
          <w:lang w:eastAsia="zh-CN"/>
        </w:rPr>
        <w:t>3、</w:t>
      </w:r>
      <w:r>
        <w:rPr>
          <w:b/>
          <w:sz w:val="32"/>
          <w:lang w:eastAsia="zh-CN"/>
        </w:rPr>
        <w:t>公务接待费</w:t>
      </w:r>
      <w:r>
        <w:rPr>
          <w:spacing w:val="-23"/>
          <w:sz w:val="32"/>
          <w:lang w:eastAsia="zh-CN"/>
        </w:rPr>
        <w:t>决算为</w:t>
      </w:r>
      <w:r>
        <w:rPr>
          <w:rFonts w:hint="eastAsia"/>
          <w:sz w:val="32"/>
          <w:lang w:eastAsia="zh-CN"/>
        </w:rPr>
        <w:t>0.00</w:t>
      </w:r>
      <w:r>
        <w:rPr>
          <w:spacing w:val="-36"/>
          <w:sz w:val="32"/>
          <w:lang w:eastAsia="zh-CN"/>
        </w:rPr>
        <w:t>万元，支出决算为</w:t>
      </w:r>
      <w:r>
        <w:rPr>
          <w:rFonts w:hint="eastAsia"/>
          <w:sz w:val="32"/>
          <w:lang w:eastAsia="zh-CN"/>
        </w:rPr>
        <w:t>0.00</w:t>
      </w:r>
      <w:r>
        <w:rPr>
          <w:spacing w:val="-24"/>
          <w:sz w:val="32"/>
          <w:lang w:eastAsia="zh-CN"/>
        </w:rPr>
        <w:t>万元，</w:t>
      </w:r>
      <w:r>
        <w:rPr>
          <w:spacing w:val="-34"/>
          <w:sz w:val="32"/>
          <w:lang w:eastAsia="zh-CN"/>
        </w:rPr>
        <w:t>完成决算的</w:t>
      </w:r>
      <w:r>
        <w:rPr>
          <w:sz w:val="32"/>
          <w:lang w:eastAsia="zh-CN"/>
        </w:rPr>
        <w:t>100.00%。决算数与决算数不存在差异。其中：</w:t>
      </w:r>
    </w:p>
    <w:p>
      <w:pPr>
        <w:pStyle w:val="4"/>
        <w:spacing w:before="6" w:line="345" w:lineRule="auto"/>
        <w:ind w:left="120" w:right="420" w:firstLine="640"/>
        <w:rPr>
          <w:rFonts w:hint="eastAsia"/>
          <w:lang w:eastAsia="zh-CN"/>
        </w:rPr>
      </w:pPr>
      <w:r>
        <w:rPr>
          <w:b/>
          <w:spacing w:val="-9"/>
          <w:lang w:eastAsia="zh-CN"/>
        </w:rPr>
        <w:t>外宾接待支出</w:t>
      </w:r>
      <w:r>
        <w:rPr>
          <w:lang w:eastAsia="zh-CN"/>
        </w:rPr>
        <w:t>0.00</w:t>
      </w:r>
      <w:r>
        <w:rPr>
          <w:spacing w:val="-19"/>
          <w:lang w:eastAsia="zh-CN"/>
        </w:rPr>
        <w:t>万元。</w:t>
      </w:r>
      <w:r>
        <w:rPr>
          <w:rFonts w:hint="eastAsia"/>
          <w:lang w:eastAsia="zh-CN"/>
        </w:rPr>
        <w:t>2023</w:t>
      </w:r>
      <w:r>
        <w:rPr>
          <w:spacing w:val="-13"/>
          <w:lang w:eastAsia="zh-CN"/>
        </w:rPr>
        <w:t>年共接待国</w:t>
      </w:r>
      <w:r>
        <w:rPr>
          <w:lang w:eastAsia="zh-CN"/>
        </w:rPr>
        <w:t>（</w:t>
      </w:r>
      <w:r>
        <w:rPr>
          <w:spacing w:val="5"/>
          <w:lang w:eastAsia="zh-CN"/>
        </w:rPr>
        <w:t>境</w:t>
      </w:r>
      <w:r>
        <w:rPr>
          <w:lang w:eastAsia="zh-CN"/>
        </w:rPr>
        <w:t>）</w:t>
      </w:r>
      <w:r>
        <w:rPr>
          <w:spacing w:val="2"/>
          <w:lang w:eastAsia="zh-CN"/>
        </w:rPr>
        <w:t>外来</w:t>
      </w:r>
      <w:r>
        <w:rPr>
          <w:spacing w:val="-19"/>
          <w:lang w:eastAsia="zh-CN"/>
        </w:rPr>
        <w:t>访团组</w:t>
      </w:r>
      <w:r>
        <w:rPr>
          <w:lang w:eastAsia="zh-CN"/>
        </w:rPr>
        <w:t>0</w:t>
      </w:r>
      <w:r>
        <w:rPr>
          <w:spacing w:val="-22"/>
          <w:lang w:eastAsia="zh-CN"/>
        </w:rPr>
        <w:t>个、来访外宾</w:t>
      </w:r>
      <w:r>
        <w:rPr>
          <w:lang w:eastAsia="zh-CN"/>
        </w:rPr>
        <w:t>0</w:t>
      </w:r>
      <w:r>
        <w:rPr>
          <w:spacing w:val="-28"/>
          <w:lang w:eastAsia="zh-CN"/>
        </w:rPr>
        <w:t>人次</w:t>
      </w:r>
      <w:r>
        <w:rPr>
          <w:lang w:eastAsia="zh-CN"/>
        </w:rPr>
        <w:t>（不包括陪同人员</w:t>
      </w:r>
      <w:r>
        <w:rPr>
          <w:spacing w:val="-159"/>
          <w:lang w:eastAsia="zh-CN"/>
        </w:rPr>
        <w:t>）</w:t>
      </w:r>
      <w:r>
        <w:rPr>
          <w:lang w:eastAsia="zh-CN"/>
        </w:rPr>
        <w:t>。</w:t>
      </w:r>
    </w:p>
    <w:p>
      <w:pPr>
        <w:spacing w:before="35"/>
        <w:ind w:left="760"/>
        <w:rPr>
          <w:rFonts w:hint="eastAsia" w:ascii="仿宋" w:eastAsia="仿宋"/>
          <w:sz w:val="32"/>
          <w:lang w:eastAsia="zh-CN"/>
        </w:rPr>
      </w:pPr>
      <w:r>
        <w:rPr>
          <w:rFonts w:hint="eastAsia" w:ascii="仿宋" w:eastAsia="仿宋"/>
          <w:b/>
          <w:sz w:val="32"/>
          <w:lang w:eastAsia="zh-CN"/>
        </w:rPr>
        <w:t>其他国内公务接待支出</w:t>
      </w:r>
      <w:r>
        <w:rPr>
          <w:rFonts w:hint="eastAsia"/>
          <w:sz w:val="32"/>
          <w:lang w:val="en-US" w:eastAsia="zh-CN"/>
        </w:rPr>
        <w:t>0</w:t>
      </w:r>
      <w:r>
        <w:rPr>
          <w:rFonts w:hint="eastAsia" w:ascii="仿宋" w:eastAsia="仿宋"/>
          <w:sz w:val="32"/>
          <w:lang w:eastAsia="zh-CN"/>
        </w:rPr>
        <w:t>万元。主要用于国内公务</w:t>
      </w:r>
    </w:p>
    <w:p>
      <w:pPr>
        <w:pStyle w:val="4"/>
        <w:spacing w:before="179" w:line="345" w:lineRule="auto"/>
        <w:ind w:left="120" w:right="420"/>
        <w:jc w:val="both"/>
        <w:rPr>
          <w:rFonts w:hint="eastAsia"/>
          <w:lang w:eastAsia="zh-CN"/>
        </w:rPr>
      </w:pPr>
      <w:r>
        <w:rPr>
          <w:spacing w:val="-29"/>
          <w:lang w:eastAsia="zh-CN"/>
        </w:rPr>
        <w:t>接待。</w:t>
      </w:r>
      <w:r>
        <w:rPr>
          <w:rFonts w:hint="eastAsia"/>
          <w:lang w:eastAsia="zh-CN"/>
        </w:rPr>
        <w:t>2023</w:t>
      </w:r>
      <w:r>
        <w:rPr>
          <w:spacing w:val="-17"/>
          <w:lang w:eastAsia="zh-CN"/>
        </w:rPr>
        <w:t>年共接待国内来访团组</w:t>
      </w:r>
      <w:r>
        <w:rPr>
          <w:rFonts w:hint="eastAsia"/>
          <w:spacing w:val="-17"/>
          <w:lang w:val="en-US" w:eastAsia="zh-CN"/>
        </w:rPr>
        <w:t>0</w:t>
      </w:r>
      <w:r>
        <w:rPr>
          <w:spacing w:val="-42"/>
          <w:lang w:eastAsia="zh-CN"/>
        </w:rPr>
        <w:t>个、来宾</w:t>
      </w:r>
      <w:r>
        <w:rPr>
          <w:rFonts w:hint="eastAsia"/>
          <w:spacing w:val="-42"/>
          <w:lang w:val="en-US" w:eastAsia="zh-CN"/>
        </w:rPr>
        <w:t>0</w:t>
      </w:r>
      <w:r>
        <w:rPr>
          <w:spacing w:val="-56"/>
          <w:lang w:eastAsia="zh-CN"/>
        </w:rPr>
        <w:t>人次</w:t>
      </w:r>
      <w:r>
        <w:rPr>
          <w:lang w:eastAsia="zh-CN"/>
        </w:rPr>
        <w:t>（不包括陪同人员</w:t>
      </w:r>
      <w:r>
        <w:rPr>
          <w:spacing w:val="-159"/>
          <w:lang w:eastAsia="zh-CN"/>
        </w:rPr>
        <w:t>）</w:t>
      </w:r>
      <w:r>
        <w:rPr>
          <w:lang w:eastAsia="zh-CN"/>
        </w:rPr>
        <w:t>。</w:t>
      </w:r>
    </w:p>
    <w:p>
      <w:pPr>
        <w:pStyle w:val="4"/>
        <w:ind w:left="760"/>
        <w:rPr>
          <w:rFonts w:hint="eastAsia" w:ascii="黑体" w:eastAsia="黑体"/>
          <w:lang w:eastAsia="zh-CN"/>
        </w:rPr>
      </w:pPr>
      <w:bookmarkStart w:id="17" w:name="十、机关运行经费支出情况说明"/>
      <w:bookmarkEnd w:id="17"/>
      <w:r>
        <w:rPr>
          <w:rFonts w:hint="eastAsia" w:ascii="黑体" w:eastAsia="黑体"/>
          <w:lang w:eastAsia="zh-CN"/>
        </w:rPr>
        <w:t>十、机关运行经费支出情况说明</w:t>
      </w:r>
    </w:p>
    <w:p>
      <w:pPr>
        <w:pStyle w:val="4"/>
        <w:spacing w:before="178" w:line="360" w:lineRule="auto"/>
        <w:ind w:right="420" w:firstLine="640" w:firstLineChars="200"/>
        <w:jc w:val="both"/>
        <w:rPr>
          <w:rFonts w:hint="eastAsia"/>
          <w:lang w:eastAsia="zh-CN"/>
        </w:rPr>
      </w:pPr>
      <w:bookmarkStart w:id="18" w:name="十一、政府采购支出情况说明"/>
      <w:bookmarkEnd w:id="18"/>
      <w:r>
        <w:rPr>
          <w:rFonts w:hint="eastAsia"/>
          <w:lang w:eastAsia="zh-CN"/>
        </w:rPr>
        <w:t>信阳市平桥区胡店乡财税所2023年机构运转经费支出决算</w:t>
      </w:r>
      <w:r>
        <w:rPr>
          <w:rFonts w:hint="eastAsia"/>
          <w:lang w:val="en-US" w:eastAsia="zh-CN"/>
        </w:rPr>
        <w:t>10.94</w:t>
      </w:r>
      <w:r>
        <w:rPr>
          <w:rFonts w:hint="eastAsia"/>
          <w:lang w:eastAsia="zh-CN"/>
        </w:rPr>
        <w:t>万元，主要保障机构正常运转及正常履职需要所需支出，包含公用</w:t>
      </w:r>
      <w:bookmarkStart w:id="26" w:name="_GoBack"/>
      <w:bookmarkEnd w:id="26"/>
      <w:r>
        <w:rPr>
          <w:rFonts w:hint="eastAsia"/>
          <w:lang w:eastAsia="zh-CN"/>
        </w:rPr>
        <w:t>经费、公务交通补贴、工会经费、职工福利费等。</w:t>
      </w:r>
    </w:p>
    <w:p>
      <w:pPr>
        <w:pStyle w:val="4"/>
        <w:ind w:left="760"/>
        <w:rPr>
          <w:rFonts w:hint="eastAsia" w:ascii="黑体" w:eastAsia="黑体"/>
          <w:lang w:eastAsia="zh-CN"/>
        </w:rPr>
      </w:pPr>
      <w:r>
        <w:rPr>
          <w:rFonts w:hint="eastAsia" w:ascii="黑体" w:eastAsia="黑体"/>
          <w:lang w:eastAsia="zh-CN"/>
        </w:rPr>
        <w:t>十一、政府采购支出情况说明</w:t>
      </w:r>
    </w:p>
    <w:p>
      <w:pPr>
        <w:pStyle w:val="4"/>
        <w:spacing w:before="178" w:line="360" w:lineRule="auto"/>
        <w:ind w:right="420" w:firstLine="640" w:firstLineChars="200"/>
        <w:jc w:val="both"/>
        <w:rPr>
          <w:rFonts w:hint="eastAsia"/>
          <w:lang w:eastAsia="zh-CN"/>
        </w:rPr>
      </w:pPr>
      <w:bookmarkStart w:id="19" w:name="2022_年度政府采购支出总额53.50万元，其中：政府采购货物支出53.50万"/>
      <w:bookmarkEnd w:id="19"/>
      <w:r>
        <w:rPr>
          <w:rFonts w:hint="eastAsia"/>
          <w:lang w:eastAsia="zh-CN"/>
        </w:rPr>
        <w:t>2023</w:t>
      </w:r>
      <w:r>
        <w:rPr>
          <w:spacing w:val="-4"/>
          <w:lang w:eastAsia="zh-CN"/>
        </w:rPr>
        <w:t>年度政府采购支出总额</w:t>
      </w:r>
      <w:r>
        <w:rPr>
          <w:rFonts w:hint="eastAsia"/>
          <w:spacing w:val="-4"/>
          <w:lang w:eastAsia="zh-CN"/>
        </w:rPr>
        <w:t>0.00</w:t>
      </w:r>
      <w:r>
        <w:rPr>
          <w:spacing w:val="-4"/>
          <w:lang w:eastAsia="zh-CN"/>
        </w:rPr>
        <w:t>万元，其中：政府</w:t>
      </w:r>
      <w:r>
        <w:rPr>
          <w:spacing w:val="-8"/>
          <w:lang w:eastAsia="zh-CN"/>
        </w:rPr>
        <w:t>采购货物支出</w:t>
      </w:r>
      <w:r>
        <w:rPr>
          <w:rFonts w:hint="eastAsia"/>
          <w:spacing w:val="-4"/>
          <w:lang w:eastAsia="zh-CN"/>
        </w:rPr>
        <w:t>0.00</w:t>
      </w:r>
      <w:r>
        <w:rPr>
          <w:spacing w:val="-9"/>
          <w:lang w:eastAsia="zh-CN"/>
        </w:rPr>
        <w:t>万元、政府采购工程支出</w:t>
      </w:r>
      <w:r>
        <w:rPr>
          <w:lang w:eastAsia="zh-CN"/>
        </w:rPr>
        <w:t>0.00</w:t>
      </w:r>
      <w:r>
        <w:rPr>
          <w:spacing w:val="-17"/>
          <w:lang w:eastAsia="zh-CN"/>
        </w:rPr>
        <w:t>万元、</w:t>
      </w:r>
      <w:r>
        <w:rPr>
          <w:spacing w:val="-10"/>
          <w:lang w:eastAsia="zh-CN"/>
        </w:rPr>
        <w:t>政府采购服务支出</w:t>
      </w:r>
      <w:r>
        <w:rPr>
          <w:lang w:eastAsia="zh-CN"/>
        </w:rPr>
        <w:t>0.00</w:t>
      </w:r>
      <w:r>
        <w:rPr>
          <w:spacing w:val="-11"/>
          <w:lang w:eastAsia="zh-CN"/>
        </w:rPr>
        <w:t>万元。授予中小企业合同金额</w:t>
      </w:r>
      <w:r>
        <w:rPr>
          <w:lang w:eastAsia="zh-CN"/>
        </w:rPr>
        <w:t>0.00</w:t>
      </w:r>
      <w:r>
        <w:rPr>
          <w:spacing w:val="-13"/>
          <w:lang w:eastAsia="zh-CN"/>
        </w:rPr>
        <w:t>万元，占政府采购支出总额的</w:t>
      </w:r>
      <w:r>
        <w:rPr>
          <w:lang w:eastAsia="zh-CN"/>
        </w:rPr>
        <w:t>0.00%</w:t>
      </w:r>
      <w:r>
        <w:rPr>
          <w:spacing w:val="-7"/>
          <w:lang w:eastAsia="zh-CN"/>
        </w:rPr>
        <w:t>,其中：授予小微企业合</w:t>
      </w:r>
      <w:r>
        <w:rPr>
          <w:spacing w:val="-26"/>
          <w:lang w:eastAsia="zh-CN"/>
        </w:rPr>
        <w:t>同金额</w:t>
      </w:r>
      <w:r>
        <w:rPr>
          <w:lang w:eastAsia="zh-CN"/>
        </w:rPr>
        <w:t>0.00</w:t>
      </w:r>
      <w:r>
        <w:rPr>
          <w:spacing w:val="-15"/>
          <w:lang w:eastAsia="zh-CN"/>
        </w:rPr>
        <w:t>万元，占政府采购支出总额的</w:t>
      </w:r>
      <w:r>
        <w:rPr>
          <w:lang w:eastAsia="zh-CN"/>
        </w:rPr>
        <w:t>0.00%。</w:t>
      </w:r>
    </w:p>
    <w:p>
      <w:pPr>
        <w:pStyle w:val="4"/>
        <w:ind w:left="760"/>
        <w:rPr>
          <w:rFonts w:hint="eastAsia" w:ascii="黑体" w:eastAsia="黑体"/>
          <w:lang w:eastAsia="zh-CN"/>
        </w:rPr>
      </w:pPr>
      <w:bookmarkStart w:id="20" w:name="十二、国有资产占用情况说明"/>
      <w:bookmarkEnd w:id="20"/>
      <w:r>
        <w:rPr>
          <w:rFonts w:hint="eastAsia" w:ascii="黑体" w:eastAsia="黑体"/>
          <w:lang w:eastAsia="zh-CN"/>
        </w:rPr>
        <w:t>十二、国有资产占用情况说明</w:t>
      </w:r>
    </w:p>
    <w:p>
      <w:pPr>
        <w:pStyle w:val="4"/>
        <w:spacing w:before="180" w:line="360" w:lineRule="auto"/>
        <w:ind w:right="403" w:firstLine="576" w:firstLineChars="200"/>
        <w:jc w:val="both"/>
        <w:rPr>
          <w:rFonts w:hint="eastAsia"/>
          <w:spacing w:val="-16"/>
          <w:lang w:eastAsia="zh-CN"/>
        </w:rPr>
      </w:pPr>
      <w:r>
        <w:rPr>
          <w:rFonts w:hint="eastAsia"/>
          <w:spacing w:val="-16"/>
          <w:lang w:eastAsia="zh-CN"/>
        </w:rPr>
        <w:t>2023</w:t>
      </w:r>
      <w:r>
        <w:rPr>
          <w:spacing w:val="-16"/>
          <w:lang w:eastAsia="zh-CN"/>
        </w:rPr>
        <w:t>年期末，我单位共有车辆</w:t>
      </w:r>
      <w:r>
        <w:rPr>
          <w:rFonts w:hint="eastAsia"/>
          <w:spacing w:val="-16"/>
          <w:lang w:eastAsia="zh-CN"/>
        </w:rPr>
        <w:t>0</w:t>
      </w:r>
      <w:r>
        <w:rPr>
          <w:spacing w:val="-16"/>
          <w:lang w:eastAsia="zh-CN"/>
        </w:rPr>
        <w:t>辆，其中：省级领导干部用车0辆、主要领导干部用车0辆、机要通信用车0辆、应急保障车0辆、执法执勤用车0辆、特种专业技术用车0辆、离退休干部用车0辆、其他用车</w:t>
      </w:r>
      <w:r>
        <w:rPr>
          <w:rFonts w:hint="eastAsia"/>
          <w:spacing w:val="-16"/>
          <w:lang w:eastAsia="zh-CN"/>
        </w:rPr>
        <w:t>0</w:t>
      </w:r>
      <w:r>
        <w:rPr>
          <w:spacing w:val="-16"/>
          <w:lang w:eastAsia="zh-CN"/>
        </w:rPr>
        <w:t>辆，其他用车主要是公务用车；单位价值50万元（含）以上通用设备0台（套），单位价值100万元（含）以上专用设备0台（套）。</w:t>
      </w:r>
    </w:p>
    <w:p>
      <w:pPr>
        <w:pStyle w:val="4"/>
        <w:spacing w:line="408" w:lineRule="exact"/>
        <w:ind w:left="760"/>
        <w:rPr>
          <w:rFonts w:hint="eastAsia" w:ascii="黑体" w:eastAsia="黑体"/>
          <w:lang w:eastAsia="zh-CN"/>
        </w:rPr>
      </w:pPr>
      <w:bookmarkStart w:id="21" w:name="十三、预算绩效情况说明"/>
      <w:bookmarkEnd w:id="21"/>
      <w:r>
        <w:rPr>
          <w:rFonts w:hint="eastAsia" w:ascii="黑体" w:eastAsia="黑体"/>
          <w:lang w:eastAsia="zh-CN"/>
        </w:rPr>
        <w:t>十三、决算绩效情况说明</w:t>
      </w:r>
    </w:p>
    <w:p>
      <w:pPr>
        <w:pStyle w:val="3"/>
        <w:spacing w:line="360" w:lineRule="auto"/>
        <w:rPr>
          <w:rFonts w:hint="eastAsia"/>
          <w:lang w:eastAsia="zh-CN"/>
        </w:rPr>
      </w:pPr>
      <w:bookmarkStart w:id="22" w:name="（一）绩效管理工作开展情况。"/>
      <w:bookmarkEnd w:id="22"/>
      <w:r>
        <w:rPr>
          <w:lang w:eastAsia="zh-CN"/>
        </w:rPr>
        <w:t>（一）绩效管理工作开展情况。</w:t>
      </w:r>
    </w:p>
    <w:p>
      <w:pPr>
        <w:widowControl/>
        <w:spacing w:line="360" w:lineRule="auto"/>
        <w:ind w:firstLine="576" w:firstLineChars="200"/>
        <w:rPr>
          <w:rFonts w:hint="eastAsia" w:ascii="仿宋" w:hAnsi="仿宋" w:eastAsia="仿宋" w:cs="仿宋"/>
          <w:spacing w:val="-16"/>
          <w:sz w:val="32"/>
          <w:szCs w:val="32"/>
          <w:lang w:eastAsia="zh-CN"/>
        </w:rPr>
      </w:pPr>
      <w:bookmarkStart w:id="23" w:name="（二）项目绩效自评结果。"/>
      <w:bookmarkEnd w:id="23"/>
      <w:r>
        <w:rPr>
          <w:rFonts w:hint="eastAsia" w:ascii="仿宋" w:hAnsi="仿宋" w:eastAsia="仿宋" w:cs="仿宋"/>
          <w:spacing w:val="-16"/>
          <w:sz w:val="32"/>
          <w:szCs w:val="32"/>
          <w:lang w:eastAsia="zh-CN"/>
        </w:rPr>
        <w:t xml:space="preserve">我单位2023年开展的各项项目均按相关规定及要求填写绩效 </w:t>
      </w:r>
    </w:p>
    <w:p>
      <w:pPr>
        <w:widowControl/>
        <w:spacing w:line="360" w:lineRule="auto"/>
        <w:rPr>
          <w:rFonts w:hint="eastAsia" w:ascii="仿宋" w:hAnsi="仿宋" w:eastAsia="仿宋" w:cs="仿宋"/>
          <w:spacing w:val="-16"/>
          <w:sz w:val="32"/>
          <w:szCs w:val="32"/>
          <w:lang w:eastAsia="zh-CN"/>
        </w:rPr>
      </w:pPr>
      <w:r>
        <w:rPr>
          <w:rFonts w:hint="eastAsia" w:ascii="仿宋" w:hAnsi="仿宋" w:eastAsia="仿宋" w:cs="仿宋"/>
          <w:spacing w:val="-16"/>
          <w:sz w:val="32"/>
          <w:szCs w:val="32"/>
          <w:lang w:eastAsia="zh-CN"/>
        </w:rPr>
        <w:t xml:space="preserve">目标，在项目开展过程中实时监控并在年中时期针对开展的所有 项目进行了绩效监控管理工作，在年底对所有开展的项目进行了 </w:t>
      </w:r>
    </w:p>
    <w:p>
      <w:pPr>
        <w:widowControl/>
        <w:spacing w:line="360" w:lineRule="auto"/>
        <w:rPr>
          <w:rFonts w:hint="eastAsia" w:ascii="仿宋" w:hAnsi="仿宋" w:eastAsia="仿宋" w:cs="仿宋"/>
          <w:spacing w:val="-16"/>
          <w:sz w:val="32"/>
          <w:szCs w:val="32"/>
          <w:lang w:eastAsia="zh-CN"/>
        </w:rPr>
      </w:pPr>
      <w:r>
        <w:rPr>
          <w:rFonts w:hint="eastAsia" w:ascii="仿宋" w:hAnsi="仿宋" w:eastAsia="仿宋" w:cs="仿宋"/>
          <w:spacing w:val="-16"/>
          <w:sz w:val="32"/>
          <w:szCs w:val="32"/>
          <w:lang w:eastAsia="zh-CN"/>
        </w:rPr>
        <w:t xml:space="preserve">绩效评价工作，在开展的相关工作中产生的相关问题积极进行汇 </w:t>
      </w:r>
    </w:p>
    <w:p>
      <w:pPr>
        <w:widowControl/>
        <w:spacing w:line="360" w:lineRule="auto"/>
        <w:rPr>
          <w:rFonts w:hint="eastAsia" w:ascii="仿宋" w:hAnsi="仿宋" w:eastAsia="仿宋" w:cs="仿宋"/>
          <w:spacing w:val="-16"/>
          <w:sz w:val="32"/>
          <w:szCs w:val="32"/>
          <w:lang w:eastAsia="zh-CN"/>
        </w:rPr>
      </w:pPr>
      <w:r>
        <w:rPr>
          <w:rFonts w:hint="eastAsia" w:ascii="仿宋" w:hAnsi="仿宋" w:eastAsia="仿宋" w:cs="仿宋"/>
          <w:spacing w:val="-16"/>
          <w:sz w:val="32"/>
          <w:szCs w:val="32"/>
          <w:lang w:eastAsia="zh-CN"/>
        </w:rPr>
        <w:t>总总结相关经验，为更好的开展后续工作做好铺垫工作。</w:t>
      </w:r>
    </w:p>
    <w:p>
      <w:pPr>
        <w:pStyle w:val="3"/>
        <w:numPr>
          <w:ilvl w:val="0"/>
          <w:numId w:val="1"/>
        </w:numPr>
        <w:spacing w:before="47" w:line="346" w:lineRule="auto"/>
        <w:rPr>
          <w:rFonts w:hint="eastAsia"/>
        </w:rPr>
      </w:pPr>
      <w:r>
        <w:t>项目绩效自评结果。</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通过科学、规范的方法，基于项目的决算执行情况、目标实现程度等，我单位2023年度1个项目支出绩效自评中，</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个项目自评等级为优，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 xml:space="preserve">个项目自评等级为良，0个项目自评等级为中，0个 项目自评等级为差。 </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从自评情况看，项目支出绩效管理的重视程度进一步提升， </w:t>
      </w:r>
    </w:p>
    <w:p>
      <w:pPr>
        <w:widowControl/>
        <w:spacing w:line="59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大部分项目有序开展，执行和完成情况较好，资金使用比较规范。2023年度部分决算项目单位自评汇总表详见“第五部分附 </w:t>
      </w:r>
    </w:p>
    <w:p>
      <w:pPr>
        <w:widowControl/>
        <w:spacing w:line="59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件”。</w:t>
      </w:r>
    </w:p>
    <w:p>
      <w:pPr>
        <w:pStyle w:val="3"/>
        <w:spacing w:before="45"/>
        <w:rPr>
          <w:rFonts w:hint="eastAsia"/>
          <w:lang w:eastAsia="zh-CN"/>
        </w:rPr>
      </w:pPr>
      <w:bookmarkStart w:id="24" w:name="（三）重点绩效评价结果。"/>
      <w:bookmarkEnd w:id="24"/>
      <w:r>
        <w:rPr>
          <w:lang w:eastAsia="zh-CN"/>
        </w:rPr>
        <w:t>（三）重点绩效评价结果。</w:t>
      </w:r>
    </w:p>
    <w:p>
      <w:pPr>
        <w:pStyle w:val="4"/>
        <w:spacing w:before="137"/>
        <w:ind w:left="760"/>
        <w:rPr>
          <w:rFonts w:hint="eastAsia"/>
          <w:lang w:eastAsia="zh-CN"/>
        </w:rPr>
      </w:pPr>
      <w:r>
        <w:rPr>
          <w:lang w:eastAsia="zh-CN"/>
        </w:rPr>
        <w:t>我单位</w:t>
      </w:r>
      <w:r>
        <w:rPr>
          <w:rFonts w:hint="eastAsia"/>
          <w:lang w:eastAsia="zh-CN"/>
        </w:rPr>
        <w:t>2023</w:t>
      </w:r>
      <w:r>
        <w:rPr>
          <w:lang w:eastAsia="zh-CN"/>
        </w:rPr>
        <w:t>年度未开展重点项目。</w:t>
      </w:r>
    </w:p>
    <w:p>
      <w:pPr>
        <w:rPr>
          <w:rFonts w:hint="eastAsia"/>
          <w:lang w:eastAsia="zh-CN"/>
        </w:rPr>
        <w:sectPr>
          <w:pgSz w:w="11910" w:h="16840"/>
          <w:pgMar w:top="1500" w:right="1380" w:bottom="280" w:left="1680" w:header="720" w:footer="720" w:gutter="0"/>
          <w:cols w:space="720" w:num="1"/>
        </w:sectPr>
      </w:pPr>
    </w:p>
    <w:p>
      <w:pPr>
        <w:pStyle w:val="4"/>
        <w:rPr>
          <w:rFonts w:hint="eastAsia"/>
          <w:sz w:val="20"/>
          <w:lang w:eastAsia="zh-CN"/>
        </w:rPr>
      </w:pPr>
    </w:p>
    <w:p>
      <w:pPr>
        <w:pStyle w:val="4"/>
        <w:spacing w:before="2"/>
        <w:rPr>
          <w:rFonts w:hint="eastAsia"/>
          <w:sz w:val="15"/>
          <w:lang w:eastAsia="zh-CN"/>
        </w:rPr>
      </w:pPr>
    </w:p>
    <w:p>
      <w:pPr>
        <w:pStyle w:val="2"/>
        <w:tabs>
          <w:tab w:val="left" w:pos="2399"/>
        </w:tabs>
        <w:spacing w:before="33"/>
        <w:ind w:right="242"/>
        <w:jc w:val="center"/>
        <w:rPr>
          <w:rFonts w:hint="eastAsia"/>
          <w:lang w:eastAsia="zh-CN"/>
        </w:rPr>
      </w:pPr>
      <w:bookmarkStart w:id="25" w:name="第四部分__名词解释"/>
      <w:bookmarkEnd w:id="25"/>
    </w:p>
    <w:p>
      <w:pPr>
        <w:pStyle w:val="2"/>
        <w:tabs>
          <w:tab w:val="left" w:pos="2399"/>
        </w:tabs>
        <w:spacing w:before="33"/>
        <w:ind w:right="242"/>
        <w:jc w:val="center"/>
        <w:rPr>
          <w:rFonts w:hint="eastAsia"/>
          <w:lang w:eastAsia="zh-CN"/>
        </w:rPr>
      </w:pPr>
    </w:p>
    <w:p>
      <w:pPr>
        <w:pStyle w:val="2"/>
        <w:tabs>
          <w:tab w:val="left" w:pos="2399"/>
        </w:tabs>
        <w:spacing w:before="33"/>
        <w:ind w:right="242"/>
        <w:jc w:val="center"/>
        <w:rPr>
          <w:rFonts w:hint="eastAsia"/>
          <w:lang w:eastAsia="zh-CN"/>
        </w:rPr>
      </w:pPr>
    </w:p>
    <w:p>
      <w:pPr>
        <w:pStyle w:val="2"/>
        <w:tabs>
          <w:tab w:val="left" w:pos="2399"/>
        </w:tabs>
        <w:spacing w:before="33"/>
        <w:ind w:right="242"/>
        <w:jc w:val="center"/>
        <w:rPr>
          <w:rFonts w:hint="eastAsia"/>
          <w:lang w:eastAsia="zh-CN"/>
        </w:rPr>
      </w:pPr>
    </w:p>
    <w:p>
      <w:pPr>
        <w:pStyle w:val="2"/>
        <w:tabs>
          <w:tab w:val="left" w:pos="2399"/>
        </w:tabs>
        <w:spacing w:before="33"/>
        <w:ind w:right="242"/>
        <w:jc w:val="center"/>
        <w:rPr>
          <w:rFonts w:hint="eastAsia"/>
          <w:lang w:eastAsia="zh-CN"/>
        </w:rPr>
      </w:pPr>
    </w:p>
    <w:p>
      <w:pPr>
        <w:pStyle w:val="2"/>
        <w:tabs>
          <w:tab w:val="left" w:pos="2399"/>
        </w:tabs>
        <w:spacing w:before="33"/>
        <w:ind w:right="242"/>
        <w:jc w:val="center"/>
        <w:rPr>
          <w:rFonts w:hint="eastAsia"/>
          <w:lang w:eastAsia="zh-CN"/>
        </w:rPr>
      </w:pPr>
    </w:p>
    <w:p>
      <w:pPr>
        <w:pStyle w:val="2"/>
        <w:tabs>
          <w:tab w:val="left" w:pos="2399"/>
        </w:tabs>
        <w:spacing w:before="33"/>
        <w:ind w:right="242"/>
        <w:jc w:val="center"/>
        <w:rPr>
          <w:rFonts w:hint="eastAsia"/>
          <w:lang w:eastAsia="zh-CN"/>
        </w:rPr>
      </w:pPr>
    </w:p>
    <w:p>
      <w:pPr>
        <w:pStyle w:val="2"/>
        <w:tabs>
          <w:tab w:val="left" w:pos="2399"/>
        </w:tabs>
        <w:spacing w:before="33"/>
        <w:ind w:right="242"/>
        <w:jc w:val="center"/>
        <w:rPr>
          <w:rFonts w:hint="eastAsia"/>
          <w:lang w:eastAsia="zh-CN"/>
        </w:rPr>
      </w:pPr>
      <w:r>
        <w:rPr>
          <w:lang w:eastAsia="zh-CN"/>
        </w:rPr>
        <w:t>第四部分</w:t>
      </w:r>
      <w:r>
        <w:rPr>
          <w:lang w:eastAsia="zh-CN"/>
        </w:rPr>
        <w:tab/>
      </w:r>
      <w:r>
        <w:rPr>
          <w:lang w:eastAsia="zh-CN"/>
        </w:rPr>
        <w:t>名词解释</w:t>
      </w:r>
    </w:p>
    <w:p>
      <w:pPr>
        <w:jc w:val="center"/>
        <w:rPr>
          <w:rFonts w:hint="eastAsia"/>
          <w:lang w:eastAsia="zh-CN"/>
        </w:rPr>
        <w:sectPr>
          <w:pgSz w:w="11910" w:h="16840"/>
          <w:pgMar w:top="1580" w:right="1380" w:bottom="280" w:left="1680" w:header="720" w:footer="720" w:gutter="0"/>
          <w:cols w:space="720" w:num="1"/>
        </w:sectPr>
      </w:pPr>
    </w:p>
    <w:p>
      <w:pPr>
        <w:pStyle w:val="4"/>
        <w:spacing w:before="35" w:line="343" w:lineRule="auto"/>
        <w:ind w:left="120" w:right="373" w:firstLine="640"/>
        <w:rPr>
          <w:rFonts w:hint="eastAsia"/>
          <w:lang w:eastAsia="zh-CN"/>
        </w:rPr>
      </w:pPr>
      <w:r>
        <w:rPr>
          <w:lang w:eastAsia="zh-CN"/>
        </w:rPr>
        <w:t>一、财政拨款收入：单位从同级政府财政部门取得的财政决算资金。</w:t>
      </w:r>
    </w:p>
    <w:p>
      <w:pPr>
        <w:pStyle w:val="4"/>
        <w:spacing w:before="6" w:line="345" w:lineRule="auto"/>
        <w:ind w:left="120" w:right="375" w:firstLine="640"/>
        <w:rPr>
          <w:rFonts w:hint="eastAsia"/>
          <w:lang w:eastAsia="zh-CN"/>
        </w:rPr>
      </w:pPr>
      <w:r>
        <w:rPr>
          <w:lang w:eastAsia="zh-CN"/>
        </w:rPr>
        <w:t>二、事业收入：事业单位开展专业业务活动及其辅助活动取得的收入。</w:t>
      </w:r>
    </w:p>
    <w:p>
      <w:pPr>
        <w:pStyle w:val="4"/>
        <w:spacing w:line="345" w:lineRule="auto"/>
        <w:ind w:left="120" w:right="373" w:firstLine="640"/>
        <w:rPr>
          <w:rFonts w:hint="eastAsia"/>
          <w:lang w:eastAsia="zh-CN"/>
        </w:rPr>
      </w:pPr>
      <w:r>
        <w:rPr>
          <w:lang w:eastAsia="zh-CN"/>
        </w:rPr>
        <w:t>三、上级补助收入：事业单位从主管部门和上级单位取得的非财政补助收入。</w:t>
      </w:r>
    </w:p>
    <w:p>
      <w:pPr>
        <w:pStyle w:val="4"/>
        <w:spacing w:line="343" w:lineRule="auto"/>
        <w:ind w:left="120" w:right="375" w:firstLine="640"/>
        <w:rPr>
          <w:rFonts w:hint="eastAsia"/>
          <w:lang w:eastAsia="zh-CN"/>
        </w:rPr>
      </w:pPr>
      <w:r>
        <w:rPr>
          <w:lang w:eastAsia="zh-CN"/>
        </w:rPr>
        <w:t>四、附属单位上缴收入：事业单位取得附属独立核算单位根据有关规定上缴的收入。</w:t>
      </w:r>
    </w:p>
    <w:p>
      <w:pPr>
        <w:pStyle w:val="4"/>
        <w:spacing w:before="6" w:line="345" w:lineRule="auto"/>
        <w:ind w:left="120" w:right="375" w:firstLine="640"/>
        <w:rPr>
          <w:rFonts w:hint="eastAsia"/>
          <w:lang w:eastAsia="zh-CN"/>
        </w:rPr>
      </w:pPr>
      <w:r>
        <w:rPr>
          <w:lang w:eastAsia="zh-CN"/>
        </w:rPr>
        <w:t>五、经营收入：事业单位在专业业务活动及其辅助活动之外开展非独立核算经营活动取得的收入。</w:t>
      </w:r>
    </w:p>
    <w:p>
      <w:pPr>
        <w:pStyle w:val="4"/>
        <w:spacing w:line="345" w:lineRule="auto"/>
        <w:ind w:left="120" w:right="259" w:firstLine="640"/>
        <w:rPr>
          <w:rFonts w:hint="eastAsia"/>
          <w:lang w:eastAsia="zh-CN"/>
        </w:rPr>
      </w:pPr>
      <w:r>
        <w:rPr>
          <w:spacing w:val="-18"/>
          <w:lang w:eastAsia="zh-CN"/>
        </w:rPr>
        <w:t>六、其他收入：单位取得的除“财政拨款收入”、“事业</w:t>
      </w:r>
      <w:r>
        <w:rPr>
          <w:spacing w:val="-47"/>
          <w:w w:val="95"/>
          <w:lang w:eastAsia="zh-CN"/>
        </w:rPr>
        <w:t>收入”、“上级补助收入”、“附属单位上缴收入”</w:t>
      </w:r>
      <w:r>
        <w:rPr>
          <w:spacing w:val="-32"/>
          <w:w w:val="95"/>
          <w:lang w:eastAsia="zh-CN"/>
        </w:rPr>
        <w:t>、“经营收入”</w:t>
      </w:r>
      <w:r>
        <w:rPr>
          <w:spacing w:val="-32"/>
          <w:lang w:eastAsia="zh-CN"/>
        </w:rPr>
        <w:t>以外的各项收入。</w:t>
      </w:r>
    </w:p>
    <w:p>
      <w:pPr>
        <w:pStyle w:val="4"/>
        <w:spacing w:line="345" w:lineRule="auto"/>
        <w:ind w:left="120" w:right="373" w:firstLine="640"/>
        <w:rPr>
          <w:rFonts w:hint="eastAsia"/>
          <w:lang w:eastAsia="zh-CN"/>
        </w:rPr>
      </w:pPr>
      <w:r>
        <w:rPr>
          <w:lang w:eastAsia="zh-CN"/>
        </w:rPr>
        <w:t>七、使用非财政拨款结余：指事业单位使用以前年度积累的非财政拨款结余弥补当年收支差额的金额。</w:t>
      </w:r>
    </w:p>
    <w:p>
      <w:pPr>
        <w:pStyle w:val="4"/>
        <w:spacing w:line="345" w:lineRule="auto"/>
        <w:ind w:left="120" w:right="420" w:firstLine="640"/>
        <w:jc w:val="both"/>
        <w:rPr>
          <w:rFonts w:hint="eastAsia"/>
          <w:lang w:eastAsia="zh-CN"/>
        </w:rPr>
      </w:pPr>
      <w:r>
        <w:rPr>
          <w:spacing w:val="-3"/>
          <w:w w:val="95"/>
          <w:lang w:eastAsia="zh-CN"/>
        </w:rPr>
        <w:t>八、年初结转和结余：指单位以前年度尚未完成、结转</w:t>
      </w:r>
      <w:r>
        <w:rPr>
          <w:spacing w:val="-4"/>
          <w:lang w:eastAsia="zh-CN"/>
        </w:rPr>
        <w:t>到本年仍按原规定用途继续使用的资金，或项目已完成等产生的结余资金。</w:t>
      </w:r>
    </w:p>
    <w:p>
      <w:pPr>
        <w:pStyle w:val="4"/>
        <w:spacing w:line="343" w:lineRule="auto"/>
        <w:ind w:left="120" w:right="375" w:firstLine="640"/>
        <w:rPr>
          <w:rFonts w:hint="eastAsia"/>
          <w:lang w:eastAsia="zh-CN"/>
        </w:rPr>
      </w:pPr>
      <w:r>
        <w:rPr>
          <w:lang w:eastAsia="zh-CN"/>
        </w:rPr>
        <w:t>九、基本支出：为保障机构正常运转、完成日常工作任务而发生的人员支出和公用支出。</w:t>
      </w:r>
    </w:p>
    <w:p>
      <w:pPr>
        <w:pStyle w:val="4"/>
        <w:spacing w:before="3" w:line="345" w:lineRule="auto"/>
        <w:ind w:left="120" w:right="375" w:firstLine="640"/>
        <w:rPr>
          <w:rFonts w:hint="eastAsia"/>
          <w:lang w:eastAsia="zh-CN"/>
        </w:rPr>
      </w:pPr>
      <w:r>
        <w:rPr>
          <w:lang w:eastAsia="zh-CN"/>
        </w:rPr>
        <w:t>十、项目支出：基本支出之外为完成特定行政任务和事业发展目标所发生的支出。</w:t>
      </w:r>
    </w:p>
    <w:p>
      <w:pPr>
        <w:spacing w:line="345" w:lineRule="auto"/>
        <w:rPr>
          <w:rFonts w:hint="eastAsia"/>
          <w:lang w:eastAsia="zh-CN"/>
        </w:rPr>
        <w:sectPr>
          <w:pgSz w:w="11910" w:h="16840"/>
          <w:pgMar w:top="1540" w:right="1380" w:bottom="280" w:left="1680" w:header="720" w:footer="720" w:gutter="0"/>
          <w:cols w:space="720" w:num="1"/>
        </w:sectPr>
      </w:pPr>
    </w:p>
    <w:p>
      <w:pPr>
        <w:pStyle w:val="4"/>
        <w:spacing w:before="35" w:line="343" w:lineRule="auto"/>
        <w:ind w:left="120" w:right="375" w:firstLine="640"/>
        <w:rPr>
          <w:rFonts w:hint="eastAsia"/>
          <w:lang w:eastAsia="zh-CN"/>
        </w:rPr>
      </w:pPr>
      <w:r>
        <w:rPr>
          <w:lang w:eastAsia="zh-CN"/>
        </w:rPr>
        <w:t>十一、经营支出：指事业单位在专业业务活动及其辅助活动之外开展非独立核算经营活动发生的支出。</w:t>
      </w:r>
    </w:p>
    <w:p>
      <w:pPr>
        <w:pStyle w:val="4"/>
        <w:spacing w:before="6" w:line="345" w:lineRule="auto"/>
        <w:ind w:left="120" w:right="420" w:firstLine="640"/>
        <w:jc w:val="both"/>
        <w:rPr>
          <w:rFonts w:hint="eastAsia"/>
          <w:lang w:eastAsia="zh-CN"/>
        </w:rPr>
      </w:pPr>
      <w:r>
        <w:rPr>
          <w:spacing w:val="-4"/>
          <w:lang w:eastAsia="zh-CN"/>
        </w:rPr>
        <w:t>十二、工资福利支出：单位支付给在职职工和编制外长</w:t>
      </w:r>
      <w:r>
        <w:rPr>
          <w:spacing w:val="-2"/>
          <w:lang w:eastAsia="zh-CN"/>
        </w:rPr>
        <w:t>期聘用人员的各类劳动报酬，以及为上述人员缴纳的各项社会保险费等。</w:t>
      </w:r>
    </w:p>
    <w:p>
      <w:pPr>
        <w:pStyle w:val="4"/>
        <w:spacing w:line="345" w:lineRule="auto"/>
        <w:ind w:left="760" w:right="405"/>
        <w:rPr>
          <w:rFonts w:hint="eastAsia"/>
          <w:lang w:eastAsia="zh-CN"/>
        </w:rPr>
      </w:pPr>
      <w:r>
        <w:rPr>
          <w:lang w:eastAsia="zh-CN"/>
        </w:rPr>
        <w:t>十三、商品和服务支出：单位购买商品和服务的支出。十四、对个人和家庭的补助支出：单位用于对个人和家</w:t>
      </w:r>
    </w:p>
    <w:p>
      <w:pPr>
        <w:pStyle w:val="4"/>
        <w:spacing w:line="408" w:lineRule="exact"/>
        <w:ind w:left="120"/>
        <w:rPr>
          <w:rFonts w:hint="eastAsia"/>
          <w:lang w:eastAsia="zh-CN"/>
        </w:rPr>
      </w:pPr>
      <w:r>
        <w:rPr>
          <w:lang w:eastAsia="zh-CN"/>
        </w:rPr>
        <w:t>庭的补助支出。</w:t>
      </w:r>
    </w:p>
    <w:p>
      <w:pPr>
        <w:pStyle w:val="4"/>
        <w:spacing w:before="181" w:line="345" w:lineRule="auto"/>
        <w:ind w:left="120" w:right="101" w:firstLine="640"/>
        <w:rPr>
          <w:rFonts w:hint="eastAsia"/>
          <w:lang w:eastAsia="zh-CN"/>
        </w:rPr>
      </w:pPr>
      <w:r>
        <w:rPr>
          <w:spacing w:val="-3"/>
          <w:lang w:eastAsia="zh-CN"/>
        </w:rPr>
        <w:t>十五、结余分配：指事业单位按照会计制度规定缴纳的</w:t>
      </w:r>
      <w:r>
        <w:rPr>
          <w:spacing w:val="-5"/>
          <w:w w:val="95"/>
          <w:lang w:eastAsia="zh-CN"/>
        </w:rPr>
        <w:t>所得税、提取的专用结余以及转入非财政拨款结余的金额等。</w:t>
      </w:r>
    </w:p>
    <w:p>
      <w:pPr>
        <w:pStyle w:val="4"/>
        <w:spacing w:line="345" w:lineRule="auto"/>
        <w:ind w:left="120" w:right="420" w:firstLine="640"/>
        <w:jc w:val="both"/>
        <w:rPr>
          <w:rFonts w:hint="eastAsia"/>
          <w:lang w:eastAsia="zh-CN"/>
        </w:rPr>
      </w:pPr>
      <w:r>
        <w:rPr>
          <w:spacing w:val="-4"/>
          <w:lang w:eastAsia="zh-CN"/>
        </w:rPr>
        <w:t>十六、年末结转和结余：指单位按有关规定结转到下年</w:t>
      </w:r>
      <w:r>
        <w:rPr>
          <w:spacing w:val="-2"/>
          <w:lang w:eastAsia="zh-CN"/>
        </w:rPr>
        <w:t>或以后年度继续使用的资金，或项目已完成等产生的结余资金。</w:t>
      </w:r>
    </w:p>
    <w:p>
      <w:pPr>
        <w:pStyle w:val="4"/>
        <w:spacing w:line="345" w:lineRule="auto"/>
        <w:ind w:left="120" w:right="98" w:firstLine="640"/>
        <w:rPr>
          <w:rFonts w:hint="eastAsia"/>
          <w:lang w:eastAsia="zh-CN"/>
        </w:rPr>
      </w:pPr>
      <w:r>
        <w:rPr>
          <w:spacing w:val="-14"/>
          <w:lang w:eastAsia="zh-CN"/>
        </w:rPr>
        <w:t>十七、“三公”经费：纳入同级财政预决算管理“三公”</w:t>
      </w:r>
      <w:r>
        <w:rPr>
          <w:spacing w:val="-6"/>
          <w:lang w:eastAsia="zh-CN"/>
        </w:rPr>
        <w:t>经费，指单位使用财政拨款安排的因公出国</w:t>
      </w:r>
      <w:r>
        <w:rPr>
          <w:lang w:eastAsia="zh-CN"/>
        </w:rPr>
        <w:t>（境</w:t>
      </w:r>
      <w:r>
        <w:rPr>
          <w:spacing w:val="-3"/>
          <w:lang w:eastAsia="zh-CN"/>
        </w:rPr>
        <w:t>）</w:t>
      </w:r>
      <w:r>
        <w:rPr>
          <w:spacing w:val="-2"/>
          <w:lang w:eastAsia="zh-CN"/>
        </w:rPr>
        <w:t>费、公务</w:t>
      </w:r>
      <w:r>
        <w:rPr>
          <w:spacing w:val="-3"/>
          <w:lang w:eastAsia="zh-CN"/>
        </w:rPr>
        <w:t>用车购置及运行费和公务接待费。其中，因公出国</w:t>
      </w:r>
      <w:r>
        <w:rPr>
          <w:lang w:eastAsia="zh-CN"/>
        </w:rPr>
        <w:t>（境</w:t>
      </w:r>
      <w:r>
        <w:rPr>
          <w:spacing w:val="-3"/>
          <w:lang w:eastAsia="zh-CN"/>
        </w:rPr>
        <w:t>）</w:t>
      </w:r>
      <w:r>
        <w:rPr>
          <w:lang w:eastAsia="zh-CN"/>
        </w:rPr>
        <w:t>费反映单位公务出国（境）的国际旅费、国外城市间交通费、</w:t>
      </w:r>
      <w:r>
        <w:rPr>
          <w:spacing w:val="-3"/>
          <w:lang w:eastAsia="zh-CN"/>
        </w:rPr>
        <w:t>住宿费、伙食费、培训费、公杂费等支出；公务用车购置及</w:t>
      </w:r>
      <w:r>
        <w:rPr>
          <w:spacing w:val="-4"/>
          <w:lang w:eastAsia="zh-CN"/>
        </w:rPr>
        <w:t>运行费反映反映单位公务用车车辆购置支出</w:t>
      </w:r>
      <w:r>
        <w:rPr>
          <w:lang w:eastAsia="zh-CN"/>
        </w:rPr>
        <w:t>（含车辆购置税）</w:t>
      </w:r>
      <w:r>
        <w:rPr>
          <w:spacing w:val="-3"/>
          <w:lang w:eastAsia="zh-CN"/>
        </w:rPr>
        <w:t>及租用费、燃料费、维修费、过路过桥费、保险费、安全奖</w:t>
      </w:r>
      <w:r>
        <w:rPr>
          <w:spacing w:val="-5"/>
          <w:lang w:eastAsia="zh-CN"/>
        </w:rPr>
        <w:t>励费用等支出；公务接待费反映单位按规定开支的各类公务接待（含外宾接待）支出。</w:t>
      </w:r>
    </w:p>
    <w:p>
      <w:pPr>
        <w:spacing w:line="345" w:lineRule="auto"/>
        <w:rPr>
          <w:rFonts w:hint="eastAsia"/>
          <w:lang w:eastAsia="zh-CN"/>
        </w:rPr>
        <w:sectPr>
          <w:pgSz w:w="11910" w:h="16840"/>
          <w:pgMar w:top="1540" w:right="1380" w:bottom="280" w:left="1680" w:header="720" w:footer="720" w:gutter="0"/>
          <w:cols w:space="720" w:num="1"/>
        </w:sectPr>
      </w:pPr>
    </w:p>
    <w:p>
      <w:pPr>
        <w:pStyle w:val="4"/>
        <w:spacing w:before="35" w:line="345" w:lineRule="auto"/>
        <w:ind w:left="120" w:right="405" w:firstLine="640"/>
        <w:jc w:val="both"/>
        <w:rPr>
          <w:rFonts w:hint="eastAsia"/>
          <w:lang w:eastAsia="zh-CN"/>
        </w:rPr>
        <w:sectPr>
          <w:pgSz w:w="11910" w:h="16840"/>
          <w:pgMar w:top="1540" w:right="1380" w:bottom="280" w:left="1680" w:header="720" w:footer="720" w:gutter="0"/>
          <w:cols w:space="720" w:num="1"/>
        </w:sectPr>
      </w:pPr>
      <w:r>
        <w:rPr>
          <w:lang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jc w:val="center"/>
        <w:rPr>
          <w:rFonts w:hint="eastAsia" w:ascii="黑体" w:eastAsia="黑体" w:cs="黑体"/>
          <w:color w:val="000000"/>
          <w:sz w:val="44"/>
          <w:szCs w:val="44"/>
          <w:lang w:eastAsia="zh-CN" w:bidi="ar"/>
        </w:rPr>
      </w:pPr>
    </w:p>
    <w:p>
      <w:pPr>
        <w:widowControl/>
        <w:jc w:val="center"/>
        <w:rPr>
          <w:rFonts w:hint="eastAsia" w:ascii="黑体" w:eastAsia="黑体" w:cs="黑体"/>
          <w:color w:val="000000"/>
          <w:sz w:val="44"/>
          <w:szCs w:val="44"/>
          <w:lang w:eastAsia="zh-CN" w:bidi="ar"/>
        </w:rPr>
      </w:pPr>
    </w:p>
    <w:p>
      <w:pPr>
        <w:widowControl/>
        <w:jc w:val="center"/>
        <w:rPr>
          <w:rFonts w:hint="eastAsia" w:ascii="黑体" w:eastAsia="黑体" w:cs="黑体"/>
          <w:color w:val="000000"/>
          <w:sz w:val="44"/>
          <w:szCs w:val="44"/>
          <w:lang w:eastAsia="zh-CN" w:bidi="ar"/>
        </w:rPr>
      </w:pPr>
    </w:p>
    <w:p>
      <w:pPr>
        <w:widowControl/>
        <w:jc w:val="center"/>
        <w:rPr>
          <w:rFonts w:hint="eastAsia" w:ascii="黑体" w:eastAsia="黑体" w:cs="黑体"/>
          <w:color w:val="000000"/>
          <w:sz w:val="44"/>
          <w:szCs w:val="44"/>
          <w:lang w:eastAsia="zh-CN" w:bidi="ar"/>
        </w:rPr>
      </w:pPr>
    </w:p>
    <w:p>
      <w:pPr>
        <w:widowControl/>
        <w:jc w:val="center"/>
        <w:rPr>
          <w:rFonts w:hint="eastAsia" w:ascii="黑体" w:eastAsia="黑体" w:cs="黑体"/>
          <w:color w:val="000000"/>
          <w:sz w:val="44"/>
          <w:szCs w:val="44"/>
          <w:lang w:eastAsia="zh-CN" w:bidi="ar"/>
        </w:rPr>
      </w:pPr>
    </w:p>
    <w:p>
      <w:pPr>
        <w:widowControl/>
        <w:jc w:val="center"/>
        <w:rPr>
          <w:rFonts w:hint="eastAsia" w:ascii="黑体" w:eastAsia="黑体" w:cs="黑体"/>
          <w:color w:val="000000"/>
          <w:sz w:val="44"/>
          <w:szCs w:val="44"/>
          <w:lang w:eastAsia="zh-CN" w:bidi="ar"/>
        </w:rPr>
      </w:pPr>
    </w:p>
    <w:p>
      <w:pPr>
        <w:widowControl/>
        <w:jc w:val="center"/>
        <w:rPr>
          <w:rFonts w:hint="eastAsia" w:ascii="黑体" w:eastAsia="黑体" w:cs="黑体"/>
          <w:color w:val="000000"/>
          <w:sz w:val="44"/>
          <w:szCs w:val="44"/>
          <w:lang w:eastAsia="zh-CN" w:bidi="ar"/>
        </w:rPr>
      </w:pPr>
    </w:p>
    <w:p>
      <w:pPr>
        <w:widowControl/>
        <w:jc w:val="center"/>
        <w:rPr>
          <w:rFonts w:hint="eastAsia" w:ascii="黑体" w:eastAsia="黑体" w:cs="黑体"/>
          <w:color w:val="000000"/>
          <w:sz w:val="44"/>
          <w:szCs w:val="44"/>
          <w:lang w:eastAsia="zh-CN" w:bidi="ar"/>
        </w:rPr>
      </w:pPr>
    </w:p>
    <w:p>
      <w:pPr>
        <w:widowControl/>
        <w:jc w:val="center"/>
        <w:rPr>
          <w:rFonts w:hint="eastAsia" w:ascii="黑体" w:eastAsia="黑体" w:cs="黑体"/>
          <w:color w:val="000000"/>
          <w:sz w:val="44"/>
          <w:szCs w:val="44"/>
          <w:lang w:eastAsia="zh-CN" w:bidi="ar"/>
        </w:rPr>
      </w:pPr>
    </w:p>
    <w:p>
      <w:pPr>
        <w:widowControl/>
        <w:jc w:val="center"/>
        <w:rPr>
          <w:rFonts w:hint="eastAsia" w:ascii="黑体" w:eastAsia="黑体" w:cs="黑体"/>
          <w:color w:val="000000"/>
          <w:sz w:val="44"/>
          <w:szCs w:val="44"/>
          <w:lang w:eastAsia="zh-CN" w:bidi="ar"/>
        </w:rPr>
      </w:pPr>
    </w:p>
    <w:p>
      <w:pPr>
        <w:widowControl/>
        <w:jc w:val="center"/>
        <w:rPr>
          <w:rFonts w:hint="eastAsia"/>
        </w:rPr>
      </w:pPr>
      <w:r>
        <w:rPr>
          <w:rFonts w:ascii="黑体" w:eastAsia="黑体" w:cs="黑体"/>
          <w:color w:val="000000"/>
          <w:sz w:val="44"/>
          <w:szCs w:val="44"/>
          <w:lang w:eastAsia="zh-CN" w:bidi="ar"/>
        </w:rPr>
        <w:t>第五部分 附 件</w:t>
      </w:r>
    </w:p>
    <w:p>
      <w:pPr>
        <w:pStyle w:val="4"/>
        <w:spacing w:before="35" w:line="345" w:lineRule="auto"/>
        <w:ind w:left="120" w:right="405" w:firstLine="640"/>
        <w:jc w:val="both"/>
        <w:rPr>
          <w:rFonts w:hint="eastAsia"/>
        </w:rPr>
        <w:sectPr>
          <w:pgSz w:w="11910" w:h="16840"/>
          <w:pgMar w:top="1540" w:right="1380" w:bottom="280" w:left="1680" w:header="720" w:footer="720" w:gutter="0"/>
          <w:cols w:space="720" w:num="1"/>
        </w:sectPr>
      </w:pPr>
    </w:p>
    <w:tbl>
      <w:tblPr>
        <w:tblStyle w:val="8"/>
        <w:tblW w:w="14209" w:type="dxa"/>
        <w:jc w:val="center"/>
        <w:tblLayout w:type="autofit"/>
        <w:tblCellMar>
          <w:top w:w="0" w:type="dxa"/>
          <w:left w:w="108" w:type="dxa"/>
          <w:bottom w:w="0" w:type="dxa"/>
          <w:right w:w="108" w:type="dxa"/>
        </w:tblCellMar>
      </w:tblPr>
      <w:tblGrid>
        <w:gridCol w:w="468"/>
        <w:gridCol w:w="3603"/>
        <w:gridCol w:w="756"/>
        <w:gridCol w:w="873"/>
        <w:gridCol w:w="1110"/>
        <w:gridCol w:w="1110"/>
        <w:gridCol w:w="1110"/>
        <w:gridCol w:w="1110"/>
        <w:gridCol w:w="1110"/>
        <w:gridCol w:w="1116"/>
        <w:gridCol w:w="972"/>
        <w:gridCol w:w="873"/>
      </w:tblGrid>
      <w:tr>
        <w:tblPrEx>
          <w:tblCellMar>
            <w:top w:w="0" w:type="dxa"/>
            <w:left w:w="108" w:type="dxa"/>
            <w:bottom w:w="0" w:type="dxa"/>
            <w:right w:w="108" w:type="dxa"/>
          </w:tblCellMar>
        </w:tblPrEx>
        <w:trPr>
          <w:trHeight w:val="648" w:hRule="atLeast"/>
          <w:jc w:val="center"/>
        </w:trPr>
        <w:tc>
          <w:tcPr>
            <w:tcW w:w="14211" w:type="dxa"/>
            <w:gridSpan w:val="12"/>
            <w:tcBorders>
              <w:top w:val="nil"/>
              <w:left w:val="nil"/>
              <w:bottom w:val="nil"/>
              <w:right w:val="nil"/>
            </w:tcBorders>
            <w:shd w:val="clear" w:color="auto" w:fill="auto"/>
            <w:noWrap/>
            <w:vAlign w:val="center"/>
          </w:tcPr>
          <w:p>
            <w:pPr>
              <w:widowControl/>
              <w:jc w:val="center"/>
              <w:textAlignment w:val="center"/>
              <w:rPr>
                <w:rFonts w:hint="eastAsia" w:ascii="等线" w:hAnsi="等线" w:eastAsia="等线" w:cs="等线"/>
                <w:b/>
                <w:bCs/>
                <w:color w:val="000000"/>
                <w:sz w:val="52"/>
                <w:szCs w:val="52"/>
                <w:lang w:eastAsia="zh-CN"/>
              </w:rPr>
            </w:pPr>
            <w:r>
              <w:rPr>
                <w:rFonts w:hint="eastAsia" w:ascii="等线" w:hAnsi="等线" w:eastAsia="等线" w:cs="等线"/>
                <w:b/>
                <w:bCs/>
                <w:color w:val="000000"/>
                <w:sz w:val="52"/>
                <w:szCs w:val="52"/>
                <w:lang w:eastAsia="zh-CN" w:bidi="ar"/>
              </w:rPr>
              <w:t>项目支出绩效自评汇总表</w:t>
            </w:r>
          </w:p>
        </w:tc>
      </w:tr>
      <w:tr>
        <w:tblPrEx>
          <w:tblCellMar>
            <w:top w:w="0" w:type="dxa"/>
            <w:left w:w="108" w:type="dxa"/>
            <w:bottom w:w="0" w:type="dxa"/>
            <w:right w:w="108" w:type="dxa"/>
          </w:tblCellMar>
        </w:tblPrEx>
        <w:trPr>
          <w:trHeight w:val="828"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序号</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项目名称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全年决算数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全年执行数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决算执行率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资金管理情况得分率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成本指标得分率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产出指标得分率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效益指标得分率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满意度指标得分率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自评得分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是否有较大偏差</w:t>
            </w:r>
          </w:p>
        </w:tc>
      </w:tr>
      <w:tr>
        <w:tblPrEx>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rPr>
            </w:pPr>
            <w:r>
              <w:rPr>
                <w:rFonts w:hint="eastAsia" w:ascii="等线" w:hAnsi="等线" w:eastAsia="等线" w:cs="等线"/>
                <w:color w:val="000000"/>
                <w:lang w:eastAsia="zh-CN" w:bidi="ar"/>
              </w:rPr>
              <w:t>2023年</w:t>
            </w:r>
            <w:r>
              <w:rPr>
                <w:rFonts w:hint="eastAsia" w:ascii="等线" w:hAnsi="等线" w:eastAsia="等线" w:cs="等线"/>
                <w:color w:val="000000"/>
                <w:lang w:val="en-US" w:eastAsia="zh-CN" w:bidi="ar"/>
              </w:rPr>
              <w:t>办公</w:t>
            </w:r>
            <w:r>
              <w:rPr>
                <w:rFonts w:hint="eastAsia" w:ascii="等线" w:hAnsi="等线" w:eastAsia="等线" w:cs="等线"/>
                <w:color w:val="000000"/>
                <w:lang w:eastAsia="zh-CN" w:bidi="ar"/>
              </w:rPr>
              <w:t>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等线" w:hAnsi="等线" w:eastAsia="等线" w:cs="等线"/>
                <w:color w:val="000000"/>
                <w:lang w:val="en-US" w:eastAsia="zh-CN"/>
              </w:rPr>
            </w:pPr>
            <w:r>
              <w:rPr>
                <w:rFonts w:hint="eastAsia" w:ascii="等线" w:hAnsi="等线" w:eastAsia="等线" w:cs="等线"/>
                <w:color w:val="000000"/>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等线" w:hAnsi="等线" w:eastAsia="等线" w:cs="等线"/>
                <w:color w:val="000000"/>
                <w:lang w:val="en-US" w:eastAsia="zh-CN"/>
              </w:rPr>
            </w:pPr>
            <w:r>
              <w:rPr>
                <w:rFonts w:hint="eastAsia" w:ascii="等线" w:hAnsi="等线" w:eastAsia="等线" w:cs="等线"/>
                <w:color w:val="000000"/>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否</w:t>
            </w:r>
          </w:p>
        </w:tc>
      </w:tr>
      <w:tr>
        <w:tblPrEx>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r>
    </w:tbl>
    <w:p>
      <w:pPr>
        <w:pStyle w:val="4"/>
        <w:spacing w:before="35" w:line="345" w:lineRule="auto"/>
        <w:ind w:left="120" w:right="405" w:firstLine="640"/>
        <w:jc w:val="center"/>
        <w:rPr>
          <w:rFonts w:hint="eastAsia"/>
        </w:rPr>
      </w:pPr>
    </w:p>
    <w:sectPr>
      <w:pgSz w:w="16840" w:h="11910" w:orient="landscape"/>
      <w:pgMar w:top="1680" w:right="1540" w:bottom="1380" w:left="2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4CEC2"/>
    <w:multiLevelType w:val="singleLevel"/>
    <w:tmpl w:val="04A4CEC2"/>
    <w:lvl w:ilvl="0" w:tentative="0">
      <w:start w:val="3"/>
      <w:numFmt w:val="chineseCounting"/>
      <w:suff w:val="nothing"/>
      <w:lvlText w:val="（%1）"/>
      <w:lvlJc w:val="left"/>
      <w:rPr>
        <w:rFonts w:hint="eastAsia"/>
      </w:rPr>
    </w:lvl>
  </w:abstractNum>
  <w:abstractNum w:abstractNumId="1">
    <w:nsid w:val="36B8A2E0"/>
    <w:multiLevelType w:val="singleLevel"/>
    <w:tmpl w:val="36B8A2E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mNhZDlhNTA0YWEzYmMxMzE5YTJiZGFhNGNmOTMifQ=="/>
  </w:docVars>
  <w:rsids>
    <w:rsidRoot w:val="00224E28"/>
    <w:rsid w:val="001B3D54"/>
    <w:rsid w:val="00224E28"/>
    <w:rsid w:val="00225378"/>
    <w:rsid w:val="00413EB4"/>
    <w:rsid w:val="004835D3"/>
    <w:rsid w:val="00487266"/>
    <w:rsid w:val="00660DF0"/>
    <w:rsid w:val="006E0278"/>
    <w:rsid w:val="007B4FA6"/>
    <w:rsid w:val="00E336B9"/>
    <w:rsid w:val="00EA39B4"/>
    <w:rsid w:val="00F318C4"/>
    <w:rsid w:val="00FD4713"/>
    <w:rsid w:val="00FF41E4"/>
    <w:rsid w:val="00FF597F"/>
    <w:rsid w:val="01C12344"/>
    <w:rsid w:val="04673896"/>
    <w:rsid w:val="07CB4548"/>
    <w:rsid w:val="08397703"/>
    <w:rsid w:val="0A255467"/>
    <w:rsid w:val="0B0E7AC0"/>
    <w:rsid w:val="0CB86AAF"/>
    <w:rsid w:val="0D350DE1"/>
    <w:rsid w:val="0E761FA0"/>
    <w:rsid w:val="0EA34A58"/>
    <w:rsid w:val="0FD86801"/>
    <w:rsid w:val="0FFE4C76"/>
    <w:rsid w:val="120F040C"/>
    <w:rsid w:val="125910CE"/>
    <w:rsid w:val="126312B0"/>
    <w:rsid w:val="14F670A8"/>
    <w:rsid w:val="152E4A94"/>
    <w:rsid w:val="166342EC"/>
    <w:rsid w:val="18716A45"/>
    <w:rsid w:val="1BBD1DE9"/>
    <w:rsid w:val="1C2D7CD2"/>
    <w:rsid w:val="1F1F32A9"/>
    <w:rsid w:val="20403A15"/>
    <w:rsid w:val="219B446F"/>
    <w:rsid w:val="21FF50C2"/>
    <w:rsid w:val="23690EFA"/>
    <w:rsid w:val="24C745BD"/>
    <w:rsid w:val="25CE54D7"/>
    <w:rsid w:val="26263565"/>
    <w:rsid w:val="26DA25DF"/>
    <w:rsid w:val="26F766FA"/>
    <w:rsid w:val="289742A6"/>
    <w:rsid w:val="29072B7B"/>
    <w:rsid w:val="290F1786"/>
    <w:rsid w:val="2A24600D"/>
    <w:rsid w:val="2A697EC4"/>
    <w:rsid w:val="2C1F0FAA"/>
    <w:rsid w:val="2CC50388"/>
    <w:rsid w:val="2E375C89"/>
    <w:rsid w:val="2E642E7C"/>
    <w:rsid w:val="30F1651D"/>
    <w:rsid w:val="312B0D64"/>
    <w:rsid w:val="31794E91"/>
    <w:rsid w:val="31FC517A"/>
    <w:rsid w:val="36A95AD5"/>
    <w:rsid w:val="377A54BF"/>
    <w:rsid w:val="38387DC4"/>
    <w:rsid w:val="389A274D"/>
    <w:rsid w:val="38CD161E"/>
    <w:rsid w:val="38F0107D"/>
    <w:rsid w:val="3BE41159"/>
    <w:rsid w:val="3DC96858"/>
    <w:rsid w:val="3DD62993"/>
    <w:rsid w:val="3E9C6B44"/>
    <w:rsid w:val="40C13B4D"/>
    <w:rsid w:val="416C2D15"/>
    <w:rsid w:val="42864D18"/>
    <w:rsid w:val="45B41D88"/>
    <w:rsid w:val="47C02A7A"/>
    <w:rsid w:val="497849A6"/>
    <w:rsid w:val="4ABB6AB5"/>
    <w:rsid w:val="4BAB1C93"/>
    <w:rsid w:val="4EF37FD8"/>
    <w:rsid w:val="51A4340C"/>
    <w:rsid w:val="52167617"/>
    <w:rsid w:val="54422A68"/>
    <w:rsid w:val="5A1B0365"/>
    <w:rsid w:val="5AF00910"/>
    <w:rsid w:val="5B101B12"/>
    <w:rsid w:val="5C3B496D"/>
    <w:rsid w:val="5D6A453D"/>
    <w:rsid w:val="5FD743C0"/>
    <w:rsid w:val="5FF63AE4"/>
    <w:rsid w:val="608A1A1F"/>
    <w:rsid w:val="62F25EE5"/>
    <w:rsid w:val="648D5F82"/>
    <w:rsid w:val="67ED064B"/>
    <w:rsid w:val="6A505A87"/>
    <w:rsid w:val="6A6B28C1"/>
    <w:rsid w:val="6B80414A"/>
    <w:rsid w:val="6D77332B"/>
    <w:rsid w:val="6D97754B"/>
    <w:rsid w:val="71641E18"/>
    <w:rsid w:val="74BB4445"/>
    <w:rsid w:val="77CF26E1"/>
    <w:rsid w:val="7D957F29"/>
    <w:rsid w:val="7DEE06D5"/>
    <w:rsid w:val="7EC06057"/>
    <w:rsid w:val="7EF944E8"/>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32"/>
      <w:outlineLvl w:val="0"/>
    </w:pPr>
    <w:rPr>
      <w:rFonts w:ascii="黑体" w:hAnsi="黑体" w:eastAsia="黑体" w:cs="黑体"/>
      <w:sz w:val="48"/>
      <w:szCs w:val="48"/>
    </w:rPr>
  </w:style>
  <w:style w:type="paragraph" w:styleId="3">
    <w:name w:val="heading 2"/>
    <w:basedOn w:val="1"/>
    <w:next w:val="1"/>
    <w:qFormat/>
    <w:uiPriority w:val="1"/>
    <w:pPr>
      <w:spacing w:before="180"/>
      <w:ind w:left="760"/>
      <w:outlineLvl w:val="1"/>
    </w:pPr>
    <w:rPr>
      <w:rFonts w:ascii="楷体" w:hAnsi="楷体" w:eastAsia="楷体" w:cs="楷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tabs>
        <w:tab w:val="center" w:pos="4153"/>
        <w:tab w:val="right" w:pos="8306"/>
      </w:tabs>
      <w:snapToGrid w:val="0"/>
      <w:jc w:val="center"/>
    </w:pPr>
    <w:rPr>
      <w:sz w:val="18"/>
      <w:szCs w:val="18"/>
    </w:rPr>
  </w:style>
  <w:style w:type="paragraph" w:styleId="7">
    <w:name w:val="Title"/>
    <w:basedOn w:val="1"/>
    <w:qFormat/>
    <w:uiPriority w:val="1"/>
    <w:pPr>
      <w:spacing w:before="28"/>
      <w:ind w:left="139" w:right="101"/>
      <w:jc w:val="center"/>
    </w:pPr>
    <w:rPr>
      <w:rFonts w:ascii="黑体" w:hAnsi="黑体" w:eastAsia="黑体" w:cs="黑体"/>
      <w:sz w:val="52"/>
      <w:szCs w:val="52"/>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20" w:right="259" w:firstLine="640"/>
      <w:jc w:val="both"/>
    </w:pPr>
    <w:rPr>
      <w:rFonts w:ascii="仿宋" w:hAnsi="仿宋" w:eastAsia="仿宋" w:cs="仿宋"/>
    </w:rPr>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eastAsia="en-US"/>
    </w:rPr>
  </w:style>
  <w:style w:type="character" w:customStyle="1" w:styleId="14">
    <w:name w:val="页脚 字符"/>
    <w:basedOn w:val="9"/>
    <w:link w:val="5"/>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7014</Words>
  <Characters>8488</Characters>
  <Lines>73</Lines>
  <Paragraphs>20</Paragraphs>
  <TotalTime>11</TotalTime>
  <ScaleCrop>false</ScaleCrop>
  <LinksUpToDate>false</LinksUpToDate>
  <CharactersWithSpaces>8543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2024-10-28T01:29:00Z</dcterms:created>
  <dc:creator>2733596896@qq.com</dc:creator>
  <cp:lastModifiedBy>胡萝卜</cp:lastModifiedBy>
  <dcterms:modified xsi:type="dcterms:W3CDTF">2024-11-04T08:22:44Z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WPS 文字</vt:lpwstr>
  </property>
  <property fmtid="{D5CDD505-2E9C-101B-9397-08002B2CF9AE}" pid="4" name="LastSaved">
    <vt:filetime>2024-10-28T00:00:00Z</vt:filetime>
  </property>
  <property fmtid="{D5CDD505-2E9C-101B-9397-08002B2CF9AE}" pid="5" name="KSOProductBuildVer">
    <vt:lpwstr>2052-11.1.0.11294</vt:lpwstr>
  </property>
  <property fmtid="{D5CDD505-2E9C-101B-9397-08002B2CF9AE}" pid="6" name="ICV">
    <vt:lpwstr>90AA5102FDA845A0BF9AF9F920EC3DD5_13</vt:lpwstr>
  </property>
</Properties>
</file>