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rPr>
          <w:rFonts w:hint="eastAsia" w:ascii="Times New Roman"/>
          <w:sz w:val="20"/>
        </w:rPr>
      </w:pPr>
    </w:p>
    <w:p>
      <w:pPr>
        <w:pStyle w:val="4"/>
        <w:spacing w:before="10"/>
        <w:rPr>
          <w:rFonts w:hint="eastAsia" w:ascii="Times New Roman"/>
          <w:sz w:val="26"/>
        </w:rPr>
      </w:pPr>
    </w:p>
    <w:p>
      <w:pPr>
        <w:pStyle w:val="7"/>
        <w:rPr>
          <w:rFonts w:hint="eastAsia"/>
          <w:lang w:eastAsia="zh-CN"/>
        </w:rPr>
      </w:pPr>
      <w:r>
        <w:rPr>
          <w:lang w:eastAsia="zh-CN"/>
        </w:rPr>
        <w:t>202</w:t>
      </w:r>
      <w:r>
        <w:rPr>
          <w:rFonts w:hint="eastAsia"/>
          <w:lang w:eastAsia="zh-CN"/>
        </w:rPr>
        <w:t>3</w:t>
      </w:r>
      <w:r>
        <w:rPr>
          <w:lang w:eastAsia="zh-CN"/>
        </w:rPr>
        <w:t>年度</w:t>
      </w:r>
    </w:p>
    <w:p>
      <w:pPr>
        <w:pStyle w:val="7"/>
        <w:spacing w:before="287" w:line="343" w:lineRule="auto"/>
        <w:ind w:left="141"/>
        <w:rPr>
          <w:lang w:eastAsia="zh-CN"/>
        </w:rPr>
      </w:pPr>
      <w:r>
        <w:rPr>
          <w:rFonts w:hint="eastAsia"/>
          <w:lang w:eastAsia="zh-CN"/>
        </w:rPr>
        <w:t>信阳市平桥区龙井乡财税所</w:t>
      </w:r>
      <w:r>
        <w:rPr>
          <w:lang w:eastAsia="zh-CN"/>
        </w:rPr>
        <w:t>单位</w:t>
      </w:r>
    </w:p>
    <w:p>
      <w:pPr>
        <w:pStyle w:val="7"/>
        <w:spacing w:before="287" w:line="343" w:lineRule="auto"/>
        <w:ind w:left="141"/>
        <w:rPr>
          <w:rFonts w:hint="eastAsia"/>
          <w:lang w:eastAsia="zh-CN"/>
        </w:rPr>
      </w:pPr>
      <w:r>
        <w:rPr>
          <w:lang w:eastAsia="zh-CN"/>
        </w:rPr>
        <w:t>决算公开</w:t>
      </w: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rPr>
          <w:rFonts w:hint="eastAsia" w:ascii="黑体"/>
          <w:sz w:val="52"/>
          <w:lang w:eastAsia="zh-CN"/>
        </w:rPr>
      </w:pPr>
    </w:p>
    <w:p>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pPr>
        <w:jc w:val="center"/>
        <w:rPr>
          <w:rFonts w:hint="eastAsia" w:ascii="黑体" w:eastAsia="黑体"/>
          <w:lang w:eastAsia="zh-CN"/>
        </w:rPr>
        <w:sectPr>
          <w:type w:val="continuous"/>
          <w:pgSz w:w="11910" w:h="16840"/>
          <w:pgMar w:top="1580" w:right="1660" w:bottom="280" w:left="1680" w:header="720" w:footer="720" w:gutter="0"/>
          <w:cols w:space="720" w:num="1"/>
        </w:sectPr>
      </w:pPr>
    </w:p>
    <w:p>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信阳市平桥区龙井乡财税所概况</w:t>
      </w:r>
    </w:p>
    <w:p>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pPr>
        <w:pStyle w:val="4"/>
        <w:spacing w:before="214" w:line="364" w:lineRule="auto"/>
        <w:ind w:left="760" w:right="4604"/>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pPr>
        <w:pStyle w:val="4"/>
        <w:spacing w:before="2"/>
        <w:ind w:left="760"/>
        <w:rPr>
          <w:rFonts w:hint="eastAsia" w:ascii="宋体" w:eastAsia="宋体"/>
          <w:lang w:eastAsia="zh-CN"/>
        </w:rPr>
      </w:pPr>
      <w:r>
        <w:rPr>
          <w:rFonts w:hint="eastAsia" w:ascii="宋体" w:eastAsia="宋体"/>
          <w:w w:val="95"/>
          <w:lang w:eastAsia="zh-CN"/>
        </w:rPr>
        <w:t>三、支出决算表</w:t>
      </w:r>
    </w:p>
    <w:p>
      <w:pPr>
        <w:pStyle w:val="4"/>
        <w:spacing w:before="214"/>
        <w:ind w:left="760"/>
        <w:rPr>
          <w:rFonts w:hint="eastAsia" w:ascii="宋体" w:eastAsia="宋体"/>
          <w:lang w:eastAsia="zh-CN"/>
        </w:rPr>
      </w:pPr>
      <w:r>
        <w:rPr>
          <w:rFonts w:hint="eastAsia" w:ascii="宋体" w:eastAsia="宋体"/>
          <w:lang w:eastAsia="zh-CN"/>
        </w:rPr>
        <w:t>四、财政拨款收入支出决算总表</w:t>
      </w:r>
    </w:p>
    <w:p>
      <w:pPr>
        <w:pStyle w:val="4"/>
        <w:spacing w:before="214"/>
        <w:ind w:left="760"/>
        <w:rPr>
          <w:rFonts w:hint="eastAsia" w:ascii="宋体" w:eastAsia="宋体"/>
          <w:lang w:eastAsia="zh-CN"/>
        </w:rPr>
      </w:pPr>
      <w:r>
        <w:rPr>
          <w:rFonts w:hint="eastAsia" w:ascii="宋体" w:eastAsia="宋体"/>
          <w:lang w:eastAsia="zh-CN"/>
        </w:rPr>
        <w:t>五、一般公共决算财政拨款支出决算表</w:t>
      </w:r>
    </w:p>
    <w:p>
      <w:pPr>
        <w:pStyle w:val="4"/>
        <w:spacing w:before="214" w:line="364" w:lineRule="auto"/>
        <w:ind w:left="760" w:right="1083"/>
        <w:rPr>
          <w:rFonts w:hint="eastAsia" w:ascii="宋体" w:eastAsia="宋体"/>
          <w:lang w:eastAsia="zh-CN"/>
        </w:rPr>
      </w:pPr>
      <w:r>
        <w:rPr>
          <w:rFonts w:hint="eastAsia" w:ascii="宋体" w:eastAsia="宋体"/>
          <w:spacing w:val="-1"/>
          <w:lang w:eastAsia="zh-CN"/>
        </w:rPr>
        <w:t>六、一般公共决算财政拨款基本支出决算明细表</w:t>
      </w:r>
      <w:r>
        <w:rPr>
          <w:rFonts w:hint="eastAsia" w:ascii="宋体" w:eastAsia="宋体"/>
          <w:lang w:eastAsia="zh-CN"/>
        </w:rPr>
        <w:t>七、政府性基金决算财政拨款收入支出决算表八、国有资本经营决算财政拨款支出决算表</w:t>
      </w:r>
    </w:p>
    <w:p>
      <w:pPr>
        <w:pStyle w:val="4"/>
        <w:spacing w:before="2"/>
        <w:ind w:left="760"/>
        <w:rPr>
          <w:rFonts w:hint="eastAsia" w:ascii="宋体" w:hAnsi="宋体" w:eastAsia="宋体"/>
          <w:lang w:eastAsia="zh-CN"/>
        </w:rPr>
      </w:pPr>
      <w:r>
        <w:rPr>
          <w:rFonts w:hint="eastAsia" w:ascii="宋体" w:hAnsi="宋体" w:eastAsia="宋体"/>
          <w:lang w:eastAsia="zh-CN"/>
        </w:rPr>
        <w:t>九、财政拨款“三公”经费支出决算表</w:t>
      </w:r>
    </w:p>
    <w:p>
      <w:pPr>
        <w:pStyle w:val="4"/>
        <w:tabs>
          <w:tab w:val="left" w:pos="1720"/>
        </w:tabs>
        <w:spacing w:before="214" w:line="364" w:lineRule="auto"/>
        <w:ind w:left="760" w:right="2924" w:hanging="641"/>
        <w:rPr>
          <w:rFonts w:hint="eastAsia" w:ascii="宋体" w:eastAsia="宋体"/>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r>
        <w:rPr>
          <w:rFonts w:hint="eastAsia" w:ascii="宋体" w:eastAsia="宋体"/>
          <w:lang w:eastAsia="zh-CN"/>
        </w:rPr>
        <w:t>一、收入支出决算总体情况说明</w:t>
      </w:r>
      <w:r>
        <w:rPr>
          <w:rFonts w:hint="eastAsia" w:ascii="宋体" w:eastAsia="宋体"/>
          <w:lang w:val="en-US" w:eastAsia="zh-CN"/>
        </w:rPr>
        <w:t xml:space="preserve">  二、</w:t>
      </w:r>
      <w:r>
        <w:rPr>
          <w:rFonts w:hint="eastAsia" w:ascii="宋体" w:eastAsia="宋体"/>
          <w:lang w:eastAsia="zh-CN"/>
        </w:rPr>
        <w:t>收入决算情况说明</w:t>
      </w:r>
    </w:p>
    <w:p>
      <w:pPr>
        <w:pStyle w:val="4"/>
        <w:spacing w:before="3"/>
        <w:ind w:left="760"/>
        <w:rPr>
          <w:rFonts w:hint="eastAsia" w:ascii="宋体" w:eastAsia="宋体"/>
          <w:lang w:eastAsia="zh-CN"/>
        </w:rPr>
      </w:pPr>
      <w:r>
        <w:rPr>
          <w:rFonts w:hint="eastAsia" w:ascii="宋体" w:eastAsia="宋体"/>
          <w:w w:val="95"/>
          <w:lang w:eastAsia="zh-CN"/>
        </w:rPr>
        <w:t>三、支出决算情况说明</w:t>
      </w:r>
    </w:p>
    <w:p>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pPr>
        <w:pStyle w:val="4"/>
        <w:spacing w:before="214"/>
        <w:ind w:left="760"/>
        <w:rPr>
          <w:rFonts w:hint="eastAsia" w:ascii="宋体" w:eastAsia="宋体"/>
          <w:lang w:eastAsia="zh-CN"/>
        </w:rPr>
      </w:pPr>
      <w:r>
        <w:rPr>
          <w:rFonts w:hint="eastAsia" w:ascii="宋体" w:eastAsia="宋体"/>
          <w:lang w:eastAsia="zh-CN"/>
        </w:rPr>
        <w:t>五、一般公共决算财政拨款支出决算情况说明</w:t>
      </w:r>
    </w:p>
    <w:p>
      <w:pPr>
        <w:pStyle w:val="4"/>
        <w:spacing w:before="214" w:line="364" w:lineRule="auto"/>
        <w:ind w:left="760" w:right="764"/>
        <w:rPr>
          <w:rFonts w:hint="eastAsia" w:ascii="宋体" w:eastAsia="宋体"/>
          <w:lang w:eastAsia="zh-CN"/>
        </w:rPr>
      </w:pPr>
      <w:r>
        <w:rPr>
          <w:rFonts w:hint="eastAsia" w:ascii="宋体" w:eastAsia="宋体"/>
          <w:lang w:eastAsia="zh-CN"/>
        </w:rPr>
        <w:t>六、一般公共决算财政拨款基本支出决算情况说明七、政府性基金决算财政拨款支出决算情况说明</w:t>
      </w:r>
    </w:p>
    <w:p>
      <w:pPr>
        <w:spacing w:line="364" w:lineRule="auto"/>
        <w:rPr>
          <w:rFonts w:hint="eastAsia"/>
          <w:lang w:eastAsia="zh-CN"/>
        </w:rPr>
        <w:sectPr>
          <w:pgSz w:w="11910" w:h="16840"/>
          <w:pgMar w:top="1480" w:right="1660" w:bottom="280" w:left="1680" w:header="720" w:footer="720" w:gutter="0"/>
          <w:cols w:space="720" w:num="1"/>
        </w:sectPr>
      </w:pPr>
    </w:p>
    <w:p>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八、国有资本经营决算财政拨款支出决算情况说明九、财政拨款“三公”经费支出决算情况说明</w:t>
      </w:r>
    </w:p>
    <w:p>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pPr>
        <w:pStyle w:val="4"/>
        <w:spacing w:before="1" w:line="364" w:lineRule="auto"/>
        <w:ind w:left="760" w:right="3325"/>
        <w:rPr>
          <w:rFonts w:hint="eastAsia" w:ascii="宋体" w:eastAsia="宋体"/>
          <w:lang w:eastAsia="zh-CN"/>
        </w:rPr>
      </w:pPr>
      <w:r>
        <w:rPr>
          <w:rFonts w:hint="eastAsia" w:ascii="宋体" w:eastAsia="宋体"/>
          <w:lang w:eastAsia="zh-CN"/>
        </w:rPr>
        <w:t>十三、决算绩效情况说明</w:t>
      </w:r>
    </w:p>
    <w:p>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pPr>
        <w:rPr>
          <w:rFonts w:hint="eastAsia" w:ascii="黑体" w:eastAsia="黑体"/>
          <w:lang w:eastAsia="zh-CN"/>
        </w:rPr>
      </w:pPr>
    </w:p>
    <w:p>
      <w:pPr>
        <w:pStyle w:val="4"/>
        <w:tabs>
          <w:tab w:val="left" w:pos="2039"/>
        </w:tabs>
        <w:spacing w:before="4"/>
        <w:ind w:left="120"/>
        <w:rPr>
          <w:rFonts w:hint="eastAsia" w:ascii="黑体" w:eastAsia="黑体"/>
          <w:lang w:eastAsia="zh-CN"/>
        </w:rPr>
        <w:sectPr>
          <w:pgSz w:w="11910" w:h="16840"/>
          <w:pgMar w:top="1500" w:right="1660" w:bottom="280" w:left="1680" w:header="720" w:footer="720" w:gutter="0"/>
          <w:cols w:space="720" w:num="1"/>
        </w:sectPr>
      </w:pPr>
      <w:r>
        <w:rPr>
          <w:rFonts w:hint="eastAsia" w:ascii="黑体" w:eastAsia="黑体"/>
          <w:lang w:eastAsia="zh-CN"/>
        </w:rPr>
        <w:t>第五部分    附件</w:t>
      </w:r>
    </w:p>
    <w:p>
      <w:pPr>
        <w:pStyle w:val="4"/>
        <w:rPr>
          <w:rFonts w:hint="eastAsia" w:ascii="黑体"/>
          <w:sz w:val="20"/>
          <w:lang w:eastAsia="zh-CN"/>
        </w:rPr>
      </w:pPr>
    </w:p>
    <w:p>
      <w:pPr>
        <w:pStyle w:val="4"/>
        <w:spacing w:before="1"/>
        <w:rPr>
          <w:rFonts w:hint="eastAsia" w:ascii="黑体"/>
          <w:sz w:val="14"/>
          <w:lang w:eastAsia="zh-CN"/>
        </w:rPr>
      </w:pPr>
    </w:p>
    <w:p>
      <w:pPr>
        <w:pStyle w:val="2"/>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Pr>
          <w:rFonts w:hint="eastAsia"/>
          <w:lang w:eastAsia="zh-CN"/>
        </w:rPr>
        <w:t>信阳市平桥区龙井乡财税所</w:t>
      </w:r>
      <w:r>
        <w:rPr>
          <w:lang w:eastAsia="zh-CN"/>
        </w:rPr>
        <w:t>概</w:t>
      </w:r>
      <w:r>
        <w:rPr>
          <w:rFonts w:hint="eastAsia"/>
          <w:lang w:val="en-US" w:eastAsia="zh-CN"/>
        </w:rPr>
        <w:t xml:space="preserve"> </w:t>
      </w:r>
      <w:r>
        <w:rPr>
          <w:lang w:eastAsia="zh-CN"/>
        </w:rPr>
        <w:t>况</w:t>
      </w:r>
    </w:p>
    <w:p>
      <w:pPr>
        <w:pStyle w:val="4"/>
        <w:spacing w:before="4"/>
        <w:rPr>
          <w:rFonts w:hint="eastAsia" w:ascii="黑体"/>
          <w:sz w:val="57"/>
          <w:lang w:eastAsia="zh-CN"/>
        </w:rPr>
      </w:pPr>
    </w:p>
    <w:p>
      <w:pPr>
        <w:pStyle w:val="4"/>
        <w:spacing w:before="1" w:line="360" w:lineRule="auto"/>
        <w:ind w:left="760"/>
        <w:rPr>
          <w:rFonts w:hint="eastAsia" w:ascii="黑体" w:eastAsia="黑体"/>
          <w:lang w:eastAsia="zh-CN"/>
        </w:rPr>
      </w:pPr>
      <w:bookmarkStart w:id="1" w:name="一、单位职责"/>
      <w:bookmarkEnd w:id="1"/>
      <w:r>
        <w:rPr>
          <w:rFonts w:hint="eastAsia" w:ascii="黑体" w:eastAsia="黑体"/>
          <w:lang w:eastAsia="zh-CN"/>
        </w:rPr>
        <w:t>一、单位职责</w:t>
      </w:r>
    </w:p>
    <w:p>
      <w:pPr>
        <w:pStyle w:val="4"/>
        <w:spacing w:line="360" w:lineRule="auto"/>
        <w:ind w:firstLine="640" w:firstLineChars="200"/>
        <w:rPr>
          <w:rFonts w:hint="eastAsia"/>
          <w:lang w:eastAsia="zh-CN"/>
        </w:rPr>
      </w:pPr>
      <w:bookmarkStart w:id="2" w:name="二、机构设置"/>
      <w:bookmarkEnd w:id="2"/>
      <w:r>
        <w:rPr>
          <w:rFonts w:hint="eastAsia"/>
          <w:lang w:eastAsia="zh-CN"/>
        </w:rPr>
        <w:t>1.编制乡政府年度财政决算草案并组织执行；向乡政府报告财政决算；管理和监督乡镇各项财政收支。</w:t>
      </w:r>
    </w:p>
    <w:p>
      <w:pPr>
        <w:pStyle w:val="4"/>
        <w:spacing w:line="360" w:lineRule="auto"/>
        <w:ind w:firstLine="640" w:firstLineChars="200"/>
        <w:rPr>
          <w:rFonts w:hint="eastAsia"/>
          <w:lang w:eastAsia="zh-CN"/>
        </w:rPr>
      </w:pPr>
      <w:r>
        <w:rPr>
          <w:rFonts w:hint="eastAsia"/>
          <w:lang w:eastAsia="zh-CN"/>
        </w:rPr>
        <w:t>2.负责对各类专项资金的监管，提高财政资金使用率。</w:t>
      </w:r>
    </w:p>
    <w:p>
      <w:pPr>
        <w:pStyle w:val="4"/>
        <w:spacing w:line="360" w:lineRule="auto"/>
        <w:ind w:firstLine="640" w:firstLineChars="200"/>
        <w:rPr>
          <w:rFonts w:hint="eastAsia"/>
          <w:lang w:eastAsia="zh-CN"/>
        </w:rPr>
      </w:pPr>
      <w:r>
        <w:rPr>
          <w:rFonts w:hint="eastAsia"/>
          <w:lang w:eastAsia="zh-CN"/>
        </w:rPr>
        <w:t>3.负责本乡行政事业单位的国有资产监督管理工作。</w:t>
      </w:r>
    </w:p>
    <w:p>
      <w:pPr>
        <w:pStyle w:val="4"/>
        <w:spacing w:line="360" w:lineRule="auto"/>
        <w:ind w:firstLine="640" w:firstLineChars="200"/>
        <w:rPr>
          <w:rFonts w:hint="eastAsia"/>
          <w:lang w:eastAsia="zh-CN"/>
        </w:rPr>
      </w:pPr>
      <w:r>
        <w:rPr>
          <w:rFonts w:hint="eastAsia"/>
          <w:lang w:eastAsia="zh-CN"/>
        </w:rPr>
        <w:t>4.承办乡政府及上级财政部门交办的其他事项。</w:t>
      </w:r>
    </w:p>
    <w:p>
      <w:pPr>
        <w:pStyle w:val="4"/>
        <w:spacing w:line="360" w:lineRule="auto"/>
        <w:ind w:left="760"/>
        <w:rPr>
          <w:rFonts w:hint="eastAsia" w:ascii="黑体" w:eastAsia="黑体"/>
          <w:lang w:eastAsia="zh-CN"/>
        </w:rPr>
      </w:pPr>
      <w:r>
        <w:rPr>
          <w:rFonts w:hint="eastAsia" w:ascii="黑体" w:eastAsia="黑体"/>
          <w:lang w:eastAsia="zh-CN"/>
        </w:rPr>
        <w:t>二、机构设置</w:t>
      </w:r>
    </w:p>
    <w:p>
      <w:pPr>
        <w:pStyle w:val="4"/>
        <w:spacing w:line="360" w:lineRule="auto"/>
        <w:ind w:firstLine="640" w:firstLineChars="200"/>
        <w:rPr>
          <w:rFonts w:hint="eastAsia"/>
          <w:sz w:val="20"/>
          <w:lang w:eastAsia="zh-CN"/>
        </w:rPr>
      </w:pPr>
      <w:r>
        <w:rPr>
          <w:rFonts w:hint="eastAsia"/>
          <w:lang w:eastAsia="zh-CN"/>
        </w:rPr>
        <w:t>信阳市平桥区龙井乡财税所</w:t>
      </w:r>
      <w:r>
        <w:rPr>
          <w:rFonts w:hint="eastAsia"/>
          <w:spacing w:val="-6"/>
          <w:lang w:eastAsia="zh-CN"/>
        </w:rPr>
        <w:t>无所属决算单位。</w:t>
      </w: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rPr>
          <w:rFonts w:hint="eastAsia"/>
          <w:sz w:val="20"/>
          <w:lang w:eastAsia="zh-CN"/>
        </w:rPr>
      </w:pPr>
    </w:p>
    <w:p>
      <w:pPr>
        <w:pStyle w:val="4"/>
        <w:spacing w:before="4"/>
        <w:rPr>
          <w:rFonts w:hint="eastAsia"/>
          <w:sz w:val="26"/>
          <w:lang w:eastAsia="zh-CN"/>
        </w:rPr>
      </w:pPr>
    </w:p>
    <w:p>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pPr>
        <w:rPr>
          <w:rFonts w:hint="eastAsia"/>
          <w:lang w:eastAsia="zh-CN"/>
        </w:rPr>
        <w:sectPr>
          <w:pgSz w:w="11910" w:h="16840"/>
          <w:pgMar w:top="1580" w:right="1660" w:bottom="280" w:left="1680" w:header="720" w:footer="720" w:gutter="0"/>
          <w:cols w:space="720" w:num="1"/>
        </w:sectPr>
      </w:pPr>
    </w:p>
    <w:tbl>
      <w:tblPr>
        <w:tblW w:w="14070" w:type="dxa"/>
        <w:tblInd w:w="0" w:type="dxa"/>
        <w:shd w:val="clear"/>
        <w:tblLayout w:type="fixed"/>
        <w:tblCellMar>
          <w:top w:w="0" w:type="dxa"/>
          <w:left w:w="0" w:type="dxa"/>
          <w:bottom w:w="0" w:type="dxa"/>
          <w:right w:w="0" w:type="dxa"/>
        </w:tblCellMar>
      </w:tblPr>
      <w:tblGrid>
        <w:gridCol w:w="4849"/>
        <w:gridCol w:w="642"/>
        <w:gridCol w:w="1544"/>
        <w:gridCol w:w="3719"/>
        <w:gridCol w:w="525"/>
        <w:gridCol w:w="2791"/>
      </w:tblGrid>
      <w:tr>
        <w:tblPrEx>
          <w:shd w:val="clear"/>
          <w:tblLayout w:type="fixed"/>
          <w:tblCellMar>
            <w:top w:w="0" w:type="dxa"/>
            <w:left w:w="0" w:type="dxa"/>
            <w:bottom w:w="0" w:type="dxa"/>
            <w:right w:w="0" w:type="dxa"/>
          </w:tblCellMar>
        </w:tblPrEx>
        <w:trPr>
          <w:trHeight w:val="300" w:hRule="atLeast"/>
        </w:trPr>
        <w:tc>
          <w:tcPr>
            <w:tcW w:w="703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收入</w:t>
            </w:r>
          </w:p>
        </w:tc>
        <w:tc>
          <w:tcPr>
            <w:tcW w:w="703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支出</w:t>
            </w:r>
          </w:p>
        </w:tc>
      </w:tr>
      <w:tr>
        <w:tblPrEx>
          <w:shd w:val="clear"/>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54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279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r>
      <w:tr>
        <w:tblPrEx>
          <w:shd w:val="clear"/>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9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三、国有资本经营预算财政拨款收入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四、上级补助收入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五、事业收入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六、经营收入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七、附属单位上缴收入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八、其他收入</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十四、资源勘探工业信息等支出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二十一、国有资本经营预算支出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二十二、灾害防治及应急管理支出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二十三、其他支出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二十四、债务还本支出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二十五、债务付息支出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二十六、抗疫特别国债安排的支出</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使用非财政拨款结余(含专用结余)</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结余分配</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84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64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15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371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27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r>
      <w:tr>
        <w:tblPrEx>
          <w:tblLayout w:type="fixed"/>
          <w:tblCellMar>
            <w:top w:w="0" w:type="dxa"/>
            <w:left w:w="0" w:type="dxa"/>
            <w:bottom w:w="0" w:type="dxa"/>
            <w:right w:w="0" w:type="dxa"/>
          </w:tblCellMar>
        </w:tblPrEx>
        <w:trPr>
          <w:trHeight w:val="300" w:hRule="atLeast"/>
        </w:trPr>
        <w:tc>
          <w:tcPr>
            <w:tcW w:w="14070"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注：1.本表反映部门本年度的总收支和年末结转结余情况。</w:t>
            </w:r>
          </w:p>
        </w:tc>
      </w:tr>
      <w:tr>
        <w:tblPrEx>
          <w:shd w:val="clear"/>
          <w:tblLayout w:type="fixed"/>
          <w:tblCellMar>
            <w:top w:w="0" w:type="dxa"/>
            <w:left w:w="0" w:type="dxa"/>
            <w:bottom w:w="0" w:type="dxa"/>
            <w:right w:w="0" w:type="dxa"/>
          </w:tblCellMar>
        </w:tblPrEx>
        <w:trPr>
          <w:trHeight w:val="300" w:hRule="atLeast"/>
        </w:trPr>
        <w:tc>
          <w:tcPr>
            <w:tcW w:w="14070"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2.本套报表金额单位转换时可能存在尾数误差。</w:t>
            </w:r>
          </w:p>
        </w:tc>
      </w:tr>
    </w:tbl>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tbl>
      <w:tblPr>
        <w:tblW w:w="17520" w:type="dxa"/>
        <w:tblInd w:w="0" w:type="dxa"/>
        <w:shd w:val="clear"/>
        <w:tblLayout w:type="fixed"/>
        <w:tblCellMar>
          <w:top w:w="0" w:type="dxa"/>
          <w:left w:w="0" w:type="dxa"/>
          <w:bottom w:w="0" w:type="dxa"/>
          <w:right w:w="0" w:type="dxa"/>
        </w:tblCellMar>
      </w:tblPr>
      <w:tblGrid>
        <w:gridCol w:w="990"/>
        <w:gridCol w:w="3930"/>
        <w:gridCol w:w="1800"/>
        <w:gridCol w:w="1800"/>
        <w:gridCol w:w="1800"/>
        <w:gridCol w:w="1800"/>
        <w:gridCol w:w="1800"/>
        <w:gridCol w:w="1800"/>
        <w:gridCol w:w="1800"/>
      </w:tblGrid>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本年收入合计</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财政拨款收入</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上级补助收入</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事业收入</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经营收入</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附属单位上缴收入</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其他收入</w:t>
            </w:r>
          </w:p>
        </w:tc>
      </w:tr>
      <w:tr>
        <w:tblPrEx>
          <w:tblLayout w:type="fixed"/>
          <w:tblCellMar>
            <w:top w:w="0" w:type="dxa"/>
            <w:left w:w="0" w:type="dxa"/>
            <w:bottom w:w="0" w:type="dxa"/>
            <w:right w:w="0"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r>
      <w:tr>
        <w:tblPrEx>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2010650</w:t>
            </w:r>
          </w:p>
        </w:tc>
        <w:tc>
          <w:tcPr>
            <w:tcW w:w="393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事业运行</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17520"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注：本表反映部门本年度取得的各项收入情况。</w:t>
            </w:r>
          </w:p>
        </w:tc>
      </w:tr>
    </w:tbl>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p>
      <w:pPr>
        <w:rPr>
          <w:rFonts w:hint="eastAsia" w:ascii="黑体"/>
          <w:sz w:val="15"/>
          <w:lang w:eastAsia="zh-CN"/>
        </w:rPr>
      </w:pPr>
    </w:p>
    <w:tbl>
      <w:tblPr>
        <w:tblW w:w="15720" w:type="dxa"/>
        <w:tblInd w:w="0" w:type="dxa"/>
        <w:shd w:val="clear"/>
        <w:tblLayout w:type="fixed"/>
        <w:tblCellMar>
          <w:top w:w="0" w:type="dxa"/>
          <w:left w:w="0" w:type="dxa"/>
          <w:bottom w:w="0" w:type="dxa"/>
          <w:right w:w="0" w:type="dxa"/>
        </w:tblCellMar>
      </w:tblPr>
      <w:tblGrid>
        <w:gridCol w:w="990"/>
        <w:gridCol w:w="3930"/>
        <w:gridCol w:w="1800"/>
        <w:gridCol w:w="1800"/>
        <w:gridCol w:w="1800"/>
        <w:gridCol w:w="1800"/>
        <w:gridCol w:w="1800"/>
        <w:gridCol w:w="1800"/>
      </w:tblGrid>
      <w:tr>
        <w:tblPrEx>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上缴上级支出</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经营支出</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对附属单位补助支出</w:t>
            </w:r>
          </w:p>
        </w:tc>
      </w:tr>
      <w:tr>
        <w:tblPrEx>
          <w:tblLayout w:type="fixed"/>
          <w:tblCellMar>
            <w:top w:w="0" w:type="dxa"/>
            <w:left w:w="0" w:type="dxa"/>
            <w:bottom w:w="0" w:type="dxa"/>
            <w:right w:w="0"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2010650</w:t>
            </w:r>
          </w:p>
        </w:tc>
        <w:tc>
          <w:tcPr>
            <w:tcW w:w="393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事业运行</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1572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注：本表反映部门本年度各项支出情况。</w:t>
            </w:r>
          </w:p>
        </w:tc>
      </w:tr>
    </w:tbl>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tbl>
      <w:tblPr>
        <w:tblW w:w="16590" w:type="dxa"/>
        <w:tblInd w:w="0" w:type="dxa"/>
        <w:shd w:val="clear"/>
        <w:tblLayout w:type="fixed"/>
        <w:tblCellMar>
          <w:top w:w="0" w:type="dxa"/>
          <w:left w:w="0" w:type="dxa"/>
          <w:bottom w:w="0" w:type="dxa"/>
          <w:right w:w="0" w:type="dxa"/>
        </w:tblCellMar>
      </w:tblPr>
      <w:tblGrid>
        <w:gridCol w:w="3270"/>
        <w:gridCol w:w="570"/>
        <w:gridCol w:w="1680"/>
        <w:gridCol w:w="4157"/>
        <w:gridCol w:w="488"/>
        <w:gridCol w:w="1344"/>
        <w:gridCol w:w="1671"/>
        <w:gridCol w:w="1279"/>
        <w:gridCol w:w="2131"/>
      </w:tblGrid>
      <w:tr>
        <w:tblPrEx>
          <w:shd w:val="clear"/>
          <w:tblLayout w:type="fixed"/>
          <w:tblCellMar>
            <w:top w:w="0" w:type="dxa"/>
            <w:left w:w="0" w:type="dxa"/>
            <w:bottom w:w="0" w:type="dxa"/>
            <w:right w:w="0" w:type="dxa"/>
          </w:tblCellMar>
        </w:tblPrEx>
        <w:trPr>
          <w:trHeight w:val="300" w:hRule="atLeast"/>
        </w:trPr>
        <w:tc>
          <w:tcPr>
            <w:tcW w:w="5520"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     入</w:t>
            </w:r>
          </w:p>
        </w:tc>
        <w:tc>
          <w:tcPr>
            <w:tcW w:w="11070" w:type="dxa"/>
            <w:gridSpan w:val="6"/>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     出</w:t>
            </w:r>
          </w:p>
        </w:tc>
      </w:tr>
      <w:tr>
        <w:tblPrEx>
          <w:shd w:val="clear"/>
          <w:tblLayout w:type="fixed"/>
          <w:tblCellMar>
            <w:top w:w="0" w:type="dxa"/>
            <w:left w:w="0" w:type="dxa"/>
            <w:bottom w:w="0" w:type="dxa"/>
            <w:right w:w="0" w:type="dxa"/>
          </w:tblCellMar>
        </w:tblPrEx>
        <w:trPr>
          <w:trHeight w:val="285" w:hRule="atLeast"/>
        </w:trPr>
        <w:tc>
          <w:tcPr>
            <w:tcW w:w="327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415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488"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344"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71"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一般公共预算财政拨款</w:t>
            </w:r>
          </w:p>
        </w:tc>
        <w:tc>
          <w:tcPr>
            <w:tcW w:w="1279"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政府性基金预算财政拨款</w:t>
            </w:r>
          </w:p>
        </w:tc>
        <w:tc>
          <w:tcPr>
            <w:tcW w:w="2131"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国有资本经营预算财政拨款</w:t>
            </w:r>
          </w:p>
        </w:tc>
      </w:tr>
      <w:tr>
        <w:tblPrEx>
          <w:shd w:val="clear"/>
          <w:tblLayout w:type="fixed"/>
          <w:tblCellMar>
            <w:top w:w="0" w:type="dxa"/>
            <w:left w:w="0" w:type="dxa"/>
            <w:bottom w:w="0" w:type="dxa"/>
            <w:right w:w="0" w:type="dxa"/>
          </w:tblCellMar>
        </w:tblPrEx>
        <w:trPr>
          <w:trHeight w:val="600" w:hRule="atLeast"/>
        </w:trPr>
        <w:tc>
          <w:tcPr>
            <w:tcW w:w="327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5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4"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1"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9"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1"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67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7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1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三、国有资本经营预算财政拨款</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十四、资源勘探工业信息等支出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二十一、国有资本经营预算支出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二十二、灾害防治及应急管理支出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二十三、其他支出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二十四、债务还本支出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二十五、债务付息支出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二十六、抗疫特别国债安排的支出</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年初财政拨款结转和结余</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年末财政拨款结转和结余</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一般公共预算财政拨款</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政府性基金预算财政拨款</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国有资本经营预算财政拨款</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57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415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48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1344"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67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127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213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14459"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213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tbl>
      <w:tblPr>
        <w:tblW w:w="11670" w:type="dxa"/>
        <w:tblInd w:w="0" w:type="dxa"/>
        <w:shd w:val="clear"/>
        <w:tblLayout w:type="fixed"/>
        <w:tblCellMar>
          <w:top w:w="0" w:type="dxa"/>
          <w:left w:w="0" w:type="dxa"/>
          <w:bottom w:w="0" w:type="dxa"/>
          <w:right w:w="0" w:type="dxa"/>
        </w:tblCellMar>
      </w:tblPr>
      <w:tblGrid>
        <w:gridCol w:w="990"/>
        <w:gridCol w:w="3930"/>
        <w:gridCol w:w="2250"/>
        <w:gridCol w:w="2250"/>
        <w:gridCol w:w="2250"/>
      </w:tblGrid>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6750"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r>
      <w:tr>
        <w:tblPrEx>
          <w:tblLayout w:type="fixed"/>
          <w:tblCellMar>
            <w:top w:w="0" w:type="dxa"/>
            <w:left w:w="0" w:type="dxa"/>
            <w:bottom w:w="0" w:type="dxa"/>
            <w:right w:w="0"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shd w:val="clear"/>
          <w:tblLayout w:type="fixed"/>
          <w:tblCellMar>
            <w:top w:w="0" w:type="dxa"/>
            <w:left w:w="0" w:type="dxa"/>
            <w:bottom w:w="0" w:type="dxa"/>
            <w:right w:w="0"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22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2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2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22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333,638.00</w:t>
            </w:r>
          </w:p>
        </w:tc>
        <w:tc>
          <w:tcPr>
            <w:tcW w:w="22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333,638.00</w:t>
            </w:r>
          </w:p>
        </w:tc>
        <w:tc>
          <w:tcPr>
            <w:tcW w:w="22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2010650</w:t>
            </w:r>
          </w:p>
        </w:tc>
        <w:tc>
          <w:tcPr>
            <w:tcW w:w="393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事业运行</w:t>
            </w:r>
          </w:p>
        </w:tc>
        <w:tc>
          <w:tcPr>
            <w:tcW w:w="22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22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333,638.00</w:t>
            </w:r>
          </w:p>
        </w:tc>
        <w:tc>
          <w:tcPr>
            <w:tcW w:w="22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11670"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注：本表反映部门本年度一般公共预算财政拨款支出情况。</w:t>
            </w:r>
          </w:p>
        </w:tc>
      </w:tr>
    </w:tbl>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tbl>
      <w:tblPr>
        <w:tblW w:w="18420" w:type="dxa"/>
        <w:tblInd w:w="0" w:type="dxa"/>
        <w:shd w:val="clear"/>
        <w:tblLayout w:type="fixed"/>
        <w:tblCellMar>
          <w:top w:w="0" w:type="dxa"/>
          <w:left w:w="0" w:type="dxa"/>
          <w:bottom w:w="0" w:type="dxa"/>
          <w:right w:w="0" w:type="dxa"/>
        </w:tblCellMar>
      </w:tblPr>
      <w:tblGrid>
        <w:gridCol w:w="735"/>
        <w:gridCol w:w="3525"/>
        <w:gridCol w:w="1800"/>
        <w:gridCol w:w="735"/>
        <w:gridCol w:w="2775"/>
        <w:gridCol w:w="1800"/>
        <w:gridCol w:w="735"/>
        <w:gridCol w:w="4515"/>
        <w:gridCol w:w="1800"/>
      </w:tblGrid>
      <w:tr>
        <w:tblPrEx>
          <w:shd w:val="clear"/>
          <w:tblLayout w:type="fixed"/>
          <w:tblCellMar>
            <w:top w:w="0" w:type="dxa"/>
            <w:left w:w="0" w:type="dxa"/>
            <w:bottom w:w="0" w:type="dxa"/>
            <w:right w:w="0" w:type="dxa"/>
          </w:tblCellMar>
        </w:tblPrEx>
        <w:trPr>
          <w:trHeight w:val="300" w:hRule="atLeast"/>
        </w:trPr>
        <w:tc>
          <w:tcPr>
            <w:tcW w:w="6060"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w:t>
            </w:r>
          </w:p>
        </w:tc>
        <w:tc>
          <w:tcPr>
            <w:tcW w:w="12360" w:type="dxa"/>
            <w:gridSpan w:val="6"/>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w:t>
            </w:r>
          </w:p>
        </w:tc>
      </w:tr>
      <w:tr>
        <w:tblPrEx>
          <w:shd w:val="clear"/>
          <w:tblLayout w:type="fixed"/>
          <w:tblCellMar>
            <w:top w:w="0" w:type="dxa"/>
            <w:left w:w="0" w:type="dxa"/>
            <w:bottom w:w="0" w:type="dxa"/>
            <w:right w:w="0" w:type="dxa"/>
          </w:tblCellMar>
        </w:tblPrEx>
        <w:trPr>
          <w:trHeight w:val="300" w:hRule="atLeast"/>
        </w:trPr>
        <w:tc>
          <w:tcPr>
            <w:tcW w:w="73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52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277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451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shd w:val="clear"/>
          <w:tblLayout w:type="fixed"/>
          <w:tblCellMar>
            <w:top w:w="0" w:type="dxa"/>
            <w:left w:w="0" w:type="dxa"/>
            <w:bottom w:w="0" w:type="dxa"/>
            <w:right w:w="0"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工资福利支出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272,093.00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商品和服务支出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61,545.00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债务利息及费用支出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30101</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基本工资</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139,512.00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30201</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19,220.00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30701</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国内债务付息</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30102</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津贴补贴</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30202</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印刷费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30702</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国外债务付息</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30103</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奖金</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30203</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咨询费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资本性支出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30106</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伙食补助费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30204</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手续费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31001</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房屋建筑物购建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30107</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绩效工资</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30205</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水费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576.00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31002</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办公设备购置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30108</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机关事业单位基本养老保险缴费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24,084.00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30206</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电费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12,390.00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31003</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专用设备购置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30109</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职业年金缴费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8,028.00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30207</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邮电费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31005</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基础设施建设</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30110</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职工基本医疗保险缴费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12,060.00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30208</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取暖费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31006</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大型修缮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30111</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公务员医疗补助缴费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30209</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物业管理费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31007</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信息网络及软件购置更新</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30112</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其他社会保障缴费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30211</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差旅费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10,120.00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31008</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物资储备</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30113</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住房公积金</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88,409.00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30212</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因公出国（境）费用</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31009</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土地补偿</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30114</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30213</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维修（护）费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31010</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安置补助</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30199</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其他工资福利支出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30214</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租赁费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31011</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地上附着物和青苗补偿</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对个人和家庭的补助</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30215</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会议费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31012</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拆迁补偿</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30301</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离休费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30216</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培训费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31013</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公务用车购置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30302</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退休费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30217</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公务接待费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11,707.00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31019</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其他交通工具购置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30303</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退职（役）费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30218</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专用材料费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31021</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文物和陈列品购置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30304</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抚恤金</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30224</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被装购置费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31022</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无形资产购置</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30305</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生活补助</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30225</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专用燃料费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31099</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其他资本性支出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30306</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救济费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30226</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劳务费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30307</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医疗费补助</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30227</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委托业务费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39907</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国家赔偿费用支出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30308</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助学金</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30228</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工会经费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7,532.00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39908</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对民间非营利组织和群众性自治组织补贴</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30309</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奖励金</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30229</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福利费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39909</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经常性赠与</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30310</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个人农业生产补贴</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30231</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公务用车运行维护费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39910</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资本性赠与</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30311</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代缴社会保险费</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30239</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其他交通费用</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39999</w:t>
            </w: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30399</w:t>
            </w: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其他对个人和家庭的补助</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30240</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税金及附加费用</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30299</w:t>
            </w:r>
          </w:p>
        </w:tc>
        <w:tc>
          <w:tcPr>
            <w:tcW w:w="277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其他商品和服务支出</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426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人员经费合计</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272,093.00</w:t>
            </w:r>
          </w:p>
        </w:tc>
        <w:tc>
          <w:tcPr>
            <w:tcW w:w="10560"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公用经费合计</w:t>
            </w:r>
          </w:p>
        </w:tc>
        <w:tc>
          <w:tcPr>
            <w:tcW w:w="180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61,545.00</w:t>
            </w:r>
          </w:p>
        </w:tc>
      </w:tr>
      <w:tr>
        <w:tblPrEx>
          <w:shd w:val="clear"/>
          <w:tblLayout w:type="fixed"/>
          <w:tblCellMar>
            <w:top w:w="0" w:type="dxa"/>
            <w:left w:w="0" w:type="dxa"/>
            <w:bottom w:w="0" w:type="dxa"/>
            <w:right w:w="0" w:type="dxa"/>
          </w:tblCellMar>
        </w:tblPrEx>
        <w:trPr>
          <w:trHeight w:val="300" w:hRule="atLeast"/>
        </w:trPr>
        <w:tc>
          <w:tcPr>
            <w:tcW w:w="18420"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注：本表反映部门本年度一般公共预算财政拨款基本支出明细情况。</w:t>
            </w:r>
          </w:p>
        </w:tc>
      </w:tr>
    </w:tbl>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tbl>
      <w:tblPr>
        <w:tblW w:w="15000" w:type="dxa"/>
        <w:tblInd w:w="0" w:type="dxa"/>
        <w:shd w:val="clear"/>
        <w:tblLayout w:type="fixed"/>
        <w:tblCellMar>
          <w:top w:w="0" w:type="dxa"/>
          <w:left w:w="0" w:type="dxa"/>
          <w:bottom w:w="0" w:type="dxa"/>
          <w:right w:w="0" w:type="dxa"/>
        </w:tblCellMar>
      </w:tblPr>
      <w:tblGrid>
        <w:gridCol w:w="990"/>
        <w:gridCol w:w="3930"/>
        <w:gridCol w:w="1680"/>
        <w:gridCol w:w="1680"/>
        <w:gridCol w:w="1680"/>
        <w:gridCol w:w="1680"/>
        <w:gridCol w:w="1680"/>
        <w:gridCol w:w="1680"/>
      </w:tblGrid>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w:t>
            </w:r>
          </w:p>
        </w:tc>
        <w:tc>
          <w:tcPr>
            <w:tcW w:w="5040"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r>
      <w:tr>
        <w:tblPrEx>
          <w:shd w:val="clear"/>
          <w:tblLayout w:type="fixed"/>
          <w:tblCellMar>
            <w:top w:w="0" w:type="dxa"/>
            <w:left w:w="0" w:type="dxa"/>
            <w:bottom w:w="0" w:type="dxa"/>
            <w:right w:w="0"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1500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tbl>
      <w:tblPr>
        <w:tblW w:w="9960" w:type="dxa"/>
        <w:tblInd w:w="0" w:type="dxa"/>
        <w:shd w:val="clear"/>
        <w:tblLayout w:type="fixed"/>
        <w:tblCellMar>
          <w:top w:w="0" w:type="dxa"/>
          <w:left w:w="0" w:type="dxa"/>
          <w:bottom w:w="0" w:type="dxa"/>
          <w:right w:w="0" w:type="dxa"/>
        </w:tblCellMar>
      </w:tblPr>
      <w:tblGrid>
        <w:gridCol w:w="990"/>
        <w:gridCol w:w="3930"/>
        <w:gridCol w:w="1680"/>
        <w:gridCol w:w="1680"/>
        <w:gridCol w:w="1680"/>
      </w:tblGrid>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r>
      <w:tr>
        <w:tblPrEx>
          <w:shd w:val="clear"/>
          <w:tblLayout w:type="fixed"/>
          <w:tblCellMar>
            <w:top w:w="0" w:type="dxa"/>
            <w:left w:w="0" w:type="dxa"/>
            <w:bottom w:w="0" w:type="dxa"/>
            <w:right w:w="0"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shd w:val="clear"/>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68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shd w:val="clear"/>
          <w:tblLayout w:type="fixed"/>
          <w:tblCellMar>
            <w:top w:w="0" w:type="dxa"/>
            <w:left w:w="0" w:type="dxa"/>
            <w:bottom w:w="0" w:type="dxa"/>
            <w:right w:w="0"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60"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注：本表反映部门本年度国有资本经营预算财政拨款支出情况。</w:t>
            </w:r>
          </w:p>
        </w:tc>
      </w:tr>
    </w:tbl>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rPr>
          <w:rFonts w:hint="eastAsia" w:ascii="黑体"/>
          <w:sz w:val="84"/>
          <w:szCs w:val="84"/>
          <w:lang w:eastAsia="zh-CN"/>
        </w:rPr>
      </w:pPr>
    </w:p>
    <w:p>
      <w:pPr>
        <w:bidi w:val="0"/>
        <w:jc w:val="left"/>
        <w:rPr>
          <w:rFonts w:hint="eastAsia"/>
          <w:lang w:val="en-US" w:eastAsia="zh-CN"/>
        </w:rPr>
        <w:sectPr>
          <w:type w:val="continuous"/>
          <w:pgSz w:w="16840" w:h="11910" w:orient="landscape"/>
          <w:pgMar w:top="1580" w:right="960" w:bottom="280" w:left="1300" w:header="720" w:footer="720" w:gutter="0"/>
          <w:cols w:space="720" w:num="1"/>
        </w:sectPr>
      </w:pPr>
    </w:p>
    <w:p>
      <w:pPr>
        <w:rPr>
          <w:rFonts w:hint="eastAsia"/>
          <w:sz w:val="20"/>
          <w:lang w:eastAsia="zh-CN"/>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tabs>
          <w:tab w:val="left" w:pos="6262"/>
          <w:tab w:val="left" w:pos="12984"/>
        </w:tabs>
        <w:spacing w:before="70" w:after="28"/>
        <w:rPr>
          <w:rFonts w:hint="eastAsia"/>
          <w:lang w:eastAsia="zh-CN"/>
        </w:rPr>
        <w:sectPr>
          <w:type w:val="continuous"/>
          <w:pgSz w:w="16840" w:h="11910" w:orient="landscape"/>
          <w:pgMar w:top="1580" w:right="960" w:bottom="280" w:left="1300" w:header="720" w:footer="720" w:gutter="0"/>
          <w:cols w:space="720" w:num="1"/>
        </w:sectPr>
      </w:pPr>
    </w:p>
    <w:p>
      <w:pPr>
        <w:pStyle w:val="4"/>
        <w:spacing w:before="101"/>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pPr>
        <w:tabs>
          <w:tab w:val="left" w:pos="7068"/>
          <w:tab w:val="left" w:pos="12939"/>
        </w:tabs>
        <w:spacing w:before="70" w:after="28"/>
        <w:rPr>
          <w:rFonts w:hint="eastAsia"/>
          <w:sz w:val="20"/>
          <w:lang w:eastAsia="zh-CN"/>
        </w:rPr>
        <w:sectPr>
          <w:type w:val="continuous"/>
          <w:pgSz w:w="16840" w:h="11910" w:orient="landscape"/>
          <w:pgMar w:top="1580" w:right="960" w:bottom="280" w:left="1300" w:header="720" w:footer="720" w:gutter="0"/>
          <w:cols w:space="720" w:num="1"/>
        </w:sect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rPr>
          <w:rFonts w:hint="eastAsia"/>
          <w:sz w:val="20"/>
          <w:lang w:eastAsia="zh-CN"/>
        </w:rPr>
      </w:pPr>
    </w:p>
    <w:p>
      <w:pPr>
        <w:spacing w:before="9"/>
        <w:rPr>
          <w:rFonts w:hint="eastAsia"/>
          <w:sz w:val="23"/>
          <w:lang w:eastAsia="zh-CN"/>
        </w:rPr>
      </w:pPr>
    </w:p>
    <w:p>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pPr>
        <w:rPr>
          <w:rFonts w:hint="eastAsia"/>
          <w:lang w:eastAsia="zh-CN"/>
        </w:rPr>
        <w:sectPr>
          <w:pgSz w:w="11910" w:h="16840"/>
          <w:pgMar w:top="1580" w:right="1380" w:bottom="280" w:left="1680" w:header="720" w:footer="720" w:gutter="0"/>
          <w:cols w:space="720" w:num="1"/>
        </w:sectPr>
      </w:pPr>
    </w:p>
    <w:p>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pPr>
        <w:pStyle w:val="4"/>
        <w:spacing w:before="179" w:line="345" w:lineRule="auto"/>
        <w:ind w:left="120" w:right="259" w:firstLine="640"/>
        <w:rPr>
          <w:rFonts w:hint="eastAsia"/>
          <w:spacing w:val="-14"/>
          <w:lang w:eastAsia="zh-CN"/>
        </w:rPr>
      </w:pPr>
      <w:r>
        <w:rPr>
          <w:rFonts w:hint="eastAsia"/>
          <w:lang w:eastAsia="zh-CN"/>
        </w:rPr>
        <w:t>2023</w:t>
      </w:r>
      <w:r>
        <w:rPr>
          <w:spacing w:val="-23"/>
          <w:lang w:eastAsia="zh-CN"/>
        </w:rPr>
        <w:t>年度收、支总计均为</w:t>
      </w:r>
      <w:r>
        <w:rPr>
          <w:rFonts w:hint="eastAsia"/>
          <w:spacing w:val="-23"/>
          <w:lang w:val="en-US" w:eastAsia="zh-CN"/>
        </w:rPr>
        <w:t>33.36</w:t>
      </w:r>
      <w:r>
        <w:rPr>
          <w:spacing w:val="-14"/>
          <w:lang w:eastAsia="zh-CN"/>
        </w:rPr>
        <w:t>万元。</w:t>
      </w:r>
      <w:r>
        <w:rPr>
          <w:rFonts w:hint="eastAsia"/>
          <w:spacing w:val="-14"/>
          <w:lang w:eastAsia="zh-CN"/>
        </w:rPr>
        <w:t>与2022年决算相比，收、支总计各增加</w:t>
      </w:r>
      <w:r>
        <w:rPr>
          <w:rFonts w:hint="eastAsia"/>
          <w:spacing w:val="-14"/>
          <w:lang w:val="en-US" w:eastAsia="zh-CN"/>
        </w:rPr>
        <w:t>33.36</w:t>
      </w:r>
      <w:r>
        <w:rPr>
          <w:rFonts w:hint="eastAsia"/>
          <w:spacing w:val="-14"/>
          <w:lang w:eastAsia="zh-CN"/>
        </w:rPr>
        <w:t>万元，增长100.00%。主要原因:我单位2022年未编报决算公开。</w:t>
      </w:r>
    </w:p>
    <w:p>
      <w:pPr>
        <w:pStyle w:val="4"/>
        <w:ind w:left="760"/>
        <w:rPr>
          <w:rFonts w:hint="eastAsia" w:ascii="黑体" w:eastAsia="黑体"/>
          <w:lang w:eastAsia="zh-CN"/>
        </w:rPr>
      </w:pPr>
      <w:bookmarkStart w:id="6" w:name="二、收入决算情况说明"/>
      <w:bookmarkEnd w:id="6"/>
      <w:r>
        <w:rPr>
          <w:rFonts w:hint="eastAsia" w:ascii="黑体" w:eastAsia="黑体"/>
          <w:lang w:eastAsia="zh-CN"/>
        </w:rPr>
        <w:t>二、收入决算情况说明</w:t>
      </w:r>
    </w:p>
    <w:p>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val="en-US" w:eastAsia="zh-CN"/>
        </w:rPr>
        <w:t>33.36</w:t>
      </w:r>
      <w:r>
        <w:rPr>
          <w:lang w:eastAsia="zh-CN"/>
        </w:rPr>
        <w:t>万元，其中：财政拨款收入</w:t>
      </w:r>
    </w:p>
    <w:p>
      <w:pPr>
        <w:pStyle w:val="4"/>
        <w:spacing w:before="180" w:line="343" w:lineRule="auto"/>
        <w:ind w:left="120" w:right="259"/>
        <w:rPr>
          <w:rFonts w:hint="eastAsia"/>
          <w:lang w:eastAsia="zh-CN"/>
        </w:rPr>
      </w:pPr>
      <w:r>
        <w:rPr>
          <w:rFonts w:hint="eastAsia"/>
          <w:spacing w:val="-29"/>
          <w:lang w:val="en-US" w:eastAsia="zh-CN"/>
        </w:rPr>
        <w:t>33.36</w:t>
      </w:r>
      <w:r>
        <w:rPr>
          <w:spacing w:val="-29"/>
          <w:lang w:eastAsia="zh-CN"/>
        </w:rPr>
        <w:t>万元，占</w:t>
      </w:r>
      <w:r>
        <w:rPr>
          <w:spacing w:val="-12"/>
          <w:lang w:eastAsia="zh-CN"/>
        </w:rPr>
        <w:t>1</w:t>
      </w:r>
      <w:r>
        <w:rPr>
          <w:rFonts w:hint="eastAsia"/>
          <w:spacing w:val="-12"/>
          <w:lang w:eastAsia="zh-CN"/>
        </w:rPr>
        <w:t>00.00</w:t>
      </w:r>
      <w:r>
        <w:rPr>
          <w:lang w:eastAsia="zh-CN"/>
        </w:rPr>
        <w:t>%。</w:t>
      </w:r>
    </w:p>
    <w:p>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spacing w:val="-17"/>
          <w:lang w:val="en-US" w:eastAsia="zh-CN"/>
        </w:rPr>
        <w:t>33.36</w:t>
      </w:r>
      <w:r>
        <w:rPr>
          <w:spacing w:val="-37"/>
          <w:lang w:eastAsia="zh-CN"/>
        </w:rPr>
        <w:t>万元，其中：基本支出</w:t>
      </w:r>
      <w:r>
        <w:rPr>
          <w:rFonts w:hint="eastAsia"/>
          <w:spacing w:val="-37"/>
          <w:lang w:val="en-US" w:eastAsia="zh-CN"/>
        </w:rPr>
        <w:t>33.36</w:t>
      </w:r>
      <w:r>
        <w:rPr>
          <w:spacing w:val="-16"/>
          <w:lang w:eastAsia="zh-CN"/>
        </w:rPr>
        <w:t>万元，占</w:t>
      </w:r>
      <w:r>
        <w:rPr>
          <w:lang w:eastAsia="zh-CN"/>
        </w:rPr>
        <w:t>100.00%。</w:t>
      </w:r>
    </w:p>
    <w:p>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pPr>
        <w:pStyle w:val="4"/>
        <w:spacing w:before="179" w:line="345" w:lineRule="auto"/>
        <w:ind w:left="120" w:right="259" w:firstLine="640"/>
        <w:rPr>
          <w:rFonts w:hint="eastAsia"/>
          <w:lang w:eastAsia="zh-CN"/>
        </w:rPr>
      </w:pPr>
      <w:r>
        <w:rPr>
          <w:rFonts w:hint="eastAsia"/>
          <w:lang w:eastAsia="zh-CN"/>
        </w:rPr>
        <w:t>2023年度财政拨款收、支总计均为</w:t>
      </w:r>
      <w:r>
        <w:rPr>
          <w:rFonts w:hint="eastAsia"/>
          <w:lang w:val="en-US" w:eastAsia="zh-CN"/>
        </w:rPr>
        <w:t>33.36</w:t>
      </w:r>
      <w:r>
        <w:rPr>
          <w:rFonts w:hint="eastAsia"/>
          <w:lang w:eastAsia="zh-CN"/>
        </w:rPr>
        <w:t>万元。与上年度相比，财政拨款收、支总计各</w:t>
      </w:r>
      <w:r>
        <w:rPr>
          <w:rFonts w:hint="eastAsia"/>
          <w:spacing w:val="-15"/>
          <w:lang w:eastAsia="zh-CN"/>
        </w:rPr>
        <w:t>增加</w:t>
      </w:r>
      <w:r>
        <w:rPr>
          <w:rFonts w:hint="eastAsia"/>
          <w:spacing w:val="-15"/>
          <w:lang w:val="en-US" w:eastAsia="zh-CN"/>
        </w:rPr>
        <w:t>33.36</w:t>
      </w:r>
      <w:r>
        <w:rPr>
          <w:spacing w:val="-23"/>
          <w:lang w:eastAsia="zh-CN"/>
        </w:rPr>
        <w:t>万元，</w:t>
      </w:r>
      <w:r>
        <w:rPr>
          <w:rFonts w:hint="eastAsia"/>
          <w:spacing w:val="-23"/>
          <w:lang w:eastAsia="zh-CN"/>
        </w:rPr>
        <w:t>增长</w:t>
      </w:r>
      <w:r>
        <w:rPr>
          <w:rFonts w:hint="eastAsia"/>
          <w:lang w:eastAsia="zh-CN"/>
        </w:rPr>
        <w:t>100.00</w:t>
      </w:r>
      <w:r>
        <w:rPr>
          <w:lang w:eastAsia="zh-CN"/>
        </w:rPr>
        <w:t>%</w:t>
      </w:r>
      <w:r>
        <w:rPr>
          <w:rFonts w:hint="eastAsia"/>
          <w:lang w:eastAsia="zh-CN"/>
        </w:rPr>
        <w:t>。主要原因是</w:t>
      </w:r>
      <w:r>
        <w:rPr>
          <w:rFonts w:hint="eastAsia"/>
          <w:spacing w:val="-14"/>
          <w:lang w:eastAsia="zh-CN"/>
        </w:rPr>
        <w:t>我单位2022年未编报决算公开</w:t>
      </w:r>
      <w:r>
        <w:rPr>
          <w:rFonts w:hint="eastAsia"/>
          <w:lang w:eastAsia="zh-CN"/>
        </w:rPr>
        <w:t>。</w:t>
      </w:r>
    </w:p>
    <w:p>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五、一般公共决算财政拨款支出决算情况说明</w:t>
      </w:r>
    </w:p>
    <w:p>
      <w:pPr>
        <w:pStyle w:val="3"/>
        <w:rPr>
          <w:rFonts w:hint="eastAsia"/>
          <w:lang w:eastAsia="zh-CN"/>
        </w:rPr>
      </w:pPr>
      <w:r>
        <w:rPr>
          <w:lang w:eastAsia="zh-CN"/>
        </w:rPr>
        <w:t>（一）总体情况</w:t>
      </w:r>
    </w:p>
    <w:p>
      <w:pPr>
        <w:pStyle w:val="4"/>
        <w:spacing w:before="179" w:line="345" w:lineRule="auto"/>
        <w:ind w:left="120" w:right="259" w:firstLine="640"/>
        <w:rPr>
          <w:rFonts w:hint="eastAsia"/>
          <w:lang w:eastAsia="zh-CN"/>
        </w:rPr>
      </w:pPr>
      <w:r>
        <w:rPr>
          <w:rFonts w:hint="eastAsia"/>
          <w:lang w:eastAsia="zh-CN"/>
        </w:rPr>
        <w:t>2023</w:t>
      </w:r>
      <w:r>
        <w:rPr>
          <w:spacing w:val="-15"/>
          <w:lang w:eastAsia="zh-CN"/>
        </w:rPr>
        <w:t>年度一般公共决算财政拨款支出</w:t>
      </w:r>
      <w:r>
        <w:rPr>
          <w:rFonts w:hint="eastAsia"/>
          <w:lang w:val="en-US" w:eastAsia="zh-CN"/>
        </w:rPr>
        <w:t>39.2</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%。与上年度相比，一般公共决算财政拨款</w:t>
      </w:r>
      <w:r>
        <w:rPr>
          <w:spacing w:val="-15"/>
          <w:lang w:eastAsia="zh-CN"/>
        </w:rPr>
        <w:t>支出</w:t>
      </w:r>
      <w:r>
        <w:rPr>
          <w:rFonts w:hint="eastAsia"/>
          <w:spacing w:val="-15"/>
          <w:lang w:eastAsia="zh-CN"/>
        </w:rPr>
        <w:t>增加</w:t>
      </w:r>
      <w:r>
        <w:rPr>
          <w:rFonts w:hint="eastAsia"/>
          <w:lang w:val="en-US" w:eastAsia="zh-CN"/>
        </w:rPr>
        <w:t>39.2</w:t>
      </w:r>
      <w:r>
        <w:rPr>
          <w:spacing w:val="-23"/>
          <w:lang w:eastAsia="zh-CN"/>
        </w:rPr>
        <w:t>万元，</w:t>
      </w:r>
      <w:r>
        <w:rPr>
          <w:rFonts w:hint="eastAsia"/>
          <w:spacing w:val="-23"/>
          <w:lang w:eastAsia="zh-CN"/>
        </w:rPr>
        <w:t>增长</w:t>
      </w:r>
      <w:r>
        <w:rPr>
          <w:rFonts w:hint="eastAsia"/>
          <w:lang w:eastAsia="zh-CN"/>
        </w:rPr>
        <w:t>100.00</w:t>
      </w:r>
      <w:r>
        <w:rPr>
          <w:lang w:eastAsia="zh-CN"/>
        </w:rPr>
        <w:t>%。主要原因是</w:t>
      </w:r>
      <w:r>
        <w:rPr>
          <w:rFonts w:hint="eastAsia"/>
          <w:spacing w:val="-14"/>
          <w:lang w:eastAsia="zh-CN"/>
        </w:rPr>
        <w:t>我单位2022年未编报决算公开。</w:t>
      </w:r>
    </w:p>
    <w:p>
      <w:pPr>
        <w:pStyle w:val="3"/>
        <w:numPr>
          <w:ilvl w:val="0"/>
          <w:numId w:val="1"/>
        </w:numPr>
        <w:spacing w:before="0" w:line="408" w:lineRule="exact"/>
        <w:rPr>
          <w:rFonts w:hint="eastAsia"/>
        </w:rPr>
      </w:pPr>
      <w:r>
        <w:t>结构情况</w:t>
      </w:r>
    </w:p>
    <w:p>
      <w:pPr>
        <w:pStyle w:val="4"/>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年度一般公共决算财政拨款支出</w:t>
      </w:r>
      <w:r>
        <w:rPr>
          <w:rFonts w:hint="eastAsia"/>
          <w:spacing w:val="-15"/>
          <w:lang w:val="en-US" w:eastAsia="zh-CN"/>
        </w:rPr>
        <w:t>33.36</w:t>
      </w:r>
      <w:r>
        <w:rPr>
          <w:spacing w:val="-31"/>
          <w:lang w:eastAsia="zh-CN"/>
        </w:rPr>
        <w:t>万元，主要</w:t>
      </w:r>
      <w:r>
        <w:rPr>
          <w:spacing w:val="-37"/>
          <w:lang w:eastAsia="zh-CN"/>
        </w:rPr>
        <w:t>用于以下方面：</w:t>
      </w:r>
      <w:r>
        <w:rPr>
          <w:rFonts w:hint="eastAsia"/>
          <w:spacing w:val="-37"/>
          <w:lang w:eastAsia="zh-CN"/>
        </w:rPr>
        <w:t>一般公共服务支出</w:t>
      </w:r>
      <w:r>
        <w:rPr>
          <w:lang w:eastAsia="zh-CN"/>
        </w:rPr>
        <w:t>（类</w:t>
      </w:r>
      <w:r>
        <w:rPr>
          <w:spacing w:val="-103"/>
          <w:lang w:eastAsia="zh-CN"/>
        </w:rPr>
        <w:t>）</w:t>
      </w:r>
      <w:r>
        <w:rPr>
          <w:spacing w:val="-29"/>
          <w:lang w:eastAsia="zh-CN"/>
        </w:rPr>
        <w:t>支出</w:t>
      </w:r>
      <w:r>
        <w:rPr>
          <w:rFonts w:hint="eastAsia"/>
          <w:spacing w:val="-29"/>
          <w:lang w:val="en-US" w:eastAsia="zh-CN"/>
        </w:rPr>
        <w:t>33.36</w:t>
      </w:r>
      <w:r>
        <w:rPr>
          <w:spacing w:val="-46"/>
          <w:lang w:eastAsia="zh-CN"/>
        </w:rPr>
        <w:t>万元，占</w:t>
      </w:r>
      <w:r>
        <w:rPr>
          <w:lang w:eastAsia="zh-CN"/>
        </w:rPr>
        <w:t>100.00%。</w:t>
      </w:r>
    </w:p>
    <w:p>
      <w:pPr>
        <w:pStyle w:val="3"/>
        <w:numPr>
          <w:ilvl w:val="0"/>
          <w:numId w:val="2"/>
        </w:numPr>
        <w:spacing w:before="6"/>
        <w:rPr>
          <w:rFonts w:hint="eastAsia"/>
        </w:rPr>
      </w:pPr>
      <w:r>
        <w:t>具体情况</w:t>
      </w:r>
    </w:p>
    <w:p>
      <w:pPr>
        <w:pStyle w:val="3"/>
        <w:spacing w:before="6"/>
        <w:ind w:left="0"/>
        <w:rPr>
          <w:rFonts w:hint="eastAsia"/>
        </w:rPr>
      </w:pPr>
    </w:p>
    <w:p>
      <w:pPr>
        <w:pStyle w:val="4"/>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年度一般公共决算财政拨款支出年初</w:t>
      </w:r>
      <w:r>
        <w:rPr>
          <w:rFonts w:hint="eastAsia"/>
          <w:spacing w:val="-15"/>
          <w:lang w:eastAsia="zh-CN"/>
        </w:rPr>
        <w:t>预算</w:t>
      </w:r>
      <w:r>
        <w:rPr>
          <w:spacing w:val="-15"/>
          <w:lang w:eastAsia="zh-CN"/>
        </w:rPr>
        <w:t>为</w:t>
      </w:r>
      <w:r>
        <w:rPr>
          <w:rFonts w:hint="eastAsia"/>
          <w:spacing w:val="-15"/>
          <w:lang w:val="en-US" w:eastAsia="zh-CN"/>
        </w:rPr>
        <w:t>33.36</w:t>
      </w:r>
      <w:r>
        <w:rPr>
          <w:spacing w:val="-1"/>
          <w:lang w:eastAsia="zh-CN"/>
        </w:rPr>
        <w:t>万元，支出决算为</w:t>
      </w:r>
      <w:r>
        <w:rPr>
          <w:rFonts w:hint="eastAsia"/>
          <w:spacing w:val="-1"/>
          <w:lang w:val="en-US" w:eastAsia="zh-CN"/>
        </w:rPr>
        <w:t>33.36</w:t>
      </w:r>
      <w:r>
        <w:rPr>
          <w:spacing w:val="-17"/>
          <w:lang w:eastAsia="zh-CN"/>
        </w:rPr>
        <w:t>万元，完成年初</w:t>
      </w:r>
      <w:r>
        <w:rPr>
          <w:rFonts w:hint="eastAsia"/>
          <w:spacing w:val="-17"/>
          <w:lang w:eastAsia="zh-CN"/>
        </w:rPr>
        <w:t>预算</w:t>
      </w:r>
      <w:r>
        <w:rPr>
          <w:spacing w:val="-17"/>
          <w:lang w:eastAsia="zh-CN"/>
        </w:rPr>
        <w:t>的</w:t>
      </w:r>
      <w:r>
        <w:rPr>
          <w:rFonts w:hint="eastAsia"/>
          <w:lang w:eastAsia="zh-CN"/>
        </w:rPr>
        <w:t>100</w:t>
      </w:r>
      <w:r>
        <w:rPr>
          <w:lang w:eastAsia="zh-CN"/>
        </w:rPr>
        <w:t>%。其中：</w:t>
      </w:r>
    </w:p>
    <w:p>
      <w:pPr>
        <w:spacing w:line="345" w:lineRule="auto"/>
        <w:ind w:left="120" w:right="418" w:firstLine="640"/>
        <w:jc w:val="both"/>
        <w:rPr>
          <w:rFonts w:hint="eastAsia" w:ascii="仿宋" w:eastAsia="仿宋"/>
          <w:sz w:val="32"/>
          <w:lang w:eastAsia="zh-CN"/>
        </w:rPr>
      </w:pPr>
      <w:r>
        <w:rPr>
          <w:rFonts w:hint="eastAsia" w:ascii="仿宋" w:eastAsia="仿宋"/>
          <w:b/>
          <w:spacing w:val="6"/>
          <w:w w:val="95"/>
          <w:sz w:val="32"/>
          <w:lang w:eastAsia="zh-CN"/>
        </w:rPr>
        <w:t>1．</w:t>
      </w:r>
      <w:r>
        <w:rPr>
          <w:rFonts w:hint="eastAsia" w:ascii="仿宋" w:eastAsia="仿宋"/>
          <w:b/>
          <w:spacing w:val="7"/>
          <w:w w:val="95"/>
          <w:sz w:val="32"/>
          <w:lang w:eastAsia="zh-CN"/>
        </w:rPr>
        <w:t>一般公共服务支出（类）财政事务（款）事业运行（项</w:t>
      </w:r>
      <w:r>
        <w:rPr>
          <w:rFonts w:hint="eastAsia" w:ascii="仿宋" w:eastAsia="仿宋"/>
          <w:b/>
          <w:spacing w:val="-149"/>
          <w:sz w:val="32"/>
          <w:lang w:eastAsia="zh-CN"/>
        </w:rPr>
        <w:t>）</w:t>
      </w:r>
      <w:r>
        <w:rPr>
          <w:rFonts w:hint="eastAsia" w:ascii="仿宋" w:eastAsia="仿宋"/>
          <w:b/>
          <w:spacing w:val="12"/>
          <w:sz w:val="32"/>
          <w:lang w:eastAsia="zh-CN"/>
        </w:rPr>
        <w:t>。</w:t>
      </w:r>
      <w:r>
        <w:rPr>
          <w:rFonts w:hint="eastAsia" w:ascii="仿宋" w:eastAsia="仿宋"/>
          <w:spacing w:val="-7"/>
          <w:sz w:val="32"/>
          <w:lang w:eastAsia="zh-CN"/>
        </w:rPr>
        <w:t>年初预算</w:t>
      </w:r>
      <w:r>
        <w:rPr>
          <w:rFonts w:hint="eastAsia" w:ascii="仿宋" w:eastAsia="仿宋"/>
          <w:spacing w:val="-10"/>
          <w:sz w:val="32"/>
          <w:lang w:eastAsia="zh-CN"/>
        </w:rPr>
        <w:t>为</w:t>
      </w:r>
      <w:r>
        <w:rPr>
          <w:rFonts w:hint="eastAsia" w:ascii="仿宋" w:eastAsia="仿宋"/>
          <w:spacing w:val="-10"/>
          <w:sz w:val="32"/>
          <w:lang w:val="en-US" w:eastAsia="zh-CN"/>
        </w:rPr>
        <w:t>33.36</w:t>
      </w:r>
      <w:r>
        <w:rPr>
          <w:rFonts w:hint="eastAsia" w:ascii="仿宋" w:eastAsia="仿宋"/>
          <w:spacing w:val="-10"/>
          <w:sz w:val="32"/>
          <w:lang w:eastAsia="zh-CN"/>
        </w:rPr>
        <w:t>万元，支出决算为</w:t>
      </w:r>
      <w:r>
        <w:rPr>
          <w:rFonts w:hint="eastAsia" w:ascii="仿宋" w:eastAsia="仿宋"/>
          <w:sz w:val="32"/>
          <w:lang w:val="en-US" w:eastAsia="zh-CN"/>
        </w:rPr>
        <w:t>33.36</w:t>
      </w:r>
      <w:r>
        <w:rPr>
          <w:rFonts w:hint="eastAsia" w:ascii="仿宋" w:eastAsia="仿宋"/>
          <w:spacing w:val="-8"/>
          <w:sz w:val="32"/>
          <w:lang w:eastAsia="zh-CN"/>
        </w:rPr>
        <w:t>万元，完成</w:t>
      </w:r>
      <w:r>
        <w:rPr>
          <w:rFonts w:hint="eastAsia" w:ascii="仿宋" w:eastAsia="仿宋"/>
          <w:sz w:val="32"/>
          <w:lang w:eastAsia="zh-CN"/>
        </w:rPr>
        <w:t>年初决算的</w:t>
      </w:r>
      <w:r>
        <w:rPr>
          <w:rFonts w:hint="eastAsia" w:ascii="仿宋" w:eastAsia="仿宋"/>
          <w:sz w:val="32"/>
          <w:lang w:val="en-US" w:eastAsia="zh-CN"/>
        </w:rPr>
        <w:t>100</w:t>
      </w:r>
      <w:r>
        <w:rPr>
          <w:rFonts w:hint="eastAsia" w:ascii="仿宋" w:eastAsia="仿宋"/>
          <w:sz w:val="32"/>
          <w:lang w:eastAsia="zh-CN"/>
        </w:rPr>
        <w:t>%。决算数与年初决算数差异原因是我单位本年度上级安排任务以及办公业务增加导致相应支出增加。</w:t>
      </w:r>
    </w:p>
    <w:p>
      <w:pPr>
        <w:pStyle w:val="4"/>
        <w:spacing w:line="408" w:lineRule="exact"/>
        <w:ind w:left="760"/>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六、一般公共决算财政拨款基本支出决算情况说明</w:t>
      </w:r>
    </w:p>
    <w:p>
      <w:pPr>
        <w:pStyle w:val="4"/>
        <w:spacing w:before="181" w:line="345" w:lineRule="auto"/>
        <w:ind w:left="120" w:right="420" w:firstLine="640"/>
        <w:jc w:val="both"/>
        <w:rPr>
          <w:spacing w:val="-19"/>
          <w:lang w:eastAsia="zh-CN"/>
        </w:rPr>
      </w:pPr>
      <w:r>
        <w:rPr>
          <w:rFonts w:hint="eastAsia"/>
          <w:spacing w:val="-19"/>
          <w:lang w:eastAsia="zh-CN"/>
        </w:rPr>
        <w:t>2023</w:t>
      </w:r>
      <w:r>
        <w:rPr>
          <w:spacing w:val="-19"/>
          <w:lang w:eastAsia="zh-CN"/>
        </w:rPr>
        <w:t>年度一般公共决算财政拨款基本支出</w:t>
      </w:r>
      <w:r>
        <w:rPr>
          <w:rFonts w:hint="eastAsia"/>
          <w:spacing w:val="-19"/>
          <w:lang w:val="en-US" w:eastAsia="zh-CN"/>
        </w:rPr>
        <w:t>33.36</w:t>
      </w:r>
      <w:r>
        <w:rPr>
          <w:spacing w:val="-19"/>
          <w:lang w:eastAsia="zh-CN"/>
        </w:rPr>
        <w:t>万元。其中：人员经费</w:t>
      </w:r>
      <w:r>
        <w:rPr>
          <w:rFonts w:hint="eastAsia"/>
          <w:spacing w:val="-19"/>
          <w:lang w:val="en-US" w:eastAsia="zh-CN"/>
        </w:rPr>
        <w:t>27.21</w:t>
      </w:r>
      <w:r>
        <w:rPr>
          <w:spacing w:val="-19"/>
          <w:lang w:eastAsia="zh-CN"/>
        </w:rPr>
        <w:t>万元，主要包括：基本工资、</w:t>
      </w:r>
      <w:r>
        <w:rPr>
          <w:rFonts w:hint="eastAsia"/>
          <w:spacing w:val="-19"/>
          <w:lang w:eastAsia="zh-CN"/>
        </w:rPr>
        <w:t>奖金、津</w:t>
      </w:r>
      <w:r>
        <w:rPr>
          <w:spacing w:val="-19"/>
          <w:lang w:eastAsia="zh-CN"/>
        </w:rPr>
        <w:t>贴补贴、绩效工资</w:t>
      </w:r>
      <w:r>
        <w:rPr>
          <w:rFonts w:hint="eastAsia"/>
          <w:spacing w:val="-19"/>
          <w:lang w:eastAsia="zh-CN"/>
        </w:rPr>
        <w:t>、机关事业单位基本养老保险缴费、住房公积金、其他工资福利支出</w:t>
      </w:r>
      <w:r>
        <w:rPr>
          <w:spacing w:val="-19"/>
          <w:lang w:eastAsia="zh-CN"/>
        </w:rPr>
        <w:t>；公用经费</w:t>
      </w:r>
      <w:r>
        <w:rPr>
          <w:rFonts w:hint="eastAsia"/>
          <w:spacing w:val="-19"/>
          <w:lang w:val="en-US" w:eastAsia="zh-CN"/>
        </w:rPr>
        <w:t>6.15</w:t>
      </w:r>
      <w:r>
        <w:rPr>
          <w:spacing w:val="-19"/>
          <w:lang w:eastAsia="zh-CN"/>
        </w:rPr>
        <w:t>万</w:t>
      </w:r>
      <w:r>
        <w:rPr>
          <w:rFonts w:hint="eastAsia"/>
          <w:spacing w:val="-19"/>
          <w:lang w:eastAsia="zh-CN"/>
        </w:rPr>
        <w:t>元，</w:t>
      </w:r>
      <w:r>
        <w:rPr>
          <w:spacing w:val="-19"/>
          <w:lang w:eastAsia="zh-CN"/>
        </w:rPr>
        <w:t>主要包括</w:t>
      </w:r>
      <w:bookmarkStart w:id="13" w:name="七、政府性基金预算财政拨款支出决算情况说明"/>
      <w:bookmarkEnd w:id="13"/>
      <w:r>
        <w:rPr>
          <w:rFonts w:hint="eastAsia"/>
          <w:spacing w:val="-19"/>
          <w:lang w:eastAsia="zh-CN"/>
        </w:rPr>
        <w:t>：办公费、水费、电费、邮电费、差旅费、维修（护）费、劳务费、工会经费、其他商品和服务支出。</w:t>
      </w:r>
    </w:p>
    <w:p>
      <w:pPr>
        <w:pStyle w:val="4"/>
        <w:spacing w:before="181" w:line="345" w:lineRule="auto"/>
        <w:ind w:left="120" w:right="420" w:firstLine="640"/>
        <w:jc w:val="both"/>
        <w:rPr>
          <w:rFonts w:hint="eastAsia" w:ascii="黑体" w:eastAsia="黑体"/>
          <w:lang w:eastAsia="zh-CN"/>
        </w:rPr>
      </w:pPr>
      <w:r>
        <w:rPr>
          <w:rFonts w:hint="eastAsia" w:ascii="黑体" w:eastAsia="黑体"/>
          <w:lang w:eastAsia="zh-CN"/>
        </w:rPr>
        <w:t>七、政府性基金决算财政拨款支出决算情况说明</w:t>
      </w:r>
    </w:p>
    <w:p>
      <w:pPr>
        <w:pStyle w:val="4"/>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pPr>
        <w:pStyle w:val="4"/>
        <w:ind w:left="760"/>
        <w:rPr>
          <w:rFonts w:hint="eastAsia" w:ascii="黑体" w:eastAsia="黑体"/>
          <w:lang w:eastAsia="zh-CN"/>
        </w:rPr>
      </w:pPr>
      <w:r>
        <w:rPr>
          <w:rFonts w:hint="eastAsia" w:ascii="黑体" w:eastAsia="黑体"/>
          <w:lang w:eastAsia="zh-CN"/>
        </w:rPr>
        <w:t>八、国有资本经营决算财政拨款支出决算情况说明</w:t>
      </w:r>
    </w:p>
    <w:p>
      <w:pPr>
        <w:pStyle w:val="4"/>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pPr>
        <w:pStyle w:val="3"/>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pPr>
        <w:rPr>
          <w:rFonts w:hint="eastAsia"/>
          <w:lang w:eastAsia="zh-CN"/>
        </w:rPr>
        <w:sectPr>
          <w:pgSz w:w="11910" w:h="16840"/>
          <w:pgMar w:top="1540" w:right="1380" w:bottom="280" w:left="1680" w:header="720" w:footer="720" w:gutter="0"/>
          <w:cols w:space="720" w:num="1"/>
        </w:sectPr>
      </w:pPr>
    </w:p>
    <w:p>
      <w:pPr>
        <w:pStyle w:val="4"/>
        <w:spacing w:before="35" w:line="345" w:lineRule="auto"/>
        <w:ind w:left="120" w:right="259" w:firstLine="640"/>
        <w:rPr>
          <w:rFonts w:hint="eastAsia"/>
          <w:lang w:eastAsia="zh-CN"/>
        </w:rPr>
      </w:pPr>
      <w:r>
        <w:rPr>
          <w:rFonts w:hint="eastAsia"/>
          <w:lang w:eastAsia="zh-CN"/>
        </w:rPr>
        <w:t>2023</w:t>
      </w:r>
      <w:r>
        <w:rPr>
          <w:spacing w:val="-19"/>
          <w:lang w:eastAsia="zh-CN"/>
        </w:rPr>
        <w:t>年度“三公”经费财政拨款</w:t>
      </w:r>
      <w:r>
        <w:rPr>
          <w:rFonts w:hint="eastAsia"/>
          <w:spacing w:val="-19"/>
          <w:lang w:eastAsia="zh-CN"/>
        </w:rPr>
        <w:t>年初预算</w:t>
      </w:r>
      <w:r>
        <w:rPr>
          <w:spacing w:val="-19"/>
          <w:lang w:eastAsia="zh-CN"/>
        </w:rPr>
        <w:t>为</w:t>
      </w:r>
      <w:r>
        <w:rPr>
          <w:rFonts w:hint="eastAsia"/>
          <w:lang w:eastAsia="zh-CN"/>
        </w:rPr>
        <w:t>0.00</w:t>
      </w:r>
      <w:r>
        <w:rPr>
          <w:spacing w:val="-21"/>
          <w:lang w:eastAsia="zh-CN"/>
        </w:rPr>
        <w:t>万元，</w:t>
      </w:r>
      <w:r>
        <w:rPr>
          <w:spacing w:val="-32"/>
          <w:lang w:eastAsia="zh-CN"/>
        </w:rPr>
        <w:t>支出决算为</w:t>
      </w:r>
      <w:r>
        <w:rPr>
          <w:rFonts w:hint="eastAsia"/>
          <w:lang w:eastAsia="zh-CN"/>
        </w:rPr>
        <w:t>0.00</w:t>
      </w:r>
      <w:r>
        <w:rPr>
          <w:spacing w:val="-25"/>
          <w:lang w:eastAsia="zh-CN"/>
        </w:rPr>
        <w:t>万元，完成决算的</w:t>
      </w:r>
      <w:r>
        <w:rPr>
          <w:lang w:eastAsia="zh-CN"/>
        </w:rPr>
        <w:t>100.00%</w:t>
      </w:r>
      <w:r>
        <w:rPr>
          <w:spacing w:val="-55"/>
          <w:lang w:eastAsia="zh-CN"/>
        </w:rPr>
        <w:t>。</w:t>
      </w:r>
      <w:r>
        <w:rPr>
          <w:rFonts w:hint="eastAsia"/>
          <w:lang w:eastAsia="zh-CN"/>
        </w:rPr>
        <w:t>2023</w:t>
      </w:r>
      <w:r>
        <w:rPr>
          <w:spacing w:val="-29"/>
          <w:lang w:eastAsia="zh-CN"/>
        </w:rPr>
        <w:t>年度“三公”经费支出决算数与决算数不存在差异。</w:t>
      </w:r>
    </w:p>
    <w:p>
      <w:pPr>
        <w:pStyle w:val="3"/>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pPr>
        <w:pStyle w:val="4"/>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万元，完成决算的</w:t>
      </w:r>
      <w:r>
        <w:rPr>
          <w:spacing w:val="1"/>
          <w:w w:val="99"/>
          <w:lang w:eastAsia="zh-CN"/>
        </w:rPr>
        <w:t>0.</w:t>
      </w:r>
      <w:r>
        <w:rPr>
          <w:spacing w:val="-2"/>
          <w:w w:val="99"/>
          <w:lang w:eastAsia="zh-CN"/>
        </w:rPr>
        <w:t>0</w:t>
      </w:r>
      <w:r>
        <w:rPr>
          <w:spacing w:val="1"/>
          <w:w w:val="99"/>
          <w:lang w:eastAsia="zh-CN"/>
        </w:rPr>
        <w:t>0</w:t>
      </w:r>
      <w:r>
        <w:rPr>
          <w:spacing w:val="-48"/>
          <w:w w:val="99"/>
          <w:lang w:eastAsia="zh-CN"/>
        </w:rPr>
        <w:t>%，占</w:t>
      </w:r>
      <w:r>
        <w:rPr>
          <w:spacing w:val="1"/>
          <w:w w:val="99"/>
          <w:lang w:eastAsia="zh-CN"/>
        </w:rPr>
        <w:t>0.</w:t>
      </w:r>
      <w:r>
        <w:rPr>
          <w:spacing w:val="-2"/>
          <w:w w:val="99"/>
          <w:lang w:eastAsia="zh-CN"/>
        </w:rPr>
        <w:t>0</w:t>
      </w:r>
      <w:r>
        <w:rPr>
          <w:spacing w:val="1"/>
          <w:w w:val="99"/>
          <w:lang w:eastAsia="zh-CN"/>
        </w:rPr>
        <w:t>0</w:t>
      </w:r>
      <w:r>
        <w:rPr>
          <w:spacing w:val="-1"/>
          <w:w w:val="99"/>
          <w:lang w:eastAsia="zh-CN"/>
        </w:rPr>
        <w:t>%；</w:t>
      </w:r>
      <w:r>
        <w:rPr>
          <w:spacing w:val="13"/>
          <w:lang w:eastAsia="zh-CN"/>
        </w:rPr>
        <w:t>公务用车购置及运行费支出决算</w:t>
      </w:r>
      <w:r>
        <w:rPr>
          <w:lang w:eastAsia="zh-CN"/>
        </w:rPr>
        <w:t>0.</w:t>
      </w:r>
      <w:r>
        <w:rPr>
          <w:rFonts w:hint="eastAsia"/>
          <w:lang w:eastAsia="zh-CN"/>
        </w:rPr>
        <w:t>00</w:t>
      </w:r>
      <w:r>
        <w:rPr>
          <w:spacing w:val="8"/>
          <w:lang w:eastAsia="zh-CN"/>
        </w:rPr>
        <w:t>万元</w:t>
      </w:r>
      <w:r>
        <w:rPr>
          <w:spacing w:val="-10"/>
          <w:lang w:eastAsia="zh-CN"/>
        </w:rPr>
        <w:t>；公务接待费支出决算</w:t>
      </w:r>
      <w:r>
        <w:rPr>
          <w:rFonts w:hint="eastAsia"/>
          <w:spacing w:val="-10"/>
          <w:lang w:val="en-US" w:eastAsia="zh-CN"/>
        </w:rPr>
        <w:t>1.17</w:t>
      </w:r>
      <w:r>
        <w:rPr>
          <w:spacing w:val="-20"/>
          <w:lang w:eastAsia="zh-CN"/>
        </w:rPr>
        <w:t>万元，完成</w:t>
      </w:r>
      <w:r>
        <w:rPr>
          <w:spacing w:val="-36"/>
          <w:lang w:eastAsia="zh-CN"/>
        </w:rPr>
        <w:t>决算的</w:t>
      </w:r>
      <w:r>
        <w:rPr>
          <w:lang w:eastAsia="zh-CN"/>
        </w:rPr>
        <w:t>100.00</w:t>
      </w:r>
      <w:r>
        <w:rPr>
          <w:spacing w:val="-20"/>
          <w:lang w:eastAsia="zh-CN"/>
        </w:rPr>
        <w:t>%，占</w:t>
      </w:r>
      <w:r>
        <w:rPr>
          <w:rFonts w:hint="eastAsia"/>
          <w:lang w:eastAsia="zh-CN"/>
        </w:rPr>
        <w:t>100.00</w:t>
      </w:r>
      <w:r>
        <w:rPr>
          <w:lang w:eastAsia="zh-CN"/>
        </w:rPr>
        <w:t>%。具体情况如下：</w:t>
      </w:r>
    </w:p>
    <w:p>
      <w:pPr>
        <w:pStyle w:val="11"/>
        <w:tabs>
          <w:tab w:val="left" w:pos="1242"/>
        </w:tabs>
        <w:spacing w:line="345" w:lineRule="auto"/>
        <w:ind w:left="0" w:right="418" w:firstLine="535" w:firstLineChars="200"/>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决算为</w:t>
      </w:r>
      <w:r>
        <w:rPr>
          <w:sz w:val="32"/>
          <w:lang w:eastAsia="zh-CN"/>
        </w:rPr>
        <w:t>0.00</w:t>
      </w:r>
      <w:r>
        <w:rPr>
          <w:spacing w:val="-24"/>
          <w:sz w:val="32"/>
          <w:lang w:eastAsia="zh-CN"/>
        </w:rPr>
        <w:t>万元，支出决算为0.00</w:t>
      </w:r>
      <w:r>
        <w:rPr>
          <w:spacing w:val="-10"/>
          <w:sz w:val="32"/>
          <w:lang w:eastAsia="zh-CN"/>
        </w:rPr>
        <w:t>万元，完成决算的</w:t>
      </w:r>
      <w:r>
        <w:rPr>
          <w:sz w:val="32"/>
          <w:lang w:eastAsia="zh-CN"/>
        </w:rPr>
        <w:t>0.00%。决算数与决算数不存在差异。全年因公出国（境）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pPr>
        <w:pStyle w:val="11"/>
        <w:tabs>
          <w:tab w:val="left" w:pos="1242"/>
        </w:tabs>
        <w:spacing w:line="345" w:lineRule="auto"/>
        <w:ind w:left="0" w:right="420" w:firstLine="643" w:firstLineChars="200"/>
        <w:rPr>
          <w:rFonts w:hint="eastAsia"/>
          <w:sz w:val="32"/>
          <w:lang w:eastAsia="zh-CN"/>
        </w:rPr>
      </w:pPr>
      <w:r>
        <w:rPr>
          <w:rFonts w:hint="eastAsia"/>
          <w:b/>
          <w:sz w:val="32"/>
          <w:lang w:eastAsia="zh-CN"/>
        </w:rPr>
        <w:t>2、</w:t>
      </w:r>
      <w:r>
        <w:rPr>
          <w:b/>
          <w:sz w:val="32"/>
          <w:lang w:eastAsia="zh-CN"/>
        </w:rPr>
        <w:t>公务用车购置及运行费</w:t>
      </w:r>
      <w:r>
        <w:rPr>
          <w:spacing w:val="-22"/>
          <w:sz w:val="32"/>
          <w:lang w:eastAsia="zh-CN"/>
        </w:rPr>
        <w:t>决算为</w:t>
      </w:r>
      <w:r>
        <w:rPr>
          <w:sz w:val="32"/>
          <w:lang w:eastAsia="zh-CN"/>
        </w:rPr>
        <w:t>0.</w:t>
      </w:r>
      <w:r>
        <w:rPr>
          <w:rFonts w:hint="eastAsia"/>
          <w:sz w:val="32"/>
          <w:lang w:eastAsia="zh-CN"/>
        </w:rPr>
        <w:t>00</w:t>
      </w:r>
      <w:r>
        <w:rPr>
          <w:spacing w:val="-14"/>
          <w:sz w:val="32"/>
          <w:lang w:eastAsia="zh-CN"/>
        </w:rPr>
        <w:t>万元</w:t>
      </w:r>
      <w:r>
        <w:rPr>
          <w:rFonts w:hint="eastAsia"/>
          <w:spacing w:val="-14"/>
          <w:sz w:val="32"/>
          <w:lang w:eastAsia="zh-CN"/>
        </w:rPr>
        <w:t>。</w:t>
      </w:r>
      <w:r>
        <w:rPr>
          <w:spacing w:val="-7"/>
          <w:sz w:val="32"/>
          <w:lang w:eastAsia="zh-CN"/>
        </w:rPr>
        <w:t>其中：</w:t>
      </w:r>
    </w:p>
    <w:p>
      <w:pPr>
        <w:spacing w:line="408" w:lineRule="exact"/>
        <w:ind w:firstLine="643" w:firstLineChars="200"/>
        <w:jc w:val="both"/>
        <w:rPr>
          <w:rFonts w:hint="eastAsia" w:ascii="仿宋" w:eastAsia="仿宋"/>
          <w:sz w:val="32"/>
          <w:lang w:eastAsia="zh-CN"/>
        </w:rPr>
      </w:pPr>
      <w:r>
        <w:rPr>
          <w:rFonts w:hint="eastAsia" w:ascii="仿宋" w:eastAsia="仿宋"/>
          <w:b/>
          <w:sz w:val="32"/>
          <w:lang w:eastAsia="zh-CN"/>
        </w:rPr>
        <w:t>公务用车购置支出</w:t>
      </w:r>
      <w:r>
        <w:rPr>
          <w:rFonts w:hint="eastAsia" w:ascii="仿宋" w:eastAsia="仿宋"/>
          <w:sz w:val="32"/>
          <w:lang w:eastAsia="zh-CN"/>
        </w:rPr>
        <w:t>0.00万元，购置车辆0台。</w:t>
      </w:r>
    </w:p>
    <w:p>
      <w:pPr>
        <w:spacing w:before="178" w:line="345" w:lineRule="auto"/>
        <w:ind w:right="420" w:firstLine="623" w:firstLineChars="200"/>
        <w:rPr>
          <w:rFonts w:hint="eastAsia" w:ascii="仿宋" w:eastAsia="仿宋"/>
          <w:sz w:val="32"/>
          <w:lang w:eastAsia="zh-CN"/>
        </w:rPr>
      </w:pPr>
      <w:r>
        <w:rPr>
          <w:rFonts w:hint="eastAsia" w:ascii="仿宋" w:eastAsia="仿宋"/>
          <w:b/>
          <w:spacing w:val="-5"/>
          <w:sz w:val="32"/>
          <w:lang w:eastAsia="zh-CN"/>
        </w:rPr>
        <w:t>公务用车运行维护支出</w:t>
      </w:r>
      <w:r>
        <w:rPr>
          <w:rFonts w:hint="eastAsia" w:ascii="仿宋" w:eastAsia="仿宋"/>
          <w:sz w:val="32"/>
          <w:lang w:eastAsia="zh-CN"/>
        </w:rPr>
        <w:t>0.00</w:t>
      </w:r>
      <w:r>
        <w:rPr>
          <w:rFonts w:hint="eastAsia" w:ascii="仿宋" w:eastAsia="仿宋"/>
          <w:spacing w:val="-20"/>
          <w:sz w:val="32"/>
          <w:lang w:eastAsia="zh-CN"/>
        </w:rPr>
        <w:t>万元。</w:t>
      </w:r>
      <w:r>
        <w:rPr>
          <w:rFonts w:hint="eastAsia" w:ascii="仿宋" w:eastAsia="仿宋"/>
          <w:sz w:val="32"/>
          <w:lang w:eastAsia="zh-CN"/>
        </w:rPr>
        <w:t>2023</w:t>
      </w:r>
      <w:r>
        <w:rPr>
          <w:rFonts w:hint="eastAsia" w:ascii="仿宋" w:eastAsia="仿宋"/>
          <w:spacing w:val="-12"/>
          <w:sz w:val="32"/>
          <w:lang w:eastAsia="zh-CN"/>
        </w:rPr>
        <w:t>年期末，单位</w:t>
      </w:r>
      <w:r>
        <w:rPr>
          <w:rFonts w:hint="eastAsia" w:ascii="仿宋" w:eastAsia="仿宋"/>
          <w:spacing w:val="-17"/>
          <w:sz w:val="32"/>
          <w:lang w:eastAsia="zh-CN"/>
        </w:rPr>
        <w:t>开支财政拨款的公务用车保有量为</w:t>
      </w:r>
      <w:r>
        <w:rPr>
          <w:rFonts w:hint="eastAsia" w:ascii="仿宋" w:eastAsia="仿宋"/>
          <w:sz w:val="32"/>
          <w:lang w:eastAsia="zh-CN"/>
        </w:rPr>
        <w:t>0</w:t>
      </w:r>
      <w:r>
        <w:rPr>
          <w:rFonts w:hint="eastAsia" w:ascii="仿宋" w:eastAsia="仿宋"/>
          <w:spacing w:val="-27"/>
          <w:sz w:val="32"/>
          <w:lang w:eastAsia="zh-CN"/>
        </w:rPr>
        <w:t>辆。</w:t>
      </w:r>
    </w:p>
    <w:p>
      <w:pPr>
        <w:pStyle w:val="11"/>
        <w:tabs>
          <w:tab w:val="left" w:pos="1083"/>
        </w:tabs>
        <w:spacing w:line="344" w:lineRule="auto"/>
        <w:ind w:left="0" w:right="261" w:firstLine="643" w:firstLineChars="200"/>
        <w:jc w:val="left"/>
        <w:rPr>
          <w:rFonts w:hint="eastAsia"/>
          <w:sz w:val="32"/>
          <w:lang w:eastAsia="zh-CN"/>
        </w:rPr>
      </w:pPr>
      <w:r>
        <w:rPr>
          <w:rFonts w:hint="eastAsia"/>
          <w:b/>
          <w:sz w:val="32"/>
          <w:lang w:eastAsia="zh-CN"/>
        </w:rPr>
        <w:t>3、</w:t>
      </w:r>
      <w:r>
        <w:rPr>
          <w:b/>
          <w:sz w:val="32"/>
          <w:lang w:eastAsia="zh-CN"/>
        </w:rPr>
        <w:t>公务接待费</w:t>
      </w:r>
      <w:r>
        <w:rPr>
          <w:spacing w:val="-23"/>
          <w:sz w:val="32"/>
          <w:lang w:eastAsia="zh-CN"/>
        </w:rPr>
        <w:t>决算为</w:t>
      </w:r>
      <w:r>
        <w:rPr>
          <w:rFonts w:hint="eastAsia"/>
          <w:spacing w:val="-23"/>
          <w:sz w:val="32"/>
          <w:lang w:val="en-US" w:eastAsia="zh-CN"/>
        </w:rPr>
        <w:t>1.17</w:t>
      </w:r>
      <w:r>
        <w:rPr>
          <w:spacing w:val="-36"/>
          <w:sz w:val="32"/>
          <w:lang w:eastAsia="zh-CN"/>
        </w:rPr>
        <w:t>万元，支出决算为</w:t>
      </w:r>
      <w:r>
        <w:rPr>
          <w:rFonts w:hint="eastAsia"/>
          <w:spacing w:val="-36"/>
          <w:sz w:val="32"/>
          <w:lang w:val="en-US" w:eastAsia="zh-CN"/>
        </w:rPr>
        <w:t>1.17</w:t>
      </w:r>
      <w:r>
        <w:rPr>
          <w:spacing w:val="-24"/>
          <w:sz w:val="32"/>
          <w:lang w:eastAsia="zh-CN"/>
        </w:rPr>
        <w:t>万元，</w:t>
      </w:r>
      <w:r>
        <w:rPr>
          <w:spacing w:val="-34"/>
          <w:sz w:val="32"/>
          <w:lang w:eastAsia="zh-CN"/>
        </w:rPr>
        <w:t>完成决算的</w:t>
      </w:r>
      <w:r>
        <w:rPr>
          <w:sz w:val="32"/>
          <w:lang w:eastAsia="zh-CN"/>
        </w:rPr>
        <w:t>100.00%。决算数与决算数不存在差异。其中：</w:t>
      </w:r>
    </w:p>
    <w:p>
      <w:pPr>
        <w:pStyle w:val="4"/>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pPr>
        <w:spacing w:before="35"/>
        <w:ind w:left="760"/>
        <w:rPr>
          <w:rFonts w:hint="eastAsia" w:ascii="仿宋" w:eastAsia="仿宋"/>
          <w:sz w:val="32"/>
          <w:lang w:eastAsia="zh-CN"/>
        </w:rPr>
      </w:pPr>
      <w:r>
        <w:rPr>
          <w:rFonts w:hint="eastAsia" w:ascii="仿宋" w:eastAsia="仿宋"/>
          <w:b/>
          <w:sz w:val="32"/>
          <w:lang w:eastAsia="zh-CN"/>
        </w:rPr>
        <w:t>其他国内公务接待支出</w:t>
      </w:r>
      <w:r>
        <w:rPr>
          <w:rFonts w:hint="eastAsia"/>
          <w:sz w:val="32"/>
          <w:lang w:val="en-US" w:eastAsia="zh-CN"/>
        </w:rPr>
        <w:t>0</w:t>
      </w:r>
      <w:r>
        <w:rPr>
          <w:rFonts w:hint="eastAsia" w:ascii="仿宋" w:eastAsia="仿宋"/>
          <w:sz w:val="32"/>
          <w:lang w:eastAsia="zh-CN"/>
        </w:rPr>
        <w:t>万元。主要用于国内公务</w:t>
      </w:r>
    </w:p>
    <w:p>
      <w:pPr>
        <w:pStyle w:val="4"/>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spacing w:val="-17"/>
          <w:lang w:val="en-US" w:eastAsia="zh-CN"/>
        </w:rPr>
        <w:t>0</w:t>
      </w:r>
      <w:r>
        <w:rPr>
          <w:spacing w:val="-42"/>
          <w:lang w:eastAsia="zh-CN"/>
        </w:rPr>
        <w:t>个、来宾</w:t>
      </w:r>
      <w:r>
        <w:rPr>
          <w:rFonts w:hint="eastAsia"/>
          <w:spacing w:val="-42"/>
          <w:lang w:val="en-US" w:eastAsia="zh-CN"/>
        </w:rPr>
        <w:t>0</w:t>
      </w:r>
      <w:r>
        <w:rPr>
          <w:spacing w:val="-56"/>
          <w:lang w:eastAsia="zh-CN"/>
        </w:rPr>
        <w:t>人次</w:t>
      </w:r>
      <w:r>
        <w:rPr>
          <w:lang w:eastAsia="zh-CN"/>
        </w:rPr>
        <w:t>（不包括陪同人员</w:t>
      </w:r>
      <w:r>
        <w:rPr>
          <w:spacing w:val="-159"/>
          <w:lang w:eastAsia="zh-CN"/>
        </w:rPr>
        <w:t>）</w:t>
      </w:r>
      <w:r>
        <w:rPr>
          <w:lang w:eastAsia="zh-CN"/>
        </w:rPr>
        <w:t>。</w:t>
      </w:r>
    </w:p>
    <w:p>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pPr>
        <w:pStyle w:val="4"/>
        <w:spacing w:before="178" w:line="360" w:lineRule="auto"/>
        <w:ind w:right="420" w:firstLine="640" w:firstLineChars="200"/>
        <w:jc w:val="both"/>
        <w:rPr>
          <w:rFonts w:hint="eastAsia"/>
          <w:lang w:eastAsia="zh-CN"/>
        </w:rPr>
      </w:pPr>
      <w:bookmarkStart w:id="18" w:name="十一、政府采购支出情况说明"/>
      <w:bookmarkEnd w:id="18"/>
      <w:r>
        <w:rPr>
          <w:rFonts w:hint="eastAsia"/>
          <w:lang w:eastAsia="zh-CN"/>
        </w:rPr>
        <w:t>信阳市平桥区龙井乡财税所2023年机构运转经费支出决算</w:t>
      </w:r>
      <w:r>
        <w:rPr>
          <w:rFonts w:hint="eastAsia"/>
          <w:lang w:val="en-US" w:eastAsia="zh-CN"/>
        </w:rPr>
        <w:t>6.15</w:t>
      </w:r>
      <w:bookmarkStart w:id="26" w:name="_GoBack"/>
      <w:bookmarkEnd w:id="26"/>
      <w:r>
        <w:rPr>
          <w:rFonts w:hint="eastAsia"/>
          <w:lang w:eastAsia="zh-CN"/>
        </w:rPr>
        <w:t>万元，主要保障机构正常运转及正常履职需要所需支出，包含公用经费、公务交通补贴、工会经费、职工福利费等。</w:t>
      </w:r>
    </w:p>
    <w:p>
      <w:pPr>
        <w:pStyle w:val="4"/>
        <w:ind w:left="760"/>
        <w:rPr>
          <w:rFonts w:hint="eastAsia" w:ascii="黑体" w:eastAsia="黑体"/>
          <w:lang w:eastAsia="zh-CN"/>
        </w:rPr>
      </w:pPr>
      <w:r>
        <w:rPr>
          <w:rFonts w:hint="eastAsia" w:ascii="黑体" w:eastAsia="黑体"/>
          <w:lang w:eastAsia="zh-CN"/>
        </w:rPr>
        <w:t>十一、政府采购支出情况说明</w:t>
      </w:r>
    </w:p>
    <w:p>
      <w:pPr>
        <w:pStyle w:val="4"/>
        <w:spacing w:before="178" w:line="360" w:lineRule="auto"/>
        <w:ind w:right="420" w:firstLine="640" w:firstLineChars="200"/>
        <w:jc w:val="both"/>
        <w:rPr>
          <w:rFonts w:hint="eastAsia"/>
          <w:lang w:eastAsia="zh-CN"/>
        </w:rPr>
      </w:pPr>
      <w:bookmarkStart w:id="19" w:name="2022_年度政府采购支出总额53.50万元，其中：政府采购货物支出53.50万"/>
      <w:bookmarkEnd w:id="19"/>
      <w:r>
        <w:rPr>
          <w:rFonts w:hint="eastAsia"/>
          <w:lang w:eastAsia="zh-CN"/>
        </w:rPr>
        <w:t>2023</w:t>
      </w:r>
      <w:r>
        <w:rPr>
          <w:spacing w:val="-4"/>
          <w:lang w:eastAsia="zh-CN"/>
        </w:rPr>
        <w:t>年度政府采购支出总额</w:t>
      </w:r>
      <w:r>
        <w:rPr>
          <w:rFonts w:hint="eastAsia"/>
          <w:spacing w:val="-4"/>
          <w:lang w:eastAsia="zh-CN"/>
        </w:rPr>
        <w:t>0.00</w:t>
      </w:r>
      <w:r>
        <w:rPr>
          <w:spacing w:val="-4"/>
          <w:lang w:eastAsia="zh-CN"/>
        </w:rPr>
        <w:t>万元，其中：政府</w:t>
      </w:r>
      <w:r>
        <w:rPr>
          <w:spacing w:val="-8"/>
          <w:lang w:eastAsia="zh-CN"/>
        </w:rPr>
        <w:t>采购货物支出</w:t>
      </w:r>
      <w:r>
        <w:rPr>
          <w:rFonts w:hint="eastAsia"/>
          <w:spacing w:val="-4"/>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Pr>
          <w:lang w:eastAsia="zh-CN"/>
        </w:rPr>
        <w:t>0.00</w:t>
      </w:r>
      <w:r>
        <w:rPr>
          <w:spacing w:val="-13"/>
          <w:lang w:eastAsia="zh-CN"/>
        </w:rPr>
        <w:t>万元，占政府采购支出总额的</w:t>
      </w:r>
      <w:r>
        <w:rPr>
          <w:lang w:eastAsia="zh-CN"/>
        </w:rPr>
        <w:t>0.00%</w:t>
      </w:r>
      <w:r>
        <w:rPr>
          <w:spacing w:val="-7"/>
          <w:lang w:eastAsia="zh-CN"/>
        </w:rPr>
        <w:t>,其中：授予小微企业合</w:t>
      </w:r>
      <w:r>
        <w:rPr>
          <w:spacing w:val="-26"/>
          <w:lang w:eastAsia="zh-CN"/>
        </w:rPr>
        <w:t>同金额</w:t>
      </w:r>
      <w:r>
        <w:rPr>
          <w:lang w:eastAsia="zh-CN"/>
        </w:rPr>
        <w:t>0.00</w:t>
      </w:r>
      <w:r>
        <w:rPr>
          <w:spacing w:val="-15"/>
          <w:lang w:eastAsia="zh-CN"/>
        </w:rPr>
        <w:t>万元，占政府采购支出总额的</w:t>
      </w:r>
      <w:r>
        <w:rPr>
          <w:lang w:eastAsia="zh-CN"/>
        </w:rPr>
        <w:t>0.00%。</w:t>
      </w:r>
    </w:p>
    <w:p>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pPr>
        <w:pStyle w:val="4"/>
        <w:spacing w:before="180" w:line="360" w:lineRule="auto"/>
        <w:ind w:right="403" w:firstLine="576" w:firstLineChars="200"/>
        <w:jc w:val="both"/>
        <w:rPr>
          <w:rFonts w:hint="eastAsia"/>
          <w:spacing w:val="-16"/>
          <w:lang w:eastAsia="zh-CN"/>
        </w:rPr>
      </w:pPr>
      <w:r>
        <w:rPr>
          <w:rFonts w:hint="eastAsia"/>
          <w:spacing w:val="-16"/>
          <w:lang w:eastAsia="zh-CN"/>
        </w:rPr>
        <w:t>2023</w:t>
      </w:r>
      <w:r>
        <w:rPr>
          <w:spacing w:val="-16"/>
          <w:lang w:eastAsia="zh-CN"/>
        </w:rPr>
        <w:t>年期末，我单位共有车辆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辆，其他用车主要是公务用车；单位价值50万元（含）以上通用设备0台（套），单位价值100万元（含）以上专用设备0台（套）。</w:t>
      </w:r>
    </w:p>
    <w:p>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十三、决算绩效情况说明</w:t>
      </w:r>
    </w:p>
    <w:p>
      <w:pPr>
        <w:pStyle w:val="3"/>
        <w:spacing w:line="360" w:lineRule="auto"/>
        <w:rPr>
          <w:rFonts w:hint="eastAsia"/>
          <w:lang w:eastAsia="zh-CN"/>
        </w:rPr>
      </w:pPr>
      <w:bookmarkStart w:id="22" w:name="（一）绩效管理工作开展情况。"/>
      <w:bookmarkEnd w:id="22"/>
      <w:r>
        <w:rPr>
          <w:lang w:eastAsia="zh-CN"/>
        </w:rPr>
        <w:t>（一）绩效管理工作开展情况。</w:t>
      </w:r>
    </w:p>
    <w:p>
      <w:pPr>
        <w:widowControl/>
        <w:spacing w:line="360" w:lineRule="auto"/>
        <w:ind w:firstLine="576" w:firstLineChars="200"/>
        <w:rPr>
          <w:rFonts w:hint="eastAsia" w:ascii="仿宋" w:hAnsi="仿宋" w:eastAsia="仿宋" w:cs="仿宋"/>
          <w:spacing w:val="-16"/>
          <w:sz w:val="32"/>
          <w:szCs w:val="32"/>
          <w:lang w:eastAsia="zh-CN"/>
        </w:rPr>
      </w:pPr>
      <w:bookmarkStart w:id="23" w:name="（二）项目绩效自评结果。"/>
      <w:bookmarkEnd w:id="23"/>
      <w:r>
        <w:rPr>
          <w:rFonts w:hint="eastAsia" w:ascii="仿宋" w:hAnsi="仿宋" w:eastAsia="仿宋" w:cs="仿宋"/>
          <w:spacing w:val="-16"/>
          <w:sz w:val="32"/>
          <w:szCs w:val="32"/>
          <w:lang w:eastAsia="zh-CN"/>
        </w:rPr>
        <w:t xml:space="preserve">我单位2023年开展的各项项目均按相关规定及要求填写绩效 </w:t>
      </w:r>
    </w:p>
    <w:p>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目标，在项目开展过程中实时监控并在年中时期针对开展的所有 项目进行了绩效监控管理工作，在年底对所有开展的项目进行了 </w:t>
      </w:r>
    </w:p>
    <w:p>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绩效评价工作，在开展的相关工作中产生的相关问题积极进行汇 </w:t>
      </w:r>
    </w:p>
    <w:p>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总总结相关经验，为更好的开展后续工作做好铺垫工作。</w:t>
      </w:r>
    </w:p>
    <w:p>
      <w:pPr>
        <w:pStyle w:val="3"/>
        <w:numPr>
          <w:ilvl w:val="0"/>
          <w:numId w:val="1"/>
        </w:numPr>
        <w:spacing w:before="47" w:line="346" w:lineRule="auto"/>
        <w:rPr>
          <w:rFonts w:hint="eastAsia"/>
        </w:rPr>
      </w:pPr>
      <w:r>
        <w:t>项目绩效自评结果。</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通过科学、规范的方法，基于项目的决算执行情况、目标实现程度等，我单位2023年度1个项目支出绩效自评中，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个项目自评等级为优，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个项目自评等级为良，0个项目自评等级为中，0个 项目自评等级为差。 </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从自评情况看，项目支出绩效管理的重视程度进一步提升， </w:t>
      </w:r>
    </w:p>
    <w:p>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大部分项目有序开展，执行和完成情况较好，资金使用比较规范。2023年度部分决算项目单位自评汇总表详见“第五部分附 </w:t>
      </w:r>
    </w:p>
    <w:p>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件”。</w:t>
      </w:r>
    </w:p>
    <w:p>
      <w:pPr>
        <w:pStyle w:val="3"/>
        <w:spacing w:before="45"/>
        <w:rPr>
          <w:rFonts w:hint="eastAsia"/>
          <w:lang w:eastAsia="zh-CN"/>
        </w:rPr>
      </w:pPr>
      <w:bookmarkStart w:id="24" w:name="（三）重点绩效评价结果。"/>
      <w:bookmarkEnd w:id="24"/>
      <w:r>
        <w:rPr>
          <w:lang w:eastAsia="zh-CN"/>
        </w:rPr>
        <w:t>（三）重点绩效评价结果。</w:t>
      </w:r>
    </w:p>
    <w:p>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pPr>
        <w:rPr>
          <w:rFonts w:hint="eastAsia"/>
          <w:lang w:eastAsia="zh-CN"/>
        </w:rPr>
        <w:sectPr>
          <w:pgSz w:w="11910" w:h="16840"/>
          <w:pgMar w:top="1500" w:right="1380" w:bottom="280" w:left="1680" w:header="720" w:footer="720" w:gutter="0"/>
          <w:cols w:space="720" w:num="1"/>
        </w:sectPr>
      </w:pPr>
    </w:p>
    <w:p>
      <w:pPr>
        <w:pStyle w:val="4"/>
        <w:rPr>
          <w:rFonts w:hint="eastAsia"/>
          <w:sz w:val="20"/>
          <w:lang w:eastAsia="zh-CN"/>
        </w:rPr>
      </w:pPr>
    </w:p>
    <w:p>
      <w:pPr>
        <w:pStyle w:val="4"/>
        <w:spacing w:before="2"/>
        <w:rPr>
          <w:rFonts w:hint="eastAsia"/>
          <w:sz w:val="15"/>
          <w:lang w:eastAsia="zh-CN"/>
        </w:rPr>
      </w:pPr>
    </w:p>
    <w:p>
      <w:pPr>
        <w:pStyle w:val="2"/>
        <w:tabs>
          <w:tab w:val="left" w:pos="2399"/>
        </w:tabs>
        <w:spacing w:before="33"/>
        <w:ind w:right="242"/>
        <w:jc w:val="center"/>
        <w:rPr>
          <w:rFonts w:hint="eastAsia"/>
          <w:lang w:eastAsia="zh-CN"/>
        </w:rPr>
      </w:pPr>
      <w:bookmarkStart w:id="25" w:name="第四部分__名词解释"/>
      <w:bookmarkEnd w:id="25"/>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p>
    <w:p>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pPr>
        <w:jc w:val="center"/>
        <w:rPr>
          <w:rFonts w:hint="eastAsia"/>
          <w:lang w:eastAsia="zh-CN"/>
        </w:rPr>
        <w:sectPr>
          <w:pgSz w:w="11910" w:h="16840"/>
          <w:pgMar w:top="1580" w:right="1380" w:bottom="280" w:left="1680" w:header="720" w:footer="720" w:gutter="0"/>
          <w:cols w:space="720" w:num="1"/>
        </w:sectPr>
      </w:pPr>
    </w:p>
    <w:p>
      <w:pPr>
        <w:pStyle w:val="4"/>
        <w:spacing w:before="35" w:line="343" w:lineRule="auto"/>
        <w:ind w:left="120" w:right="373" w:firstLine="640"/>
        <w:rPr>
          <w:rFonts w:hint="eastAsia"/>
          <w:lang w:eastAsia="zh-CN"/>
        </w:rPr>
      </w:pPr>
      <w:r>
        <w:rPr>
          <w:lang w:eastAsia="zh-CN"/>
        </w:rPr>
        <w:t>一、财政拨款收入：单位从同级政府财政部门取得的财政决算资金。</w:t>
      </w:r>
    </w:p>
    <w:p>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pPr>
        <w:pStyle w:val="4"/>
        <w:spacing w:line="345" w:lineRule="auto"/>
        <w:ind w:left="120" w:right="259" w:firstLine="640"/>
        <w:rPr>
          <w:rFonts w:hint="eastAsia"/>
          <w:lang w:eastAsia="zh-CN"/>
        </w:rPr>
      </w:pPr>
      <w:r>
        <w:rPr>
          <w:spacing w:val="-18"/>
          <w:lang w:eastAsia="zh-CN"/>
        </w:rPr>
        <w:t>六、其他收入：单位取得的除“财政拨款收入”、“事业</w:t>
      </w:r>
      <w:r>
        <w:rPr>
          <w:spacing w:val="-47"/>
          <w:w w:val="95"/>
          <w:lang w:eastAsia="zh-CN"/>
        </w:rPr>
        <w:t>收入”、“上级补助收入”、“附属单位上缴收入”</w:t>
      </w:r>
      <w:r>
        <w:rPr>
          <w:spacing w:val="-32"/>
          <w:w w:val="95"/>
          <w:lang w:eastAsia="zh-CN"/>
        </w:rPr>
        <w:t>、“经营收入”</w:t>
      </w:r>
      <w:r>
        <w:rPr>
          <w:spacing w:val="-32"/>
          <w:lang w:eastAsia="zh-CN"/>
        </w:rPr>
        <w:t>以外的各项收入。</w:t>
      </w:r>
    </w:p>
    <w:p>
      <w:pPr>
        <w:pStyle w:val="4"/>
        <w:spacing w:line="345" w:lineRule="auto"/>
        <w:ind w:left="120" w:right="373" w:firstLine="640"/>
        <w:rPr>
          <w:rFonts w:hint="eastAsia"/>
          <w:lang w:eastAsia="zh-CN"/>
        </w:rPr>
      </w:pPr>
      <w:r>
        <w:rPr>
          <w:lang w:eastAsia="zh-CN"/>
        </w:rPr>
        <w:t>七、使用非财政拨款结余：指事业单位使用以前年度积累的非财政拨款结余弥补当年收支差额的金额。</w:t>
      </w:r>
    </w:p>
    <w:p>
      <w:pPr>
        <w:pStyle w:val="4"/>
        <w:spacing w:line="345" w:lineRule="auto"/>
        <w:ind w:left="120" w:right="420" w:firstLine="640"/>
        <w:jc w:val="both"/>
        <w:rPr>
          <w:rFonts w:hint="eastAsia"/>
          <w:lang w:eastAsia="zh-CN"/>
        </w:rPr>
      </w:pPr>
      <w:r>
        <w:rPr>
          <w:spacing w:val="-3"/>
          <w:w w:val="95"/>
          <w:lang w:eastAsia="zh-CN"/>
        </w:rPr>
        <w:t>八、年初结转和结余：指单位以前年度尚未完成、结转</w:t>
      </w:r>
      <w:r>
        <w:rPr>
          <w:spacing w:val="-4"/>
          <w:lang w:eastAsia="zh-CN"/>
        </w:rPr>
        <w:t>到本年仍按原规定用途继续使用的资金，或项目已完成等产生的结余资金。</w:t>
      </w:r>
    </w:p>
    <w:p>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pPr>
        <w:spacing w:line="345" w:lineRule="auto"/>
        <w:rPr>
          <w:rFonts w:hint="eastAsia"/>
          <w:lang w:eastAsia="zh-CN"/>
        </w:rPr>
        <w:sectPr>
          <w:pgSz w:w="11910" w:h="16840"/>
          <w:pgMar w:top="1540" w:right="1380" w:bottom="280" w:left="1680" w:header="720" w:footer="720" w:gutter="0"/>
          <w:cols w:space="720" w:num="1"/>
        </w:sectPr>
      </w:pPr>
    </w:p>
    <w:p>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pPr>
        <w:pStyle w:val="4"/>
        <w:spacing w:line="408" w:lineRule="exact"/>
        <w:ind w:left="120"/>
        <w:rPr>
          <w:rFonts w:hint="eastAsia"/>
          <w:lang w:eastAsia="zh-CN"/>
        </w:rPr>
      </w:pPr>
      <w:r>
        <w:rPr>
          <w:lang w:eastAsia="zh-CN"/>
        </w:rPr>
        <w:t>庭的补助支出。</w:t>
      </w:r>
    </w:p>
    <w:p>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pPr>
        <w:spacing w:line="345" w:lineRule="auto"/>
        <w:rPr>
          <w:rFonts w:hint="eastAsia"/>
          <w:lang w:eastAsia="zh-CN"/>
        </w:rPr>
        <w:sectPr>
          <w:pgSz w:w="11910" w:h="16840"/>
          <w:pgMar w:top="1540" w:right="1380" w:bottom="280" w:left="1680" w:header="720" w:footer="720" w:gutter="0"/>
          <w:cols w:space="720" w:num="1"/>
        </w:sectPr>
      </w:pPr>
    </w:p>
    <w:p>
      <w:pPr>
        <w:pStyle w:val="4"/>
        <w:spacing w:before="35" w:line="345" w:lineRule="auto"/>
        <w:ind w:left="120" w:right="405" w:firstLine="640"/>
        <w:jc w:val="both"/>
        <w:rPr>
          <w:rFonts w:hint="eastAsia"/>
          <w:lang w:eastAsia="zh-CN"/>
        </w:rPr>
        <w:sectPr>
          <w:pgSz w:w="11910" w:h="16840"/>
          <w:pgMar w:top="1540" w:right="1380" w:bottom="280" w:left="1680" w:header="720" w:footer="720" w:gutter="0"/>
          <w:cols w:space="720" w:num="1"/>
        </w:sect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ascii="黑体" w:eastAsia="黑体" w:cs="黑体"/>
          <w:color w:val="000000"/>
          <w:sz w:val="44"/>
          <w:szCs w:val="44"/>
          <w:lang w:eastAsia="zh-CN" w:bidi="ar"/>
        </w:rPr>
      </w:pPr>
    </w:p>
    <w:p>
      <w:pPr>
        <w:widowControl/>
        <w:jc w:val="center"/>
        <w:rPr>
          <w:rFonts w:hint="eastAsia"/>
        </w:rPr>
      </w:pPr>
      <w:r>
        <w:rPr>
          <w:rFonts w:ascii="黑体" w:eastAsia="黑体" w:cs="黑体"/>
          <w:color w:val="000000"/>
          <w:sz w:val="44"/>
          <w:szCs w:val="44"/>
          <w:lang w:eastAsia="zh-CN" w:bidi="ar"/>
        </w:rPr>
        <w:t>第五部分 附 件</w:t>
      </w:r>
    </w:p>
    <w:p>
      <w:pPr>
        <w:pStyle w:val="4"/>
        <w:spacing w:before="35" w:line="345" w:lineRule="auto"/>
        <w:ind w:left="120" w:right="405" w:firstLine="640"/>
        <w:jc w:val="both"/>
        <w:rPr>
          <w:rFonts w:hint="eastAsia"/>
        </w:rPr>
        <w:sectPr>
          <w:pgSz w:w="11910" w:h="16840"/>
          <w:pgMar w:top="1540" w:right="1380" w:bottom="280" w:left="1680" w:header="720" w:footer="720" w:gutter="0"/>
          <w:cols w:space="720" w:num="1"/>
        </w:sectPr>
      </w:pPr>
    </w:p>
    <w:tbl>
      <w:tblPr>
        <w:tblStyle w:val="8"/>
        <w:tblW w:w="14211" w:type="dxa"/>
        <w:jc w:val="center"/>
        <w:tblInd w:w="0" w:type="dxa"/>
        <w:tblLayout w:type="fixed"/>
        <w:tblCellMar>
          <w:top w:w="0" w:type="dxa"/>
          <w:left w:w="108" w:type="dxa"/>
          <w:bottom w:w="0" w:type="dxa"/>
          <w:right w:w="108" w:type="dxa"/>
        </w:tblCellMar>
      </w:tblPr>
      <w:tblGrid>
        <w:gridCol w:w="468"/>
        <w:gridCol w:w="3603"/>
        <w:gridCol w:w="756"/>
        <w:gridCol w:w="873"/>
        <w:gridCol w:w="1110"/>
        <w:gridCol w:w="1110"/>
        <w:gridCol w:w="1110"/>
        <w:gridCol w:w="1110"/>
        <w:gridCol w:w="1110"/>
        <w:gridCol w:w="1116"/>
        <w:gridCol w:w="972"/>
        <w:gridCol w:w="873"/>
      </w:tblGrid>
      <w:tr>
        <w:tblPrEx>
          <w:tblLayout w:type="fixed"/>
          <w:tblCellMar>
            <w:top w:w="0" w:type="dxa"/>
            <w:left w:w="108" w:type="dxa"/>
            <w:bottom w:w="0" w:type="dxa"/>
            <w:right w:w="108" w:type="dxa"/>
          </w:tblCellMar>
        </w:tblPrEx>
        <w:trPr>
          <w:trHeight w:val="648" w:hRule="atLeast"/>
          <w:jc w:val="center"/>
        </w:trPr>
        <w:tc>
          <w:tcPr>
            <w:tcW w:w="14211" w:type="dxa"/>
            <w:gridSpan w:val="12"/>
            <w:tcBorders>
              <w:top w:val="nil"/>
              <w:left w:val="nil"/>
              <w:bottom w:val="nil"/>
              <w:right w:val="nil"/>
            </w:tcBorders>
            <w:shd w:val="clear" w:color="auto" w:fill="auto"/>
            <w:noWrap/>
            <w:vAlign w:val="center"/>
          </w:tcPr>
          <w:p>
            <w:pPr>
              <w:widowControl/>
              <w:jc w:val="center"/>
              <w:textAlignment w:val="center"/>
              <w:rPr>
                <w:rFonts w:hint="eastAsia" w:ascii="等线" w:hAnsi="等线" w:eastAsia="等线" w:cs="等线"/>
                <w:b/>
                <w:bCs/>
                <w:color w:val="000000"/>
                <w:sz w:val="52"/>
                <w:szCs w:val="52"/>
                <w:lang w:eastAsia="zh-CN"/>
              </w:rPr>
            </w:pPr>
            <w:r>
              <w:rPr>
                <w:rFonts w:hint="eastAsia" w:ascii="等线" w:hAnsi="等线" w:eastAsia="等线" w:cs="等线"/>
                <w:b/>
                <w:bCs/>
                <w:color w:val="000000"/>
                <w:sz w:val="52"/>
                <w:szCs w:val="52"/>
                <w:lang w:eastAsia="zh-CN" w:bidi="ar"/>
              </w:rPr>
              <w:t>项目支出绩效自评汇总表</w:t>
            </w:r>
          </w:p>
        </w:tc>
      </w:tr>
      <w:tr>
        <w:tblPrEx>
          <w:tblLayout w:type="fixed"/>
          <w:tblCellMar>
            <w:top w:w="0" w:type="dxa"/>
            <w:left w:w="108" w:type="dxa"/>
            <w:bottom w:w="0" w:type="dxa"/>
            <w:right w:w="108" w:type="dxa"/>
          </w:tblCellMar>
        </w:tblPrEx>
        <w:trPr>
          <w:trHeight w:val="8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序号</w:t>
            </w: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全年决算数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决算执行率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资金管理情况得分率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成本指标得分率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产出指标得分率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自评得分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是否有较大偏差</w:t>
            </w:r>
          </w:p>
        </w:tc>
      </w:tr>
      <w:tr>
        <w:tblPrEx>
          <w:tblLayout w:type="fixed"/>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rPr>
            </w:pPr>
            <w:r>
              <w:rPr>
                <w:rFonts w:hint="eastAsia" w:ascii="等线" w:hAnsi="等线" w:eastAsia="等线" w:cs="等线"/>
                <w:color w:val="000000"/>
                <w:lang w:eastAsia="zh-CN" w:bidi="ar"/>
              </w:rPr>
              <w:t>2023年</w:t>
            </w:r>
            <w:r>
              <w:rPr>
                <w:rFonts w:hint="eastAsia" w:ascii="等线" w:hAnsi="等线" w:eastAsia="等线" w:cs="等线"/>
                <w:color w:val="000000"/>
                <w:lang w:val="en-US" w:eastAsia="zh-CN" w:bidi="ar"/>
              </w:rPr>
              <w:t>办公</w:t>
            </w:r>
            <w:r>
              <w:rPr>
                <w:rFonts w:hint="eastAsia" w:ascii="等线" w:hAnsi="等线" w:eastAsia="等线" w:cs="等线"/>
                <w:color w:val="000000"/>
                <w:lang w:eastAsia="zh-CN" w:bidi="ar"/>
              </w:rPr>
              <w:t>经费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 xml:space="preserve">100.00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否</w:t>
            </w:r>
          </w:p>
        </w:tc>
      </w:tr>
      <w:tr>
        <w:tblPrEx>
          <w:tblLayout w:type="fixed"/>
          <w:tblCellMar>
            <w:top w:w="0" w:type="dxa"/>
            <w:left w:w="108" w:type="dxa"/>
            <w:bottom w:w="0" w:type="dxa"/>
            <w:right w:w="108" w:type="dxa"/>
          </w:tblCellMar>
        </w:tblPrEx>
        <w:trPr>
          <w:trHeight w:val="27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lang w:eastAsia="zh-CN" w:bidi="ar"/>
              </w:rPr>
            </w:pPr>
          </w:p>
        </w:tc>
      </w:tr>
    </w:tbl>
    <w:p>
      <w:pPr>
        <w:pStyle w:val="4"/>
        <w:spacing w:before="35" w:line="345" w:lineRule="auto"/>
        <w:ind w:left="120" w:right="405" w:firstLine="640"/>
        <w:jc w:val="center"/>
        <w:rPr>
          <w:rFonts w:hint="eastAsia"/>
        </w:rPr>
      </w:pPr>
    </w:p>
    <w:sectPr>
      <w:pgSz w:w="16840" w:h="11910" w:orient="landscape"/>
      <w:pgMar w:top="1680" w:right="1540" w:bottom="13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224E28"/>
    <w:rsid w:val="001B3D54"/>
    <w:rsid w:val="00224E28"/>
    <w:rsid w:val="00225378"/>
    <w:rsid w:val="00413EB4"/>
    <w:rsid w:val="004835D3"/>
    <w:rsid w:val="00487266"/>
    <w:rsid w:val="00660DF0"/>
    <w:rsid w:val="006E0278"/>
    <w:rsid w:val="007B4FA6"/>
    <w:rsid w:val="00E336B9"/>
    <w:rsid w:val="00EA39B4"/>
    <w:rsid w:val="00F318C4"/>
    <w:rsid w:val="00FD4713"/>
    <w:rsid w:val="00FF41E4"/>
    <w:rsid w:val="00FF597F"/>
    <w:rsid w:val="01C12344"/>
    <w:rsid w:val="04673896"/>
    <w:rsid w:val="07CB4548"/>
    <w:rsid w:val="08397703"/>
    <w:rsid w:val="0A255467"/>
    <w:rsid w:val="0B0E7AC0"/>
    <w:rsid w:val="0CB86AAF"/>
    <w:rsid w:val="0D350DE1"/>
    <w:rsid w:val="0E761FA0"/>
    <w:rsid w:val="0EA34A58"/>
    <w:rsid w:val="0FD86801"/>
    <w:rsid w:val="0FFE4C76"/>
    <w:rsid w:val="120F040C"/>
    <w:rsid w:val="125910CE"/>
    <w:rsid w:val="126312B0"/>
    <w:rsid w:val="14F670A8"/>
    <w:rsid w:val="152E4A94"/>
    <w:rsid w:val="166342EC"/>
    <w:rsid w:val="18716A45"/>
    <w:rsid w:val="1BBD1DE9"/>
    <w:rsid w:val="1C2D7CD2"/>
    <w:rsid w:val="1F1F32A9"/>
    <w:rsid w:val="20403A15"/>
    <w:rsid w:val="219B446F"/>
    <w:rsid w:val="21FF50C2"/>
    <w:rsid w:val="23690EFA"/>
    <w:rsid w:val="24C745BD"/>
    <w:rsid w:val="25CE54D7"/>
    <w:rsid w:val="26263565"/>
    <w:rsid w:val="26DA25DF"/>
    <w:rsid w:val="26F766FA"/>
    <w:rsid w:val="289742A6"/>
    <w:rsid w:val="29072B7B"/>
    <w:rsid w:val="290F1786"/>
    <w:rsid w:val="2A24600D"/>
    <w:rsid w:val="2A697EC4"/>
    <w:rsid w:val="2C1F0FAA"/>
    <w:rsid w:val="2CC50388"/>
    <w:rsid w:val="2E375C89"/>
    <w:rsid w:val="2E642E7C"/>
    <w:rsid w:val="30F1651D"/>
    <w:rsid w:val="312B0D64"/>
    <w:rsid w:val="31794E91"/>
    <w:rsid w:val="31FC517A"/>
    <w:rsid w:val="36A95AD5"/>
    <w:rsid w:val="377A54BF"/>
    <w:rsid w:val="38387DC4"/>
    <w:rsid w:val="389A274D"/>
    <w:rsid w:val="38CD161E"/>
    <w:rsid w:val="38F0107D"/>
    <w:rsid w:val="397E50B7"/>
    <w:rsid w:val="3BE41159"/>
    <w:rsid w:val="3DC96858"/>
    <w:rsid w:val="3DD62993"/>
    <w:rsid w:val="3E9C6B44"/>
    <w:rsid w:val="40C13B4D"/>
    <w:rsid w:val="416C2D15"/>
    <w:rsid w:val="42864D18"/>
    <w:rsid w:val="45B41D88"/>
    <w:rsid w:val="47C02A7A"/>
    <w:rsid w:val="497849A6"/>
    <w:rsid w:val="4ABB6AB5"/>
    <w:rsid w:val="4BAB1C93"/>
    <w:rsid w:val="4EF37FD8"/>
    <w:rsid w:val="51A4340C"/>
    <w:rsid w:val="52167617"/>
    <w:rsid w:val="54422A68"/>
    <w:rsid w:val="5A1B0365"/>
    <w:rsid w:val="5AF00910"/>
    <w:rsid w:val="5B101B12"/>
    <w:rsid w:val="5C3B496D"/>
    <w:rsid w:val="5D6A453D"/>
    <w:rsid w:val="5FD743C0"/>
    <w:rsid w:val="5FF63AE4"/>
    <w:rsid w:val="608A1A1F"/>
    <w:rsid w:val="62F25EE5"/>
    <w:rsid w:val="648D5F82"/>
    <w:rsid w:val="67ED064B"/>
    <w:rsid w:val="6A505A87"/>
    <w:rsid w:val="6A6B28C1"/>
    <w:rsid w:val="6B80414A"/>
    <w:rsid w:val="6D77332B"/>
    <w:rsid w:val="6D97754B"/>
    <w:rsid w:val="71641E18"/>
    <w:rsid w:val="74BB4445"/>
    <w:rsid w:val="77CF26E1"/>
    <w:rsid w:val="7D957F29"/>
    <w:rsid w:val="7DEE06D5"/>
    <w:rsid w:val="7EC06057"/>
    <w:rsid w:val="7EF944E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2"/>
      <w:outlineLvl w:val="0"/>
    </w:pPr>
    <w:rPr>
      <w:rFonts w:ascii="黑体" w:hAnsi="黑体" w:eastAsia="黑体" w:cs="黑体"/>
      <w:sz w:val="48"/>
      <w:szCs w:val="48"/>
    </w:rPr>
  </w:style>
  <w:style w:type="paragraph" w:styleId="3">
    <w:name w:val="heading 2"/>
    <w:basedOn w:val="1"/>
    <w:next w:val="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itle"/>
    <w:basedOn w:val="1"/>
    <w:qFormat/>
    <w:uiPriority w:val="1"/>
    <w:pPr>
      <w:spacing w:before="28"/>
      <w:ind w:left="139" w:right="101"/>
      <w:jc w:val="center"/>
    </w:pPr>
    <w:rPr>
      <w:rFonts w:ascii="黑体" w:hAnsi="黑体" w:eastAsia="黑体" w:cs="黑体"/>
      <w:sz w:val="52"/>
      <w:szCs w:val="52"/>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120" w:right="259" w:firstLine="640"/>
      <w:jc w:val="both"/>
    </w:pPr>
    <w:rPr>
      <w:rFonts w:ascii="仿宋" w:hAnsi="仿宋" w:eastAsia="仿宋" w:cs="仿宋"/>
    </w:rPr>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eastAsia="en-US"/>
    </w:rPr>
  </w:style>
  <w:style w:type="character" w:customStyle="1" w:styleId="14">
    <w:name w:val="页脚 字符"/>
    <w:basedOn w:val="9"/>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7014</Words>
  <Characters>8488</Characters>
  <Lines>73</Lines>
  <Paragraphs>20</Paragraphs>
  <TotalTime>8</TotalTime>
  <ScaleCrop>false</ScaleCrop>
  <LinksUpToDate>false</LinksUpToDate>
  <CharactersWithSpaces>8543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Administrator</cp:lastModifiedBy>
  <dcterms:modified xsi:type="dcterms:W3CDTF">2024-12-04T09:31:10Z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2052-11.1.0.9021</vt:lpwstr>
  </property>
  <property fmtid="{D5CDD505-2E9C-101B-9397-08002B2CF9AE}" pid="6" name="ICV">
    <vt:lpwstr>90AA5102FDA845A0BF9AF9F920EC3DD5_13</vt:lpwstr>
  </property>
</Properties>
</file>