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</w:pPr>
    </w:p>
    <w:p>
      <w:pPr>
        <w:pStyle w:val="2"/>
        <w:rPr>
          <w:rFonts w:hint="default" w:ascii="方正小标宋简体" w:hAnsi="方正小标宋简体" w:cs="方正小标宋简体"/>
          <w:szCs w:val="36"/>
        </w:rPr>
      </w:pPr>
      <w:bookmarkStart w:id="0" w:name="_Toc11147"/>
      <w:r>
        <w:rPr>
          <w:rFonts w:ascii="方正小标宋简体" w:hAnsi="方正小标宋简体" w:cs="方正小标宋简体"/>
          <w:szCs w:val="36"/>
        </w:rPr>
        <w:t>2019年信阳市平桥区国民经济和社会发展统计公报</w:t>
      </w:r>
      <w:bookmarkEnd w:id="0"/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2019年，平桥区委区政府坚持以习近平新时代中国特色社会主义思想为指导，认真贯彻习近平总书记关于河南工作的重要讲话和批示精神，坚持稳中求进工作总基调，坚持以供给侧结构性改革为主线，扎实做好“六稳”工作，着力打好三大攻坚战，做好“产城村”三篇文章，全区经济呈现总体平稳、稳中有进的良好态势，各项社会事业繁荣发展，生态环境质量全面改善，“十三五”规划主要经济指标符合预期，全面建成小康社会取得新的重大进展。</w:t>
      </w: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一、综合</w:t>
      </w:r>
      <w:r>
        <w:rPr>
          <w:rFonts w:hint="eastAsia" w:ascii="方正黑体简体" w:hAnsi="方正黑体简体" w:eastAsia="方正黑体简体" w:cs="方正黑体简体"/>
          <w:szCs w:val="21"/>
        </w:rPr>
        <w:tab/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初步核算，全年地区生产总值389.7亿元，比上年增长7.4%，高于全市平均增速1.1个百分点，高于全省平均增速0.4个百分点，高于全国平均增速 1.3个百分点。其中，第一产业增加值44亿元，增长2.5%；第二产业增加值167.7亿元，增长8.4%；第三产业增加值177.98亿元，增长7.7%。第一产业增加值占地区生产总值的比重为11.29%，第二产业增加值比重为43.04%，第三产业增加值比重为45.67%。全年第一产业对生产总值的贡献率为4.4%，拉动生产总值增长0.3个百分点，第二产业对生产总值的贡献率为53.2%，拉动生产总值增长3.9个百分点，第三产业对生产总值的贡献率为42.4%，拉动生产总值增长3.1个百分点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根据公安户籍人口及其变动情况统计，全区</w:t>
      </w:r>
      <w:r>
        <w:rPr>
          <w:rFonts w:hint="eastAsia" w:ascii="方正书宋简体" w:hAnsi="方正书宋简体" w:eastAsia="方正书宋简体" w:cs="方正书宋简体"/>
          <w:color w:val="3E3E3E"/>
          <w:sz w:val="21"/>
          <w:szCs w:val="21"/>
        </w:rPr>
        <w:t>（含羊山新区、高新区和上天梯管理区）</w:t>
      </w: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2019年末总户数29.10万户，总人口90.72万人，比上年末增加0.8 万人，其中城镇人口33.47万人，乡村人口57.26万人；其中平桥区辖区总户数24.41万户，总人口76.69万人；羊山新区、高新区和上天梯管理区合计总户数4.69万户，总人口14.03万人。</w:t>
      </w:r>
    </w:p>
    <w:p>
      <w:pPr>
        <w:pStyle w:val="11"/>
        <w:spacing w:before="0" w:beforeAutospacing="0" w:after="0" w:afterAutospacing="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根据人口抽样调查推算，2019年全区常住人口74.76万人，比上年增加0.33万人，增加0.44%。全年出生人口0.82万人，出生率10.94‰；死亡人口0.54万人，死亡率7.28‰。人口自然增长率3.66‰。</w:t>
      </w:r>
    </w:p>
    <w:p>
      <w:pPr>
        <w:pStyle w:val="11"/>
        <w:spacing w:before="0" w:beforeAutospacing="0" w:after="0" w:afterAutospacing="0"/>
        <w:jc w:val="center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预计平桥区</w:t>
      </w: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年末从业人员50.85万人，比去年同期增长3.5%，其中城镇就业人员10.58万人，同比增长10.0%；全年城镇新增就业人员16435人，同比增长15.7%，失业人员实现再就业4836人，就业困难人员实现再就业1357人。年末城镇登记失业率2.04%。</w:t>
      </w:r>
    </w:p>
    <w:p>
      <w:pPr>
        <w:pStyle w:val="11"/>
        <w:spacing w:before="0" w:beforeAutospacing="0" w:after="0" w:afterAutospacing="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据初步统计2019年在岗职工年平均工资62487元，较上年同比增长17.9%。</w:t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2019年末平桥区城镇化率为58.80%，比上年提升1.25个百分点。</w:t>
      </w:r>
    </w:p>
    <w:p>
      <w:pPr>
        <w:pStyle w:val="11"/>
        <w:spacing w:before="0" w:beforeAutospacing="0" w:after="0" w:afterAutospacing="0"/>
        <w:jc w:val="center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zCs w:val="21"/>
        </w:rPr>
        <w:t>全年居民消费价格指数比上年1.6个百分点，商品零售价格指数0.3个百分点。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zCs w:val="21"/>
        </w:rPr>
        <w:t>全年平桥区（不含羊山新区、高新区和上天梯管理区）财政总收入212530万元，同比增长94.9%。其中一般公共预算收入116525万元，同比增长8.7%；税收收入93367万元，同比增长2.9%。</w:t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二、农业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农林牧渔业实现总产值825100万元，比上年增长3.1%。其中农业产值570441万元，比上年增长6.2%；林业产值18138万元，比上年增长4.0%；畜牧业产值147453万元，比上年下降8.1%；渔业产值38411万元，比上年增长5.0%；农林牧渔服务业产值50477万元，比上年增长20.3%。全年实现农林牧渔业增加值465187万元，按可比价计算增长3.1%，增速比上年下降0.9个百分点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粮食种植面积73387公顷，比上年减少1720公顷。其中，小麦种植面积32253公顷，减少560公顷；稻谷种植面积36880公顷，减少613公顷；玉米种植面积1867公顷，比去年减少300公顷。棉花种植面积8公顷，同比减少14公顷。油料种植面积22802公顷，比去年同期减少430公顷。蔬菜种植14135公顷，减少179公顷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粮食产量49.39万吨，比上年减少0.82万吨，下降1.6%。其中，夏粮产量14.23万吨，增长1.4%；秋粮产量35.16万吨，下降2.8%。全年谷物产量48.56万吨，比上年减产1.4%。其中，稻谷产量33.29万吨，减产1.8%；小麦产量14.23万吨，增产1.4%；玉米产量1.0万吨，比去年减产20.7</w:t>
      </w:r>
      <w:r>
        <w:rPr>
          <w:rFonts w:hint="eastAsia" w:ascii="方正书宋简体" w:hAnsi="方正书宋简体" w:eastAsia="方正书宋简体" w:cs="方正书宋简体"/>
          <w:color w:val="222222"/>
          <w:szCs w:val="21"/>
        </w:rPr>
        <w:t>%。</w:t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全年棉花产量9吨，与上年持平。油料产量13.3万吨，增长0.1%。糖料产量0.15万吨，增产7.1%。茶叶产量0.2万吨，增产1.7%。</w:t>
      </w:r>
    </w:p>
    <w:p>
      <w:pPr>
        <w:spacing w:line="420" w:lineRule="exact"/>
        <w:ind w:firstLine="396" w:firstLineChars="200"/>
        <w:rPr>
          <w:rFonts w:ascii="方正书宋简体" w:hAnsi="方正书宋简体" w:eastAsia="方正书宋简体" w:cs="方正书宋简体"/>
          <w:spacing w:val="-6"/>
          <w:szCs w:val="21"/>
        </w:rPr>
      </w:pPr>
      <w:r>
        <w:rPr>
          <w:rFonts w:hint="eastAsia" w:ascii="方正书宋简体" w:hAnsi="方正书宋简体" w:eastAsia="方正书宋简体" w:cs="方正书宋简体"/>
          <w:spacing w:val="-6"/>
          <w:szCs w:val="21"/>
        </w:rPr>
        <w:t>全年猪牛羊禽肉产量4.88万吨，比上年下降10.1%。其中，猪肉产量4.1万吨，下降11.7%；牛肉产量2371吨，增长1.7%；羊肉产量432吨，增长1.8%；禽肉产量5142吨，下降3%。禽蛋产量2.94万吨，下降3%。年末生猪存栏55.1万头，下降0.5%；年度生猪出栏77.59万头，下降6%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全年水产品产量3.2万吨，比上年下降5.9%。其中，养殖水产品产量2.9万吨，下降6.5%；捕捞水产品产量0.3万吨，与上年持平。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全年木材产量1.2万立方米，与上年持平。</w:t>
      </w: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三、工业和建筑业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年末平桥辖区（不含羊山新区、高新区和上天梯管理区）规模以上工业企业125家，较上年增加5家。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规模以上工业（含羊山新区、高新区和上天梯管理区）增加值同比增长9.1%。其中,平桥辖区规模工业（含中省市企业，不含三个管理区）全年完成工业增加值108.1亿元，同比增长9.6%。平桥区属规模工业（不含中省市企业、不含羊山新区、高新区和上天梯管理区）全年完成工业增加值65.8亿元。</w:t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在规模以上工业增加值中，分经济类型看，国有控股企业-4.9%；集体企业增长22.5；外商及港澳台商投资企业增长0%。分门类看，非金属制品增长11.4%；金属制品25.4%；电力、热力生产和供应业增长-12.1%。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产业集聚区工业平稳增长。平桥、明港两个产业集聚区规模以上工业企业实现增加值104亿元，同比增长9.4%。其中平桥产业集聚区实现工业增加值42.3亿元，同比增长9.3%；明港产业集聚区实现工业增加值62.8亿元，同比增长9.5%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全年在库建筑业增加值10.2亿元，比上年增长26%。</w:t>
      </w: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四、固定资产投资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固定资产投资（不含羊山新区、高新区和上天梯管理区）109.3亿元，比上年增长14%。在固定资产投资（不含农户）中，第一产业投资4.2亿元，比上年下降29.3%；第二产业投资25.6亿元，下降7%，其中制造业投资25.6亿元，增长9.4%；第三产业投资79.5亿元，27.2%。基础设施投资44.1亿元，增长42.7%，占固定资产投资（不含农户）的比重为40.4%。民间固定资产投资86.1亿元，增长43%，占固定资产投资（不含农户）的比重为78.8%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全年房地产开发投资15.1亿元，比上年增长18.1%。其中住宅投资增长32.9%。</w:t>
      </w:r>
    </w:p>
    <w:p>
      <w:pPr>
        <w:spacing w:line="420" w:lineRule="exact"/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五、国内贸易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社会消费品零售总额（含羊山新区、高新区、上天梯管理区）171.6亿元，比上年增长10.0%。按经营地统计，城镇消费品零售额142.5亿元，下降4.3%；乡村消费品零售额29.1亿元，增长30.5%。按消费类型统计，商品零售额156.2亿元，增长44.8%；住宿餐饮收入额14.8亿元，增长28.6%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在限额以上企业商品零售额中，汽车类同比下降54.28%。</w:t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六、对外经济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全年货物进出口总额59095万元，比上年增长8.7%。全年实际利用外资金额4931万美元，同比增长4.1%。</w:t>
      </w: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七、交通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平桥区境内公路通车里程2687.4公里，同比增长8.2%。其中：高速公路122.8公里，同比增长14.02%；国道56.6公里，与去年持平；省道72.5公里，与去年持平；县道325公里，与去年持平；乡道365.5公里，与去年持平；村道1745公里，同比增长12.15%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年末全区各类运输车辆6199台，同比减少12.1%，其中货运车6063台，客运车136台。2019年载客量187万人次，同比下降29.2%；客运周转量5626万人公里，同比下降28.96%。</w:t>
      </w: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八、居民收入消费和社会保障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2019年居民人均可支配收入24080元，比上年名义增长8.8%，扣除价格因素，实际增长6.3%。按常住地分，城镇居民人均可支配收入32443元，比上年增长7.8%，扣除价格因素，实际增长5.3%；农村居民人均可支配收入15036元，比上年增长9.6%，扣除价格因素，实际增长7.1%。2019年居民人均工资性收入15390元，增长12.2%，占可支配收入的比重为63.9%。</w:t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2019年居民人均消费支出18491元，比上年增长6.4%，扣除价格因素，实际增长3.9%。按常住地分，城镇居民人均消费支出22119元，增长15.9%，扣除价格因素，实际增长13.4%；农村居民人均消费支出14567元，下降6.5%，扣除价格因素，实际下降9.0%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年末全区参加城镇职工基本养老保险人数5.04万人，比上年末减少1.25万人。参加城乡居民基本养老保险39.50万人，比去年增加1.65万人。参加基本医疗保险人数79.56万人，其中参加职工基本医疗保险6.66万人，参加城乡居民基本医疗保险72.9万人。参加工伤保险4.14万人。</w:t>
      </w:r>
    </w:p>
    <w:p>
      <w:pPr>
        <w:spacing w:line="420" w:lineRule="exact"/>
        <w:ind w:firstLine="444" w:firstLineChars="200"/>
        <w:rPr>
          <w:rFonts w:ascii="方正书宋简体" w:hAnsi="方正书宋简体" w:eastAsia="方正书宋简体" w:cs="方正书宋简体"/>
          <w:spacing w:val="6"/>
          <w:szCs w:val="21"/>
        </w:rPr>
      </w:pPr>
      <w:r>
        <w:rPr>
          <w:rFonts w:hint="eastAsia" w:ascii="方正书宋简体" w:hAnsi="方正书宋简体" w:eastAsia="方正书宋简体" w:cs="方正书宋简体"/>
          <w:spacing w:val="6"/>
          <w:szCs w:val="21"/>
        </w:rPr>
        <w:t>2019年，11个贫困村脱贫摘帽，1785户，3806人脱贫。</w:t>
      </w:r>
    </w:p>
    <w:p>
      <w:pPr>
        <w:jc w:val="center"/>
        <w:rPr>
          <w:rFonts w:ascii="方正书宋简体" w:hAnsi="方正书宋简体" w:eastAsia="方正书宋简体" w:cs="方正书宋简体"/>
          <w:szCs w:val="21"/>
        </w:rPr>
      </w:pPr>
      <w:bookmarkStart w:id="1" w:name="_GoBack"/>
      <w:bookmarkEnd w:id="1"/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九、教育、科学技术和文化体育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2019年，平桥区内学校（含羊山新区、高新区、上天梯管理区）普通高中招生9367人，在校生23835人，毕业生7020人。初中招生13851人，在校生37102人，毕业生11070人。普通小学招生14917人，在校生85183人，毕业生13756人。特殊教育招生13人，在校生82人，毕业生0人。学前教育在园幼儿35196人。平桥区中等职业教育招生3885人，在校生7809人，毕业生1551人。</w:t>
      </w:r>
    </w:p>
    <w:p>
      <w:pPr>
        <w:spacing w:line="420" w:lineRule="exact"/>
        <w:ind w:firstLine="444" w:firstLineChars="200"/>
        <w:rPr>
          <w:rFonts w:ascii="方正书宋简体" w:hAnsi="方正书宋简体" w:eastAsia="方正书宋简体" w:cs="方正书宋简体"/>
          <w:spacing w:val="6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pacing w:val="6"/>
          <w:szCs w:val="21"/>
        </w:rPr>
        <w:t>2019年全区高考人数为5242人，本科一批进线1198人，进线率22.9%，二本进线率为56.6%，连续三年稳定增长；河南省高考文科第一名和信阳市理科第一名均来自我区；北大、清华录取6人，创历史新高。空军、海军飞行员录取12人，民航飞行员录取13人，实现招飞工作全省“七连冠”，连续六年位居全国前列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年末全区（不含羊山新区、高新区和上天梯管理区）文化系统共有艺术表演团体 8 个，博物馆1 个，</w:t>
      </w:r>
      <w:r>
        <w:rPr>
          <w:rFonts w:hint="eastAsia" w:ascii="方正书宋简体" w:hAnsi="方正书宋简体" w:eastAsia="方正书宋简体" w:cs="方正书宋简体"/>
          <w:color w:val="000000"/>
          <w:sz w:val="21"/>
          <w:szCs w:val="21"/>
        </w:rPr>
        <w:t>文化馆1个</w:t>
      </w: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>。全区共有公共图书馆19 个，</w:t>
      </w:r>
      <w:r>
        <w:rPr>
          <w:rFonts w:hint="eastAsia" w:ascii="方正书宋简体" w:hAnsi="方正书宋简体" w:eastAsia="方正书宋简体" w:cs="方正书宋简体"/>
          <w:color w:val="000000"/>
          <w:sz w:val="21"/>
          <w:szCs w:val="21"/>
        </w:rPr>
        <w:t>现有文献信息资源51.3万册，文献年流通64万册次，注册读者7.3万人。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color w:val="222222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区内已建成省级重点实验室1家，省级工程技术研究中心3家，市级工程技术研究中心13家。</w:t>
      </w:r>
      <w:r>
        <w:rPr>
          <w:rFonts w:hint="eastAsia" w:ascii="方正书宋简体" w:hAnsi="方正书宋简体" w:eastAsia="方正书宋简体" w:cs="方正书宋简体"/>
          <w:color w:val="222222"/>
          <w:sz w:val="21"/>
          <w:szCs w:val="21"/>
        </w:rPr>
        <w:t xml:space="preserve"> </w:t>
      </w: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十、卫生和社会服务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年末全区共有医疗卫生机构453个，其中医院 18个。基层医疗卫生机构 429个：其中乡镇卫生院 18个，社区卫生服务中心（站）79个，门诊部（所）5个，村卫生室269个，诊所、卫生所、医务室58个。专业公共卫生机构4个：其中疾病预防控制中心1个，卫生监督所（中心）1个，妇幼保健院(所、站)1个，计划生育技术服务机构1个。年末卫生技术人员5110人，其中执业医师和执业助理医师1875人，注册护士2266人。医疗卫生机构床位4772张，其中医院3063张，乡镇卫生院1353张。</w:t>
      </w:r>
    </w:p>
    <w:p>
      <w:pPr>
        <w:spacing w:line="420" w:lineRule="exact"/>
        <w:ind w:firstLine="420" w:firstLineChars="200"/>
        <w:rPr>
          <w:rFonts w:ascii="方正黑体简体" w:hAnsi="方正黑体简体" w:eastAsia="方正黑体简体" w:cs="方正黑体简体"/>
          <w:szCs w:val="21"/>
        </w:rPr>
      </w:pPr>
      <w:r>
        <w:rPr>
          <w:rFonts w:hint="eastAsia" w:ascii="方正黑体简体" w:hAnsi="方正黑体简体" w:eastAsia="方正黑体简体" w:cs="方正黑体简体"/>
          <w:szCs w:val="21"/>
        </w:rPr>
        <w:t>十一、资源环境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全年全区（不含羊山新区、高新区、上天梯管理区）国有建设用地供应总量79.8301公顷，比上年下降77.68%。其中，工矿仓储用地46.9758公顷，增长8.74%；房地产用地28.6912公顷，增长353.97%；基础设施等用地4.1631公顷，下降98.65%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全年水资源总量1.826亿立方米。年末全区监测的5座中型水库蓄水总量0.3亿立方米，比上年末蓄水量下降44.71%。全年总用水量2.2963亿立方米，比上年下降3.74%。其中，生活用水增长10.14%，农业用水增长13.53%，工业用水与去年基本持平。万元国内生产总值用水量50.7立方米，比上年下降0.58%。人均用水量285立方米，比上年增长22.32%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全年完成人工造林面积2734公顷。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全区万元生产总值能耗（预计）下降6.03%，比上年同期下降0.01个百分点。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2019年，平桥区城市空气质量优质天数222天，较上年增长1天 。细颗粒物（PM2.5）年平均浓度52微克/立方米，比上年下降6微克/立方米，细颗粒物（PM10）年平均浓度87微克/立方米，比上年下降13微克/立方米。</w:t>
      </w:r>
    </w:p>
    <w:p>
      <w:pPr>
        <w:pStyle w:val="11"/>
        <w:spacing w:before="0" w:beforeAutospacing="0" w:after="0" w:afterAutospacing="0" w:line="420" w:lineRule="exact"/>
        <w:ind w:firstLine="420" w:firstLineChars="200"/>
        <w:rPr>
          <w:rFonts w:ascii="方正书宋简体" w:hAnsi="方正书宋简体" w:eastAsia="方正书宋简体" w:cs="方正书宋简体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sz w:val="21"/>
          <w:szCs w:val="21"/>
        </w:rPr>
        <w:t>全年累计降水量588.6毫米，比上年下降40.67%。全年平均气温为17.0℃，比上年上升0.3℃。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b/>
          <w:bCs/>
          <w:szCs w:val="21"/>
        </w:rPr>
      </w:pPr>
      <w:r>
        <w:rPr>
          <w:rFonts w:hint="eastAsia" w:ascii="方正书宋简体" w:hAnsi="方正书宋简体" w:eastAsia="方正书宋简体" w:cs="方正书宋简体"/>
          <w:b/>
          <w:bCs/>
          <w:szCs w:val="21"/>
        </w:rPr>
        <w:t>注：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1、本公报数据均为初步统计数，最终数据以统计年鉴为准。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2、未做特殊说明的数据口径包含羊山新区、信阳高新区、上天梯管理区数据。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3、地区生产总值、各产业增加值和产值绝对数按现行价格计算，增长速度按可比价格计算。</w:t>
      </w:r>
    </w:p>
    <w:p>
      <w:pPr>
        <w:spacing w:line="420" w:lineRule="exact"/>
        <w:ind w:firstLine="420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方正书宋简体" w:hAnsi="方正书宋简体" w:eastAsia="方正书宋简体" w:cs="方正书宋简体"/>
          <w:szCs w:val="21"/>
        </w:rPr>
        <w:t>4、资料来源：平桥区统计局、平桥区教育体育局、平桥区工业和信息化局、平桥公安分局、平桥区民政局、平桥区财政局、平桥区人力资源和社会保障局、平桥区生态环境局、平桥区住房和城乡建设局、平桥区城市管理局、平桥区交通运输局、平桥区农业农村局、平桥区水利局、平桥区商务局、平桥区文化广电和旅游局、平桥区卫生健康委员会、平桥区市场监督管理局、平桥区医疗保障局、平桥区林业和茶产业局、平桥区扶贫开发办公室、信阳市国土资源局平桥分局等。</w:t>
      </w:r>
    </w:p>
    <w:p>
      <w:pPr>
        <w:spacing w:line="40" w:lineRule="exact"/>
      </w:pPr>
    </w:p>
    <w:sectPr>
      <w:footerReference r:id="rId4" w:type="default"/>
      <w:pgSz w:w="7370" w:h="10431"/>
      <w:pgMar w:top="964" w:right="1020" w:bottom="964" w:left="1020" w:header="680" w:footer="737" w:gutter="0"/>
      <w:pgNumType w:start="1"/>
      <w:cols w:space="720" w:num="1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中等线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1027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</w:pPr>
                <w:r>
                  <w:rPr>
                    <w:rFonts w:hint="eastAsia" w:ascii="方正书宋简体" w:hAnsi="方正书宋简体" w:eastAsia="方正书宋简体" w:cs="方正书宋简体"/>
                  </w:rPr>
                  <w:t>—</w:t>
                </w:r>
                <w:r>
                  <w:rPr>
                    <w:rFonts w:hint="eastAsia" w:ascii="方正书宋简体" w:hAnsi="方正书宋简体" w:eastAsia="方正书宋简体" w:cs="方正书宋简体"/>
                  </w:rPr>
                  <w:fldChar w:fldCharType="begin"/>
                </w:r>
                <w:r>
                  <w:rPr>
                    <w:rFonts w:hint="eastAsia" w:ascii="方正书宋简体" w:hAnsi="方正书宋简体" w:eastAsia="方正书宋简体" w:cs="方正书宋简体"/>
                  </w:rPr>
                  <w:instrText xml:space="preserve"> PAGE  \* MERGEFORMAT </w:instrText>
                </w:r>
                <w:r>
                  <w:rPr>
                    <w:rFonts w:hint="eastAsia" w:ascii="方正书宋简体" w:hAnsi="方正书宋简体" w:eastAsia="方正书宋简体" w:cs="方正书宋简体"/>
                  </w:rPr>
                  <w:fldChar w:fldCharType="separate"/>
                </w:r>
                <w:r>
                  <w:rPr>
                    <w:rFonts w:ascii="方正书宋简体" w:hAnsi="方正书宋简体" w:eastAsia="方正书宋简体" w:cs="方正书宋简体"/>
                  </w:rPr>
                  <w:t>21</w:t>
                </w:r>
                <w:r>
                  <w:rPr>
                    <w:rFonts w:hint="eastAsia" w:ascii="方正书宋简体" w:hAnsi="方正书宋简体" w:eastAsia="方正书宋简体" w:cs="方正书宋简体"/>
                  </w:rPr>
                  <w:fldChar w:fldCharType="end"/>
                </w:r>
                <w:r>
                  <w:rPr>
                    <w:rFonts w:hint="eastAsia" w:ascii="方正书宋简体" w:hAnsi="方正书宋简体" w:eastAsia="方正书宋简体" w:cs="方正书宋简体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="240" w:after="240"/>
      <w:jc w:val="center"/>
      <w:outlineLvl w:val="0"/>
    </w:pPr>
    <w:rPr>
      <w:rFonts w:hint="eastAsia" w:ascii="宋体" w:hAnsi="宋体" w:eastAsia="方正小标宋简体" w:cs="Times New Roman"/>
      <w:b/>
      <w:kern w:val="44"/>
      <w:sz w:val="36"/>
      <w:szCs w:val="16"/>
    </w:rPr>
  </w:style>
  <w:style w:type="paragraph" w:styleId="3">
    <w:name w:val="heading 2"/>
    <w:basedOn w:val="1"/>
    <w:next w:val="1"/>
    <w:unhideWhenUsed/>
    <w:qFormat/>
    <w:uiPriority w:val="9"/>
    <w:pPr>
      <w:keepNext/>
      <w:spacing w:line="720" w:lineRule="auto"/>
      <w:jc w:val="center"/>
      <w:outlineLvl w:val="1"/>
    </w:pPr>
    <w:rPr>
      <w:rFonts w:ascii="Arial" w:hAnsi="Arial" w:eastAsia="方正黑体简体"/>
      <w:b/>
      <w:i/>
      <w:sz w:val="36"/>
    </w:rPr>
  </w:style>
  <w:style w:type="paragraph" w:styleId="4">
    <w:name w:val="heading 3"/>
    <w:basedOn w:val="1"/>
    <w:next w:val="1"/>
    <w:link w:val="27"/>
    <w:unhideWhenUsed/>
    <w:qFormat/>
    <w:uiPriority w:val="0"/>
    <w:pPr>
      <w:widowControl/>
      <w:jc w:val="center"/>
      <w:outlineLvl w:val="2"/>
    </w:pPr>
    <w:rPr>
      <w:rFonts w:ascii="宋体" w:hAnsi="宋体" w:eastAsia="方正小标宋简体" w:cs="宋体"/>
      <w:b/>
      <w:bCs/>
      <w:kern w:val="0"/>
      <w:sz w:val="30"/>
      <w:szCs w:val="27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spacing w:before="120" w:after="120"/>
      <w:jc w:val="center"/>
      <w:outlineLvl w:val="3"/>
    </w:pPr>
    <w:rPr>
      <w:rFonts w:ascii="宋体" w:hAnsi="宋体" w:eastAsia="方正黑体简体" w:cs="宋体"/>
      <w:b/>
      <w:szCs w:val="18"/>
    </w:rPr>
  </w:style>
  <w:style w:type="character" w:default="1" w:styleId="12">
    <w:name w:val="Default Paragraph Font"/>
    <w:semiHidden/>
    <w:unhideWhenUsed/>
    <w:uiPriority w:val="1"/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customStyle="1" w:styleId="14">
    <w:name w:val="标题 4 Char Char"/>
    <w:basedOn w:val="12"/>
    <w:link w:val="5"/>
    <w:uiPriority w:val="0"/>
    <w:rPr>
      <w:rFonts w:ascii="宋体" w:hAnsi="宋体" w:eastAsia="方正黑体简体" w:cs="宋体"/>
      <w:b/>
      <w:szCs w:val="18"/>
    </w:rPr>
  </w:style>
  <w:style w:type="character" w:customStyle="1" w:styleId="15">
    <w:name w:val="批注框文本 Char Char"/>
    <w:basedOn w:val="12"/>
    <w:link w:val="7"/>
    <w:uiPriority w:val="99"/>
    <w:rPr>
      <w:sz w:val="18"/>
      <w:szCs w:val="18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页眉 Char Char"/>
    <w:basedOn w:val="12"/>
    <w:link w:val="9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8">
    <w:name w:val="页脚 Char Char"/>
    <w:basedOn w:val="12"/>
    <w:link w:val="8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标题 1 Char Char"/>
    <w:link w:val="2"/>
    <w:uiPriority w:val="9"/>
    <w:rPr>
      <w:rFonts w:hint="eastAsia" w:ascii="宋体" w:hAnsi="宋体" w:eastAsia="方正小标宋简体" w:cs="宋体"/>
      <w:b/>
      <w:kern w:val="44"/>
      <w:sz w:val="36"/>
      <w:szCs w:val="16"/>
    </w:rPr>
  </w:style>
  <w:style w:type="character" w:customStyle="1" w:styleId="21">
    <w:name w:val="font11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4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标题 3 Char Char"/>
    <w:link w:val="4"/>
    <w:uiPriority w:val="0"/>
    <w:rPr>
      <w:rFonts w:ascii="宋体" w:hAnsi="宋体" w:eastAsia="方正小标宋简体" w:cs="宋体"/>
      <w:b/>
      <w:bCs/>
      <w:kern w:val="0"/>
      <w:sz w:val="30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8750</Words>
  <Characters>49879</Characters>
  <Lines>415</Lines>
  <Paragraphs>117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2019-03-21T01:15:00Z</dcterms:created>
  <dc:creator>Administrator</dc:creator>
  <cp:lastModifiedBy>lenovo</cp:lastModifiedBy>
  <dcterms:modified xsi:type="dcterms:W3CDTF">2025-01-02T03:39:54Z</dcterms:modified>
  <dc:title>2019年信阳市平桥区国民经济和社会发展统计公报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