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农民工工资保证金支付通知书</w:t>
      </w:r>
    </w:p>
    <w:p>
      <w:pPr>
        <w:spacing w:line="600" w:lineRule="exact"/>
        <w:jc w:val="center"/>
        <w:rPr>
          <w:rFonts w:hint="eastAsia" w:ascii="楷体" w:hAnsi="楷体" w:eastAsia="楷体" w:cs="楷体"/>
          <w:color w:val="000000"/>
          <w:sz w:val="24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6"/>
          <w:szCs w:val="44"/>
        </w:rPr>
        <w:t>（样本）</w:t>
      </w:r>
    </w:p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32"/>
        <w:gridCol w:w="1080"/>
        <w:gridCol w:w="125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工资保证金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存储企业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统一社会信用代码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通信地址及邮编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工资保证金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开户银行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2"/>
              </w:rPr>
              <w:t>或保证人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支付对象</w:t>
            </w:r>
          </w:p>
        </w:tc>
        <w:tc>
          <w:tcPr>
            <w:tcW w:w="2032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3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1861" w:type="dxa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取款（付款）原因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 xml:space="preserve"> 工资保证金存储企业所承包工程发生拖欠农民工工资，经人力资源社会保障行政部门依法作出行政处理决定，责令限期清偿或先行清偿，该企业到期未履行。依据《保障农民工工资支付条例》《工程建设领域农民工工资保证金规定》《河南省工程建设领域农民工工资保证金实施办法》，人力资源社会保障行政部门依法决定使用农民工工资保证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取款（付款）金额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行政执法文书</w:t>
            </w:r>
          </w:p>
        </w:tc>
        <w:tc>
          <w:tcPr>
            <w:tcW w:w="6223" w:type="dxa"/>
            <w:gridSpan w:val="4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人力资源社会保障部门依法作出的行政处理决定书（附后）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2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szCs w:val="22"/>
              </w:rPr>
              <w:t>人力资源社会保障部门意见</w:t>
            </w:r>
          </w:p>
        </w:tc>
        <w:tc>
          <w:tcPr>
            <w:tcW w:w="6223" w:type="dxa"/>
            <w:gridSpan w:val="4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请你行在5个工作日内从农民工工资保证金账户中（或依据你单位开具的保函）将上述款项支付给本通知书列明的支付对象。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（支付对象及收款行账号和开户行附后）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经办人签字：               单位盖章：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联系电话：                 负责人签字：</w:t>
            </w:r>
          </w:p>
        </w:tc>
      </w:tr>
    </w:tbl>
    <w:p>
      <w:pPr>
        <w:spacing w:line="240" w:lineRule="exact"/>
        <w:jc w:val="center"/>
        <w:rPr>
          <w:rFonts w:ascii="Times New Roman" w:hAnsi="Times New Roman" w:eastAsia="文星标宋"/>
          <w:bCs/>
          <w:color w:val="000000"/>
          <w:sz w:val="44"/>
          <w:szCs w:val="44"/>
        </w:rPr>
      </w:pPr>
    </w:p>
    <w:p>
      <w:pPr>
        <w:rPr>
          <w:rFonts w:ascii="Times New Roman" w:hAnsi="Times New Roman" w:eastAsia="华文中宋"/>
          <w:color w:val="000000"/>
        </w:rPr>
      </w:pPr>
      <w:r>
        <w:rPr>
          <w:rFonts w:ascii="Times New Roman" w:hAnsi="Times New Roman" w:eastAsia="华文中宋" w:cs="Times New Roman"/>
          <w:color w:val="000000"/>
          <w:szCs w:val="22"/>
        </w:rPr>
        <w:t>注：样本仅供参考，各地可根据本《</w:t>
      </w:r>
      <w:r>
        <w:rPr>
          <w:rFonts w:hint="eastAsia" w:ascii="Times New Roman" w:hAnsi="Times New Roman" w:eastAsia="华文中宋" w:cs="Times New Roman"/>
          <w:color w:val="000000"/>
          <w:szCs w:val="22"/>
        </w:rPr>
        <w:t>实施办法</w:t>
      </w:r>
      <w:r>
        <w:rPr>
          <w:rFonts w:ascii="Times New Roman" w:hAnsi="Times New Roman" w:eastAsia="华文中宋" w:cs="Times New Roman"/>
          <w:color w:val="000000"/>
          <w:szCs w:val="22"/>
        </w:rPr>
        <w:t>》并结合银行监管和业务管理要求修订使用。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A6B29"/>
    <w:rsid w:val="0D5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2022-04-26T03:08:00Z</dcterms:created>
  <dc:creator>四驱小蜗牛</dc:creator>
  <cp:lastModifiedBy>四驱小蜗牛</cp:lastModifiedBy>
  <dcterms:modified xsi:type="dcterms:W3CDTF">2022-04-26T03:08:52Z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70048803EE2D4162BB1A1E9CD92A7C96</vt:lpwstr>
  </property>
</Properties>
</file>