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olor w:val="000000"/>
          <w:kern w:val="0"/>
          <w:sz w:val="32"/>
          <w:szCs w:val="32"/>
        </w:rPr>
      </w:pPr>
      <w:r>
        <w:rPr>
          <w:rFonts w:ascii="黑体" w:hAnsi="黑体" w:eastAsia="黑体" w:cs="Times New Roman"/>
          <w:color w:val="000000"/>
          <w:sz w:val="32"/>
          <w:szCs w:val="32"/>
        </w:rPr>
        <w:t>附件1</w:t>
      </w:r>
    </w:p>
    <w:p>
      <w:pPr>
        <w:spacing w:line="400" w:lineRule="exact"/>
        <w:rPr>
          <w:rFonts w:ascii="Times New Roman" w:hAnsi="Times New Roman" w:eastAsia="仿宋_GB2312"/>
          <w:color w:val="000000"/>
          <w:sz w:val="32"/>
          <w:szCs w:val="32"/>
        </w:rPr>
      </w:pPr>
    </w:p>
    <w:p>
      <w:pPr>
        <w:spacing w:line="520" w:lineRule="exact"/>
        <w:jc w:val="center"/>
        <w:rPr>
          <w:rFonts w:hint="eastAsia" w:ascii="黑体" w:hAnsi="黑体" w:eastAsia="黑体" w:cs="黑体"/>
          <w:bCs/>
          <w:color w:val="000000"/>
          <w:sz w:val="44"/>
          <w:szCs w:val="44"/>
        </w:rPr>
      </w:pPr>
      <w:r>
        <w:rPr>
          <w:rFonts w:ascii="Times New Roman" w:hAnsi="Times New Roman" w:eastAsia="文星标宋" w:cs="Times New Roman"/>
          <w:bCs/>
          <w:color w:val="000000"/>
          <w:kern w:val="0"/>
          <w:sz w:val="44"/>
          <w:szCs w:val="44"/>
        </w:rPr>
        <w:t xml:space="preserve">  </w:t>
      </w:r>
      <w:r>
        <w:rPr>
          <w:rFonts w:hint="eastAsia" w:ascii="黑体" w:hAnsi="黑体" w:eastAsia="黑体" w:cs="黑体"/>
          <w:bCs/>
          <w:color w:val="000000"/>
          <w:sz w:val="44"/>
          <w:szCs w:val="44"/>
        </w:rPr>
        <w:t xml:space="preserve"> 农民工工资保证金存款协议书</w:t>
      </w:r>
    </w:p>
    <w:p>
      <w:pPr>
        <w:spacing w:line="520" w:lineRule="exact"/>
        <w:jc w:val="center"/>
        <w:rPr>
          <w:rFonts w:hint="eastAsia" w:ascii="楷体" w:hAnsi="楷体" w:eastAsia="楷体" w:cs="楷体"/>
          <w:bCs/>
          <w:color w:val="000000"/>
          <w:sz w:val="36"/>
          <w:szCs w:val="44"/>
        </w:rPr>
      </w:pPr>
      <w:r>
        <w:rPr>
          <w:rFonts w:hint="eastAsia" w:ascii="楷体" w:hAnsi="楷体" w:eastAsia="楷体" w:cs="楷体"/>
          <w:bCs/>
          <w:color w:val="000000"/>
          <w:sz w:val="36"/>
          <w:szCs w:val="44"/>
        </w:rPr>
        <w:t>（样本）</w:t>
      </w:r>
    </w:p>
    <w:p>
      <w:pPr>
        <w:adjustRightInd w:val="0"/>
        <w:snapToGrid w:val="0"/>
        <w:spacing w:line="300" w:lineRule="exact"/>
        <w:jc w:val="left"/>
        <w:rPr>
          <w:rFonts w:ascii="Times New Roman" w:hAnsi="Times New Roman" w:eastAsia="仿宋_GB2312"/>
          <w:color w:val="000000"/>
          <w:kern w:val="0"/>
          <w:sz w:val="32"/>
          <w:szCs w:val="32"/>
        </w:rPr>
      </w:pPr>
    </w:p>
    <w:p>
      <w:pPr>
        <w:adjustRightInd w:val="0"/>
        <w:snapToGrid w:val="0"/>
        <w:spacing w:line="6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为做好农民工工资保证金监管</w:t>
      </w:r>
      <w:r>
        <w:rPr>
          <w:rFonts w:hint="eastAsia" w:ascii="仿宋" w:hAnsi="仿宋" w:eastAsia="仿宋" w:cs="仿宋"/>
          <w:b w:val="0"/>
          <w:bCs w:val="0"/>
          <w:color w:val="000000"/>
          <w:kern w:val="0"/>
          <w:sz w:val="32"/>
          <w:szCs w:val="32"/>
          <w:lang w:val="en-US" w:eastAsia="zh-CN"/>
        </w:rPr>
        <w:t>工作</w:t>
      </w:r>
      <w:r>
        <w:rPr>
          <w:rFonts w:hint="eastAsia" w:ascii="仿宋" w:hAnsi="仿宋" w:eastAsia="仿宋" w:cs="仿宋"/>
          <w:color w:val="000000"/>
          <w:kern w:val="0"/>
          <w:sz w:val="32"/>
          <w:szCs w:val="32"/>
        </w:rPr>
        <w:t>，根据《保障农民工工资支付条例》、《工程建设领域农民工工资保证金规定》和《河南省工程建设领域农民工工资保证金实施办法》，农民工工资保证金存储企业和银行就农民工工资保证金（以下简称工资保证金）的管理事项达成以下协议：</w:t>
      </w:r>
    </w:p>
    <w:p>
      <w:pPr>
        <w:numPr>
          <w:ilvl w:val="0"/>
          <w:numId w:val="1"/>
        </w:numPr>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工资保证金存储企业（以下简称存储企业）依法缴存保障为其承包工程提供劳动的农民工工资报酬权益的保证金，除发生《工程建设领域农民工工资保证金规定》第十九条的情形外，任何单位和个人不得使用工资保证金。</w:t>
      </w:r>
    </w:p>
    <w:p>
      <w:pPr>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二、存储企业承诺按照《工程建设领域农民工工资保证金规定》及本地区确定的具体缴存比例存储（补足）工资保证金，银行对存储（补足）是否足额不承担审查义务。</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三、银行对存储企业缴存的工资保证金，按照（ ）年定期、到期自动转存管理。本金和全部利息收入归存储企业所有。</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四、存储企业不得以缴纳工资保证金的有关凭证设定担保，银行</w:t>
      </w:r>
      <w:r>
        <w:rPr>
          <w:rFonts w:hint="eastAsia" w:ascii="仿宋" w:hAnsi="仿宋" w:eastAsia="仿宋" w:cs="仿宋"/>
          <w:color w:val="000000"/>
          <w:sz w:val="32"/>
          <w:szCs w:val="32"/>
          <w:lang w:eastAsia="zh-CN"/>
        </w:rPr>
        <w:t>应当</w:t>
      </w:r>
      <w:r>
        <w:rPr>
          <w:rFonts w:hint="eastAsia" w:ascii="仿宋" w:hAnsi="仿宋" w:eastAsia="仿宋" w:cs="仿宋"/>
          <w:color w:val="000000"/>
          <w:sz w:val="32"/>
          <w:szCs w:val="32"/>
        </w:rPr>
        <w:t>在出具的工资保证金有关凭证上注明“专用款项不得担保”字样。</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五、工资保证金使用按照如下方式执行：</w:t>
      </w:r>
    </w:p>
    <w:p>
      <w:pPr>
        <w:tabs>
          <w:tab w:val="left" w:pos="5970"/>
        </w:tabs>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发生《工程建设领域农民工工资保证金规定》第十九条情形需要使用工资保证金，工程项目所在地的监管工资保证金的人力资源社会保障行政部门（以下简称人力资源社会保障部门）书面通知存储企业和银行，出具《农民工工资保证金支付通知书》（以下简称《支付通知书》）。银行根据《支付通知书》，从工资保证金账户中将相应数额的款项以银行转账方式支付给人力资源社会保障部门指定的支付对象（农民工）。</w:t>
      </w:r>
    </w:p>
    <w:p>
      <w:pPr>
        <w:tabs>
          <w:tab w:val="left" w:pos="5970"/>
        </w:tabs>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非以上规定的情形而出现工资保证金减少，银行</w:t>
      </w:r>
      <w:r>
        <w:rPr>
          <w:rFonts w:hint="eastAsia" w:ascii="仿宋" w:hAnsi="仿宋" w:eastAsia="仿宋" w:cs="仿宋"/>
          <w:color w:val="000000"/>
          <w:kern w:val="0"/>
          <w:sz w:val="32"/>
          <w:szCs w:val="32"/>
          <w:lang w:eastAsia="zh-CN"/>
        </w:rPr>
        <w:t>应当</w:t>
      </w:r>
      <w:r>
        <w:rPr>
          <w:rFonts w:hint="eastAsia" w:ascii="仿宋" w:hAnsi="仿宋" w:eastAsia="仿宋" w:cs="仿宋"/>
          <w:color w:val="000000"/>
          <w:kern w:val="0"/>
          <w:sz w:val="32"/>
          <w:szCs w:val="32"/>
        </w:rPr>
        <w:t>承担补足责任，但因有权机关依法查封、冻结、划拨的除外。</w:t>
      </w:r>
    </w:p>
    <w:p>
      <w:pPr>
        <w:tabs>
          <w:tab w:val="left" w:pos="5970"/>
        </w:tabs>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对超出存储企业实际缴存的工资保证金数额的，银行不承担任何支付义务。</w:t>
      </w:r>
    </w:p>
    <w:p>
      <w:pPr>
        <w:tabs>
          <w:tab w:val="left" w:pos="5970"/>
        </w:tabs>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六、工资保证金使用后3个工作日内，银行</w:t>
      </w:r>
      <w:r>
        <w:rPr>
          <w:rFonts w:hint="eastAsia" w:ascii="仿宋" w:hAnsi="仿宋" w:eastAsia="仿宋" w:cs="仿宋"/>
          <w:color w:val="000000"/>
          <w:spacing w:val="-6"/>
          <w:kern w:val="0"/>
          <w:sz w:val="32"/>
          <w:szCs w:val="32"/>
          <w:lang w:eastAsia="zh-CN"/>
        </w:rPr>
        <w:t>应当</w:t>
      </w:r>
      <w:r>
        <w:rPr>
          <w:rFonts w:hint="eastAsia" w:ascii="仿宋" w:hAnsi="仿宋" w:eastAsia="仿宋" w:cs="仿宋"/>
          <w:color w:val="000000"/>
          <w:spacing w:val="-6"/>
          <w:kern w:val="0"/>
          <w:sz w:val="32"/>
          <w:szCs w:val="32"/>
        </w:rPr>
        <w:t>将工资保证金使用的有关情况通知存储企业和人力资源社会保障部门。</w:t>
      </w:r>
    </w:p>
    <w:p>
      <w:pPr>
        <w:tabs>
          <w:tab w:val="left" w:pos="5970"/>
        </w:tabs>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七、银行</w:t>
      </w:r>
      <w:r>
        <w:rPr>
          <w:rFonts w:hint="eastAsia" w:ascii="仿宋" w:hAnsi="仿宋" w:eastAsia="仿宋" w:cs="仿宋"/>
          <w:color w:val="000000"/>
          <w:kern w:val="0"/>
          <w:sz w:val="32"/>
          <w:szCs w:val="32"/>
          <w:lang w:eastAsia="zh-CN"/>
        </w:rPr>
        <w:t>应当</w:t>
      </w:r>
      <w:r>
        <w:rPr>
          <w:rFonts w:hint="eastAsia" w:ascii="仿宋" w:hAnsi="仿宋" w:eastAsia="仿宋" w:cs="仿宋"/>
          <w:color w:val="000000"/>
          <w:kern w:val="0"/>
          <w:sz w:val="32"/>
          <w:szCs w:val="32"/>
        </w:rPr>
        <w:t>每季度出具工资保证金存款对账单一式两份，分别发送给存储企业和人力资源社会保障部门。</w:t>
      </w:r>
    </w:p>
    <w:p>
      <w:pPr>
        <w:tabs>
          <w:tab w:val="left" w:pos="5970"/>
        </w:tabs>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八、本协议一式两份，存储企业和银行各存一份，复印件送人力资源社会保障部门备案。</w:t>
      </w:r>
    </w:p>
    <w:p>
      <w:pPr>
        <w:tabs>
          <w:tab w:val="left" w:pos="5970"/>
        </w:tabs>
        <w:spacing w:line="300" w:lineRule="exact"/>
        <w:ind w:firstLine="640" w:firstLineChars="200"/>
        <w:rPr>
          <w:rFonts w:hint="eastAsia" w:ascii="仿宋" w:hAnsi="仿宋" w:eastAsia="仿宋" w:cs="仿宋"/>
          <w:color w:val="000000"/>
          <w:kern w:val="0"/>
          <w:sz w:val="32"/>
          <w:szCs w:val="32"/>
        </w:rPr>
      </w:pPr>
    </w:p>
    <w:p>
      <w:pPr>
        <w:tabs>
          <w:tab w:val="left" w:pos="5970"/>
        </w:tabs>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附注一：工程项目基本信息（项目名称、项目所在地、施工合同期限、施工合同造价、存储比例等）</w:t>
      </w:r>
    </w:p>
    <w:p>
      <w:pPr>
        <w:tabs>
          <w:tab w:val="left" w:pos="5970"/>
        </w:tabs>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附注二：存款金额</w:t>
      </w:r>
    </w:p>
    <w:p>
      <w:pPr>
        <w:tabs>
          <w:tab w:val="left" w:pos="5970"/>
        </w:tabs>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存款金额：　　佰　拾　万　千　佰　拾　元　角　分</w:t>
      </w:r>
    </w:p>
    <w:p>
      <w:pPr>
        <w:tabs>
          <w:tab w:val="left" w:pos="5970"/>
        </w:tabs>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小写：</w:t>
      </w:r>
    </w:p>
    <w:p>
      <w:pPr>
        <w:tabs>
          <w:tab w:val="left" w:pos="5970"/>
        </w:tabs>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附注三：人力资源社会保障部门、存储企业和开户银行基本信息</w:t>
      </w:r>
    </w:p>
    <w:p>
      <w:pPr>
        <w:tabs>
          <w:tab w:val="left" w:pos="5970"/>
        </w:tabs>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人力资源社会保障部门：</w:t>
      </w:r>
    </w:p>
    <w:p>
      <w:pPr>
        <w:tabs>
          <w:tab w:val="left" w:pos="5970"/>
        </w:tabs>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通信地址及邮编：</w:t>
      </w:r>
    </w:p>
    <w:p>
      <w:pPr>
        <w:tabs>
          <w:tab w:val="left" w:pos="5970"/>
        </w:tabs>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联系人：</w:t>
      </w:r>
    </w:p>
    <w:p>
      <w:pPr>
        <w:tabs>
          <w:tab w:val="left" w:pos="5970"/>
        </w:tabs>
        <w:spacing w:line="560" w:lineRule="exact"/>
        <w:ind w:firstLine="645"/>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电话：</w:t>
      </w:r>
    </w:p>
    <w:p>
      <w:pPr>
        <w:tabs>
          <w:tab w:val="left" w:pos="5970"/>
        </w:tabs>
        <w:spacing w:line="560" w:lineRule="exact"/>
        <w:ind w:firstLine="645"/>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传真：</w:t>
      </w:r>
    </w:p>
    <w:p>
      <w:pPr>
        <w:tabs>
          <w:tab w:val="left" w:pos="5970"/>
        </w:tabs>
        <w:spacing w:line="240" w:lineRule="exact"/>
        <w:rPr>
          <w:rFonts w:hint="eastAsia" w:ascii="仿宋" w:hAnsi="仿宋" w:eastAsia="仿宋" w:cs="仿宋"/>
          <w:color w:val="000000"/>
          <w:kern w:val="0"/>
          <w:sz w:val="32"/>
          <w:szCs w:val="32"/>
        </w:rPr>
      </w:pPr>
    </w:p>
    <w:p>
      <w:pPr>
        <w:tabs>
          <w:tab w:val="left" w:pos="5970"/>
        </w:tabs>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存储企业：</w:t>
      </w:r>
    </w:p>
    <w:p>
      <w:pPr>
        <w:tabs>
          <w:tab w:val="left" w:pos="5970"/>
        </w:tabs>
        <w:spacing w:line="560" w:lineRule="exact"/>
        <w:ind w:firstLine="645"/>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统一社会信用代码：</w:t>
      </w:r>
    </w:p>
    <w:p>
      <w:pPr>
        <w:tabs>
          <w:tab w:val="left" w:pos="5970"/>
        </w:tabs>
        <w:spacing w:line="560" w:lineRule="exact"/>
        <w:ind w:firstLine="645"/>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通信地址及邮编：</w:t>
      </w:r>
    </w:p>
    <w:p>
      <w:pPr>
        <w:tabs>
          <w:tab w:val="left" w:pos="5970"/>
        </w:tabs>
        <w:spacing w:line="560" w:lineRule="exact"/>
        <w:ind w:firstLine="645"/>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联系人：</w:t>
      </w:r>
    </w:p>
    <w:p>
      <w:pPr>
        <w:tabs>
          <w:tab w:val="left" w:pos="5970"/>
        </w:tabs>
        <w:spacing w:line="560" w:lineRule="exact"/>
        <w:ind w:firstLine="645"/>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电话：</w:t>
      </w:r>
    </w:p>
    <w:p>
      <w:pPr>
        <w:tabs>
          <w:tab w:val="left" w:pos="5970"/>
        </w:tabs>
        <w:spacing w:line="560" w:lineRule="exact"/>
        <w:ind w:firstLine="645"/>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传真：</w:t>
      </w:r>
    </w:p>
    <w:p>
      <w:pPr>
        <w:tabs>
          <w:tab w:val="left" w:pos="5970"/>
        </w:tabs>
        <w:spacing w:line="240" w:lineRule="exact"/>
        <w:rPr>
          <w:rFonts w:hint="eastAsia" w:ascii="仿宋" w:hAnsi="仿宋" w:eastAsia="仿宋" w:cs="仿宋"/>
          <w:color w:val="000000"/>
          <w:kern w:val="0"/>
          <w:sz w:val="32"/>
          <w:szCs w:val="32"/>
        </w:rPr>
      </w:pPr>
    </w:p>
    <w:p>
      <w:pPr>
        <w:tabs>
          <w:tab w:val="left" w:pos="5970"/>
        </w:tabs>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开户银行：</w:t>
      </w:r>
    </w:p>
    <w:p>
      <w:pPr>
        <w:tabs>
          <w:tab w:val="left" w:pos="5970"/>
        </w:tabs>
        <w:spacing w:line="560" w:lineRule="exact"/>
        <w:ind w:firstLine="645"/>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通信地址及邮编：</w:t>
      </w:r>
    </w:p>
    <w:p>
      <w:pPr>
        <w:tabs>
          <w:tab w:val="left" w:pos="5970"/>
        </w:tabs>
        <w:spacing w:line="560" w:lineRule="exact"/>
        <w:ind w:firstLine="645"/>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联系人：</w:t>
      </w:r>
    </w:p>
    <w:p>
      <w:pPr>
        <w:tabs>
          <w:tab w:val="left" w:pos="5970"/>
        </w:tabs>
        <w:spacing w:line="560" w:lineRule="exact"/>
        <w:ind w:firstLine="645"/>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电话：</w:t>
      </w:r>
    </w:p>
    <w:p>
      <w:pPr>
        <w:tabs>
          <w:tab w:val="left" w:pos="5970"/>
        </w:tabs>
        <w:spacing w:line="560" w:lineRule="exact"/>
        <w:ind w:firstLine="645"/>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传真：</w:t>
      </w:r>
    </w:p>
    <w:p>
      <w:pPr>
        <w:tabs>
          <w:tab w:val="left" w:pos="5970"/>
        </w:tabs>
        <w:spacing w:line="240" w:lineRule="exact"/>
        <w:rPr>
          <w:rFonts w:hint="eastAsia" w:ascii="仿宋" w:hAnsi="仿宋" w:eastAsia="仿宋" w:cs="仿宋"/>
          <w:color w:val="000000"/>
          <w:kern w:val="0"/>
          <w:sz w:val="32"/>
          <w:szCs w:val="32"/>
        </w:rPr>
      </w:pPr>
    </w:p>
    <w:p>
      <w:pPr>
        <w:tabs>
          <w:tab w:val="left" w:pos="5970"/>
        </w:tabs>
        <w:spacing w:line="560" w:lineRule="exact"/>
        <w:ind w:firstLine="160" w:firstLineChars="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存储企业  　　　　　　　    开户银行</w:t>
      </w:r>
    </w:p>
    <w:p>
      <w:pPr>
        <w:tabs>
          <w:tab w:val="left" w:pos="5970"/>
        </w:tabs>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（盖章）　　　　　　　　　　（盖章）</w:t>
      </w:r>
    </w:p>
    <w:p>
      <w:pPr>
        <w:tabs>
          <w:tab w:val="left" w:pos="5970"/>
        </w:tabs>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法定代表人或授权代表人　　　法定代表人或授权代表人</w:t>
      </w:r>
    </w:p>
    <w:p>
      <w:pPr>
        <w:tabs>
          <w:tab w:val="left" w:pos="5970"/>
        </w:tabs>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（签字）　　　　　　　　（签字）</w:t>
      </w:r>
    </w:p>
    <w:p>
      <w:pPr>
        <w:tabs>
          <w:tab w:val="left" w:pos="5970"/>
        </w:tabs>
        <w:spacing w:line="300" w:lineRule="exact"/>
        <w:ind w:firstLine="640" w:firstLineChars="200"/>
        <w:rPr>
          <w:rFonts w:hint="eastAsia" w:ascii="仿宋" w:hAnsi="仿宋" w:eastAsia="仿宋" w:cs="仿宋"/>
          <w:color w:val="000000"/>
          <w:kern w:val="0"/>
          <w:sz w:val="32"/>
          <w:szCs w:val="32"/>
        </w:rPr>
      </w:pPr>
    </w:p>
    <w:p>
      <w:pPr>
        <w:tabs>
          <w:tab w:val="left" w:pos="5970"/>
        </w:tabs>
        <w:spacing w:line="560" w:lineRule="exact"/>
        <w:ind w:firstLine="640" w:firstLineChars="200"/>
        <w:rPr>
          <w:rFonts w:ascii="Times New Roman" w:hAnsi="Times New Roman" w:eastAsia="仿宋_GB2312"/>
          <w:color w:val="000000"/>
          <w:kern w:val="0"/>
          <w:sz w:val="32"/>
          <w:szCs w:val="32"/>
        </w:rPr>
      </w:pPr>
      <w:r>
        <w:rPr>
          <w:rFonts w:hint="eastAsia" w:ascii="仿宋" w:hAnsi="仿宋" w:eastAsia="仿宋" w:cs="仿宋"/>
          <w:color w:val="000000"/>
          <w:kern w:val="0"/>
          <w:sz w:val="32"/>
          <w:szCs w:val="32"/>
        </w:rPr>
        <w:t>签字时间：　　　　 　　　　　签字时间：</w:t>
      </w:r>
    </w:p>
    <w:p>
      <w:pPr>
        <w:widowControl w:val="0"/>
        <w:snapToGrid w:val="0"/>
        <w:jc w:val="left"/>
        <w:rPr>
          <w:rFonts w:ascii="Calibri" w:hAnsi="Calibri" w:eastAsia="宋体" w:cs="黑体"/>
          <w:color w:val="000000"/>
          <w:kern w:val="2"/>
          <w:sz w:val="21"/>
          <w:szCs w:val="22"/>
          <w:lang w:val="en-US" w:eastAsia="zh-CN" w:bidi="ar-SA"/>
        </w:rPr>
      </w:pPr>
    </w:p>
    <w:p>
      <w:pPr>
        <w:rPr>
          <w:rFonts w:hint="eastAsia" w:ascii="仿宋" w:hAnsi="仿宋" w:eastAsia="仿宋" w:cs="仿宋"/>
          <w:b/>
          <w:bCs/>
          <w:color w:val="000000"/>
          <w:sz w:val="32"/>
          <w:szCs w:val="32"/>
        </w:rPr>
      </w:pPr>
      <w:r>
        <w:rPr>
          <w:rFonts w:hint="eastAsia" w:ascii="仿宋" w:hAnsi="仿宋" w:eastAsia="仿宋" w:cs="仿宋"/>
          <w:b/>
          <w:bCs/>
          <w:color w:val="000000"/>
          <w:szCs w:val="22"/>
        </w:rPr>
        <w:t>注：样本仅供参考，各地可根据本《实施办法》并结合银行监管和业务管理要求修订使用。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文星标宋">
    <w:altName w:val="Arial Unicode MS"/>
    <w:panose1 w:val="02010604000101010101"/>
    <w:charset w:val="86"/>
    <w:family w:val="auto"/>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70A5E"/>
    <w:rsid w:val="05270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2022-04-26T03:08:00Z</dcterms:created>
  <dc:creator>四驱小蜗牛</dc:creator>
  <cp:lastModifiedBy>四驱小蜗牛</cp:lastModifiedBy>
  <dcterms:modified xsi:type="dcterms:W3CDTF">2022-04-26T03:08:28Z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0B074AE98D4B47CD9246D5BB98C3EB96</vt:lpwstr>
  </property>
</Properties>
</file>