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信阳市燃气相关</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家用燃气灶具</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2台</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1台</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家用可燃气体探测器</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燃气用塑料软管</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6米</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3米</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家用燃气金属连接管</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6根</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3根</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金属燃气软管</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6根</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3根</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3根</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家用燃气灶具</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spacing w:line="240" w:lineRule="auto"/>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离焰</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spacing w:line="240" w:lineRule="auto"/>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熄火</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spacing w:line="240" w:lineRule="auto"/>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熄火保护装置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spacing w:line="240" w:lineRule="auto"/>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点火装置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spacing w:line="240" w:lineRule="auto"/>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安全装置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spacing w:line="240" w:lineRule="auto"/>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额定输入功率偏差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spacing w:line="240" w:lineRule="auto"/>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内部布线</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spacing w:line="240" w:lineRule="auto"/>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接地电阻</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16410-2020</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家用可燃气体探测器检验项目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402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center"/>
          </w:tcPr>
          <w:p>
            <w:pPr>
              <w:pStyle w:val="2"/>
              <w:spacing w:line="240" w:lineRule="auto"/>
              <w:ind w:left="0" w:leftChars="0" w:firstLine="0" w:firstLineChars="0"/>
              <w:jc w:val="center"/>
              <w:rPr>
                <w:rFonts w:hint="eastAsia"/>
                <w:lang w:val="en-US" w:eastAsia="zh-CN"/>
              </w:rPr>
            </w:pPr>
            <w:r>
              <w:rPr>
                <w:rFonts w:hint="eastAsia" w:ascii="宋体" w:hAnsi="宋体" w:eastAsia="宋体" w:cs="宋体"/>
                <w:color w:val="auto"/>
                <w:kern w:val="2"/>
                <w:sz w:val="21"/>
                <w:szCs w:val="21"/>
                <w:highlight w:val="none"/>
                <w:lang w:val="en-US" w:eastAsia="zh-CN" w:bidi="ar-SA"/>
              </w:rPr>
              <w:t>序号</w:t>
            </w: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检验项目</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绝缘电阻</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电气强度</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高温（运行）试验</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低温（运行）试验</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跌落试验</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外观要求</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一般要求</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电压波动</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标志</w:t>
            </w:r>
          </w:p>
        </w:tc>
        <w:tc>
          <w:tcPr>
            <w:tcW w:w="366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15322.2-2019</w:t>
            </w:r>
          </w:p>
        </w:tc>
      </w:tr>
    </w:tbl>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520" w:firstLine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燃气用塑料软管检验项目</w:t>
      </w:r>
    </w:p>
    <w:tbl>
      <w:tblPr>
        <w:tblStyle w:val="9"/>
        <w:tblW w:w="0" w:type="auto"/>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4005"/>
        <w:gridCol w:w="3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序号</w:t>
            </w: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检验项目</w:t>
            </w:r>
          </w:p>
        </w:tc>
        <w:tc>
          <w:tcPr>
            <w:tcW w:w="367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3"/>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标志</w:t>
            </w:r>
          </w:p>
        </w:tc>
        <w:tc>
          <w:tcPr>
            <w:tcW w:w="367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3"/>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外观</w:t>
            </w:r>
          </w:p>
        </w:tc>
        <w:tc>
          <w:tcPr>
            <w:tcW w:w="367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3"/>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软管结构</w:t>
            </w:r>
          </w:p>
        </w:tc>
        <w:tc>
          <w:tcPr>
            <w:tcW w:w="367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3"/>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内径和公差</w:t>
            </w:r>
          </w:p>
        </w:tc>
        <w:tc>
          <w:tcPr>
            <w:tcW w:w="367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3"/>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壁厚和公差</w:t>
            </w:r>
          </w:p>
        </w:tc>
        <w:tc>
          <w:tcPr>
            <w:tcW w:w="367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2"/>
              <w:numPr>
                <w:ilvl w:val="0"/>
                <w:numId w:val="3"/>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软管耐高温食用油性</w:t>
            </w:r>
          </w:p>
        </w:tc>
        <w:tc>
          <w:tcPr>
            <w:tcW w:w="367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3"/>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软管耐食用油性</w:t>
            </w:r>
          </w:p>
        </w:tc>
        <w:tc>
          <w:tcPr>
            <w:tcW w:w="367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 29993-2013</w:t>
            </w:r>
          </w:p>
        </w:tc>
      </w:tr>
    </w:tbl>
    <w:p>
      <w:pPr>
        <w:pStyle w:val="2"/>
        <w:rPr>
          <w:rFonts w:hint="eastAsia" w:ascii="宋体" w:hAnsi="宋体" w:eastAsia="宋体" w:cs="宋体"/>
          <w:color w:val="auto"/>
          <w:sz w:val="21"/>
          <w:szCs w:val="21"/>
          <w:highlight w:val="none"/>
        </w:rPr>
      </w:pPr>
    </w:p>
    <w:p>
      <w:pPr>
        <w:ind w:firstLine="2520" w:firstLineChars="1200"/>
        <w:rPr>
          <w:rFonts w:hint="eastAsia"/>
        </w:rPr>
      </w:pPr>
      <w:r>
        <w:rPr>
          <w:rFonts w:hint="eastAsia"/>
        </w:rPr>
        <w:t>表</w:t>
      </w:r>
      <w:r>
        <w:rPr>
          <w:rFonts w:hint="eastAsia"/>
          <w:lang w:val="en-US" w:eastAsia="zh-CN"/>
        </w:rPr>
        <w:t>5</w:t>
      </w:r>
      <w:r>
        <w:rPr>
          <w:rFonts w:hint="eastAsia"/>
        </w:rPr>
        <w:t xml:space="preserve"> 家用燃气金属连接管检验项目</w:t>
      </w:r>
    </w:p>
    <w:tbl>
      <w:tblPr>
        <w:tblStyle w:val="9"/>
        <w:tblW w:w="0" w:type="auto"/>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4005"/>
        <w:gridCol w:w="3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序号</w:t>
            </w: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检验项目</w:t>
            </w:r>
          </w:p>
        </w:tc>
        <w:tc>
          <w:tcPr>
            <w:tcW w:w="3690"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4"/>
              </w:numPr>
              <w:spacing w:line="240" w:lineRule="auto"/>
              <w:ind w:left="425" w:leftChars="0" w:hanging="425" w:firstLineChars="0"/>
              <w:jc w:val="center"/>
              <w:rPr>
                <w:rFonts w:hint="eastAsia"/>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标志</w:t>
            </w:r>
          </w:p>
        </w:tc>
        <w:tc>
          <w:tcPr>
            <w:tcW w:w="3690" w:type="dxa"/>
            <w:vAlign w:val="center"/>
          </w:tcPr>
          <w:p>
            <w:pPr>
              <w:pStyle w:val="2"/>
              <w:spacing w:line="240" w:lineRule="auto"/>
              <w:ind w:left="0" w:leftChars="0" w:firstLine="0" w:firstLineChars="0"/>
              <w:jc w:val="center"/>
              <w:rPr>
                <w:rFonts w:hint="eastAsia"/>
                <w:vertAlign w:val="baseline"/>
              </w:rPr>
            </w:pPr>
            <w:r>
              <w:rPr>
                <w:rFonts w:hint="eastAsia" w:ascii="宋体" w:hAnsi="宋体" w:eastAsia="宋体" w:cs="宋体"/>
                <w:color w:val="auto"/>
                <w:sz w:val="21"/>
                <w:szCs w:val="21"/>
                <w:highlight w:val="none"/>
                <w:vertAlign w:val="baseline"/>
              </w:rPr>
              <w:t>GB/T26002-2010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4"/>
              </w:numPr>
              <w:spacing w:line="240" w:lineRule="auto"/>
              <w:ind w:left="425" w:leftChars="0" w:hanging="425" w:firstLineChars="0"/>
              <w:jc w:val="center"/>
              <w:rPr>
                <w:rFonts w:hint="eastAsia"/>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外观</w:t>
            </w:r>
          </w:p>
        </w:tc>
        <w:tc>
          <w:tcPr>
            <w:tcW w:w="36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GB/T26002-2010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4"/>
              </w:numPr>
              <w:spacing w:line="240" w:lineRule="auto"/>
              <w:ind w:left="425" w:leftChars="0" w:hanging="425" w:firstLineChars="0"/>
              <w:jc w:val="center"/>
              <w:rPr>
                <w:rFonts w:hint="eastAsia"/>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软管结构</w:t>
            </w:r>
          </w:p>
        </w:tc>
        <w:tc>
          <w:tcPr>
            <w:tcW w:w="36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GB/T26002-2010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4"/>
              </w:numPr>
              <w:spacing w:line="240" w:lineRule="auto"/>
              <w:ind w:left="425" w:leftChars="0" w:hanging="425" w:firstLineChars="0"/>
              <w:jc w:val="center"/>
              <w:rPr>
                <w:rFonts w:hint="eastAsia"/>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内径</w:t>
            </w:r>
          </w:p>
        </w:tc>
        <w:tc>
          <w:tcPr>
            <w:tcW w:w="36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GB/T26002-2010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4"/>
              </w:numPr>
              <w:spacing w:line="240" w:lineRule="auto"/>
              <w:ind w:left="425" w:leftChars="0" w:hanging="425" w:firstLineChars="0"/>
              <w:jc w:val="center"/>
              <w:rPr>
                <w:rFonts w:hint="eastAsia"/>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壁厚</w:t>
            </w:r>
          </w:p>
        </w:tc>
        <w:tc>
          <w:tcPr>
            <w:tcW w:w="36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GB/T26002-2010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4"/>
              </w:numPr>
              <w:spacing w:line="240" w:lineRule="auto"/>
              <w:ind w:left="425" w:leftChars="0" w:hanging="425" w:firstLineChars="0"/>
              <w:jc w:val="center"/>
              <w:rPr>
                <w:rFonts w:hint="eastAsia"/>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软管耐高温食用油性</w:t>
            </w:r>
          </w:p>
        </w:tc>
        <w:tc>
          <w:tcPr>
            <w:tcW w:w="36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GB/T26002-2010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4"/>
              </w:numPr>
              <w:spacing w:line="240" w:lineRule="auto"/>
              <w:ind w:left="425" w:leftChars="0" w:hanging="425" w:firstLineChars="0"/>
              <w:jc w:val="center"/>
              <w:rPr>
                <w:rFonts w:hint="eastAsia"/>
                <w:vertAlign w:val="baseline"/>
              </w:rPr>
            </w:pPr>
          </w:p>
        </w:tc>
        <w:tc>
          <w:tcPr>
            <w:tcW w:w="4005" w:type="dxa"/>
            <w:vAlign w:val="center"/>
          </w:tcPr>
          <w:p>
            <w:pPr>
              <w:pStyle w:val="2"/>
              <w:spacing w:line="240" w:lineRule="auto"/>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软管耐食用油性</w:t>
            </w:r>
          </w:p>
        </w:tc>
        <w:tc>
          <w:tcPr>
            <w:tcW w:w="36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GB/T26002-2010</w:t>
            </w:r>
          </w:p>
        </w:tc>
      </w:tr>
    </w:tbl>
    <w:p>
      <w:pPr>
        <w:pStyle w:val="2"/>
        <w:rPr>
          <w:rFonts w:hint="eastAsia"/>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520" w:firstLine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金属燃气软管检验项目</w:t>
      </w:r>
    </w:p>
    <w:tbl>
      <w:tblPr>
        <w:tblStyle w:val="9"/>
        <w:tblW w:w="0" w:type="auto"/>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4005"/>
        <w:gridCol w:w="3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序号</w:t>
            </w:r>
          </w:p>
        </w:tc>
        <w:tc>
          <w:tcPr>
            <w:tcW w:w="4005"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检验项目</w:t>
            </w:r>
          </w:p>
        </w:tc>
        <w:tc>
          <w:tcPr>
            <w:tcW w:w="3690" w:type="dxa"/>
            <w:vAlign w:val="center"/>
          </w:tcPr>
          <w:p>
            <w:pPr>
              <w:pStyle w:val="2"/>
              <w:spacing w:line="240" w:lineRule="auto"/>
              <w:ind w:left="0" w:lef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5"/>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外观</w:t>
            </w:r>
          </w:p>
        </w:tc>
        <w:tc>
          <w:tcPr>
            <w:tcW w:w="3690"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5"/>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燃气胶管壁厚</w:t>
            </w:r>
          </w:p>
        </w:tc>
        <w:tc>
          <w:tcPr>
            <w:tcW w:w="3690"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5"/>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钢丝线径</w:t>
            </w:r>
            <w:bookmarkStart w:id="2" w:name="_GoBack"/>
            <w:bookmarkEnd w:id="2"/>
          </w:p>
        </w:tc>
        <w:tc>
          <w:tcPr>
            <w:tcW w:w="3690"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5"/>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镀锌钢带厚度</w:t>
            </w:r>
          </w:p>
        </w:tc>
        <w:tc>
          <w:tcPr>
            <w:tcW w:w="3690"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5"/>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软管外露橡胶部分</w:t>
            </w:r>
          </w:p>
        </w:tc>
        <w:tc>
          <w:tcPr>
            <w:tcW w:w="3690"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5"/>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管体内径</w:t>
            </w:r>
          </w:p>
        </w:tc>
        <w:tc>
          <w:tcPr>
            <w:tcW w:w="3690"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5"/>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管体外径</w:t>
            </w:r>
          </w:p>
        </w:tc>
        <w:tc>
          <w:tcPr>
            <w:tcW w:w="3690"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vAlign w:val="center"/>
          </w:tcPr>
          <w:p>
            <w:pPr>
              <w:pStyle w:val="2"/>
              <w:numPr>
                <w:ilvl w:val="0"/>
                <w:numId w:val="5"/>
              </w:numPr>
              <w:spacing w:line="240" w:lineRule="auto"/>
              <w:ind w:left="425" w:leftChars="0" w:hanging="425" w:firstLineChars="0"/>
              <w:jc w:val="center"/>
              <w:rPr>
                <w:rFonts w:hint="eastAsia" w:ascii="宋体" w:hAnsi="宋体" w:eastAsia="宋体" w:cs="宋体"/>
                <w:color w:val="auto"/>
                <w:sz w:val="21"/>
                <w:szCs w:val="21"/>
                <w:highlight w:val="none"/>
                <w:vertAlign w:val="baseline"/>
              </w:rPr>
            </w:pPr>
          </w:p>
        </w:tc>
        <w:tc>
          <w:tcPr>
            <w:tcW w:w="4005"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软管挤压试验</w:t>
            </w:r>
          </w:p>
        </w:tc>
        <w:tc>
          <w:tcPr>
            <w:tcW w:w="3690"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CJ/T 490-2016</w:t>
            </w:r>
          </w:p>
        </w:tc>
      </w:tr>
    </w:tbl>
    <w:p>
      <w:pPr>
        <w:rPr>
          <w:rFonts w:hint="eastAsia"/>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16410-2020</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家用燃气灶具</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15322.2-2019</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家用可燃气体探测器</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29993-2013</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燃气用塑料软管</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GB/T26002-2010</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燃气输送不锈钢波纹软管及管件</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CJ/T 490-2016</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燃气用具连接用金属包覆软管</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C283A1"/>
    <w:multiLevelType w:val="singleLevel"/>
    <w:tmpl w:val="8DC283A1"/>
    <w:lvl w:ilvl="0" w:tentative="0">
      <w:start w:val="1"/>
      <w:numFmt w:val="decimal"/>
      <w:lvlText w:val="%1."/>
      <w:lvlJc w:val="left"/>
      <w:pPr>
        <w:ind w:left="425" w:hanging="425"/>
      </w:pPr>
      <w:rPr>
        <w:rFonts w:hint="default"/>
      </w:rPr>
    </w:lvl>
  </w:abstractNum>
  <w:abstractNum w:abstractNumId="1">
    <w:nsid w:val="2E727F47"/>
    <w:multiLevelType w:val="singleLevel"/>
    <w:tmpl w:val="2E727F47"/>
    <w:lvl w:ilvl="0" w:tentative="0">
      <w:start w:val="1"/>
      <w:numFmt w:val="decimal"/>
      <w:lvlText w:val="%1."/>
      <w:lvlJc w:val="left"/>
      <w:pPr>
        <w:ind w:left="425" w:hanging="425"/>
      </w:pPr>
      <w:rPr>
        <w:rFonts w:hint="default"/>
      </w:rPr>
    </w:lvl>
  </w:abstractNum>
  <w:abstractNum w:abstractNumId="2">
    <w:nsid w:val="36F134FA"/>
    <w:multiLevelType w:val="singleLevel"/>
    <w:tmpl w:val="36F134FA"/>
    <w:lvl w:ilvl="0" w:tentative="0">
      <w:start w:val="1"/>
      <w:numFmt w:val="decimal"/>
      <w:lvlText w:val="%1."/>
      <w:lvlJc w:val="left"/>
      <w:pPr>
        <w:ind w:left="425" w:hanging="425"/>
      </w:pPr>
      <w:rPr>
        <w:rFonts w:hint="default"/>
      </w:rPr>
    </w:lvl>
  </w:abstractNum>
  <w:abstractNum w:abstractNumId="3">
    <w:nsid w:val="4174EFAB"/>
    <w:multiLevelType w:val="singleLevel"/>
    <w:tmpl w:val="4174EFAB"/>
    <w:lvl w:ilvl="0" w:tentative="0">
      <w:start w:val="1"/>
      <w:numFmt w:val="decimal"/>
      <w:lvlText w:val="%1."/>
      <w:lvlJc w:val="left"/>
      <w:pPr>
        <w:ind w:left="425" w:hanging="425"/>
      </w:pPr>
      <w:rPr>
        <w:rFonts w:hint="default"/>
      </w:rPr>
    </w:lvl>
  </w:abstractNum>
  <w:abstractNum w:abstractNumId="4">
    <w:nsid w:val="58FF499D"/>
    <w:multiLevelType w:val="singleLevel"/>
    <w:tmpl w:val="58FF499D"/>
    <w:lvl w:ilvl="0" w:tentative="0">
      <w:start w:val="1"/>
      <w:numFmt w:val="decimal"/>
      <w:lvlText w:val="%1."/>
      <w:lvlJc w:val="left"/>
      <w:pPr>
        <w:ind w:left="425" w:hanging="425"/>
      </w:pPr>
      <w:rPr>
        <w:rFont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141165"/>
    <w:rsid w:val="012A6BDB"/>
    <w:rsid w:val="01852063"/>
    <w:rsid w:val="01A85D51"/>
    <w:rsid w:val="01C761D7"/>
    <w:rsid w:val="01C963F3"/>
    <w:rsid w:val="027D2D3A"/>
    <w:rsid w:val="0326557A"/>
    <w:rsid w:val="033E4BBF"/>
    <w:rsid w:val="036A2E67"/>
    <w:rsid w:val="03B92498"/>
    <w:rsid w:val="03D177E1"/>
    <w:rsid w:val="04CE3D21"/>
    <w:rsid w:val="05151950"/>
    <w:rsid w:val="05412745"/>
    <w:rsid w:val="05AD264D"/>
    <w:rsid w:val="06D1542A"/>
    <w:rsid w:val="06D41D6C"/>
    <w:rsid w:val="074A238C"/>
    <w:rsid w:val="07C5140B"/>
    <w:rsid w:val="07F04D43"/>
    <w:rsid w:val="080026C1"/>
    <w:rsid w:val="0822060B"/>
    <w:rsid w:val="083B347B"/>
    <w:rsid w:val="08660A29"/>
    <w:rsid w:val="08713341"/>
    <w:rsid w:val="0935436E"/>
    <w:rsid w:val="095D372A"/>
    <w:rsid w:val="09811362"/>
    <w:rsid w:val="09904F74"/>
    <w:rsid w:val="099E1F14"/>
    <w:rsid w:val="09A86E02"/>
    <w:rsid w:val="09CB082F"/>
    <w:rsid w:val="09DE5915"/>
    <w:rsid w:val="0A546A76"/>
    <w:rsid w:val="0A8D740F"/>
    <w:rsid w:val="0AF075BA"/>
    <w:rsid w:val="0B161F7E"/>
    <w:rsid w:val="0B316DB7"/>
    <w:rsid w:val="0B41524D"/>
    <w:rsid w:val="0B5E608F"/>
    <w:rsid w:val="0BC639A4"/>
    <w:rsid w:val="0BD240F7"/>
    <w:rsid w:val="0C0B7609"/>
    <w:rsid w:val="0C216E2C"/>
    <w:rsid w:val="0C3152C1"/>
    <w:rsid w:val="0C525237"/>
    <w:rsid w:val="0C7D0506"/>
    <w:rsid w:val="0C8E3A3C"/>
    <w:rsid w:val="0D091D9A"/>
    <w:rsid w:val="0D29243C"/>
    <w:rsid w:val="0D5C5C58"/>
    <w:rsid w:val="0D7731A8"/>
    <w:rsid w:val="0DA47D15"/>
    <w:rsid w:val="0DD50CEF"/>
    <w:rsid w:val="0E082052"/>
    <w:rsid w:val="0E0F1632"/>
    <w:rsid w:val="0E1327A4"/>
    <w:rsid w:val="0E5A609B"/>
    <w:rsid w:val="0F2904D1"/>
    <w:rsid w:val="0F8676D2"/>
    <w:rsid w:val="107751B2"/>
    <w:rsid w:val="10944070"/>
    <w:rsid w:val="10991687"/>
    <w:rsid w:val="112278CE"/>
    <w:rsid w:val="113E5D8A"/>
    <w:rsid w:val="11457119"/>
    <w:rsid w:val="11823EC9"/>
    <w:rsid w:val="118E0AC0"/>
    <w:rsid w:val="12096398"/>
    <w:rsid w:val="138A175B"/>
    <w:rsid w:val="13A40300"/>
    <w:rsid w:val="13CE5AEB"/>
    <w:rsid w:val="14C91E0F"/>
    <w:rsid w:val="14CF38C9"/>
    <w:rsid w:val="14D3578A"/>
    <w:rsid w:val="14EC6584"/>
    <w:rsid w:val="15167ED2"/>
    <w:rsid w:val="155B6F0B"/>
    <w:rsid w:val="164B51D1"/>
    <w:rsid w:val="164D719B"/>
    <w:rsid w:val="165A3666"/>
    <w:rsid w:val="16684490"/>
    <w:rsid w:val="16FF6CDE"/>
    <w:rsid w:val="1757450F"/>
    <w:rsid w:val="190A1374"/>
    <w:rsid w:val="192B3098"/>
    <w:rsid w:val="198F3627"/>
    <w:rsid w:val="19B47531"/>
    <w:rsid w:val="1A165AF6"/>
    <w:rsid w:val="1A6E148E"/>
    <w:rsid w:val="1A98775E"/>
    <w:rsid w:val="1AE87493"/>
    <w:rsid w:val="1B6F54BE"/>
    <w:rsid w:val="1B7553FE"/>
    <w:rsid w:val="1C13411D"/>
    <w:rsid w:val="1C2E5379"/>
    <w:rsid w:val="1C580648"/>
    <w:rsid w:val="1C7865F4"/>
    <w:rsid w:val="1CB6536F"/>
    <w:rsid w:val="1D2624F4"/>
    <w:rsid w:val="1D5E3A3C"/>
    <w:rsid w:val="1DD71E52"/>
    <w:rsid w:val="1DE877AA"/>
    <w:rsid w:val="1E3C106B"/>
    <w:rsid w:val="1E6C03DB"/>
    <w:rsid w:val="1E7159F1"/>
    <w:rsid w:val="1E7E37DC"/>
    <w:rsid w:val="1E911BEF"/>
    <w:rsid w:val="1EB51D82"/>
    <w:rsid w:val="1F5F3A9B"/>
    <w:rsid w:val="1F937941"/>
    <w:rsid w:val="1FDA1374"/>
    <w:rsid w:val="1FED72F9"/>
    <w:rsid w:val="1FF57F5C"/>
    <w:rsid w:val="203A06AF"/>
    <w:rsid w:val="217414BE"/>
    <w:rsid w:val="219F0AC7"/>
    <w:rsid w:val="22456F79"/>
    <w:rsid w:val="228E4DC3"/>
    <w:rsid w:val="22E91FFA"/>
    <w:rsid w:val="23255A39"/>
    <w:rsid w:val="23264FFC"/>
    <w:rsid w:val="23B24AE2"/>
    <w:rsid w:val="240F76C7"/>
    <w:rsid w:val="241F37F9"/>
    <w:rsid w:val="24202AB3"/>
    <w:rsid w:val="242332EA"/>
    <w:rsid w:val="24D92627"/>
    <w:rsid w:val="24E0567E"/>
    <w:rsid w:val="253D487F"/>
    <w:rsid w:val="257B0F03"/>
    <w:rsid w:val="25D32AED"/>
    <w:rsid w:val="25FA56E9"/>
    <w:rsid w:val="262275D1"/>
    <w:rsid w:val="26E2748C"/>
    <w:rsid w:val="275D4D64"/>
    <w:rsid w:val="279804A0"/>
    <w:rsid w:val="27A42993"/>
    <w:rsid w:val="27BD1CA7"/>
    <w:rsid w:val="281F201A"/>
    <w:rsid w:val="28254993"/>
    <w:rsid w:val="283E7A1B"/>
    <w:rsid w:val="289447B6"/>
    <w:rsid w:val="28AE7A00"/>
    <w:rsid w:val="28AF7842"/>
    <w:rsid w:val="28E31B7C"/>
    <w:rsid w:val="29705CC6"/>
    <w:rsid w:val="2A273408"/>
    <w:rsid w:val="2ACB0237"/>
    <w:rsid w:val="2B090C0F"/>
    <w:rsid w:val="2B4A5600"/>
    <w:rsid w:val="2B607E88"/>
    <w:rsid w:val="2B6A3EF4"/>
    <w:rsid w:val="2C520C10"/>
    <w:rsid w:val="2C72469C"/>
    <w:rsid w:val="2C7A3CC3"/>
    <w:rsid w:val="2D0A773C"/>
    <w:rsid w:val="2D510EC7"/>
    <w:rsid w:val="2D687FBF"/>
    <w:rsid w:val="2DC518B5"/>
    <w:rsid w:val="2DE87C74"/>
    <w:rsid w:val="2DED6B62"/>
    <w:rsid w:val="2E6643D3"/>
    <w:rsid w:val="2E781B26"/>
    <w:rsid w:val="2E7A61FC"/>
    <w:rsid w:val="2EA414CB"/>
    <w:rsid w:val="2EB03F9E"/>
    <w:rsid w:val="2ED56370"/>
    <w:rsid w:val="2EDE2C2F"/>
    <w:rsid w:val="2F2457F2"/>
    <w:rsid w:val="2F2B74F6"/>
    <w:rsid w:val="2F67728E"/>
    <w:rsid w:val="2F6C3AD9"/>
    <w:rsid w:val="2F8310E0"/>
    <w:rsid w:val="2F8F3F29"/>
    <w:rsid w:val="305D7B83"/>
    <w:rsid w:val="30703D5A"/>
    <w:rsid w:val="307B625B"/>
    <w:rsid w:val="30CA215E"/>
    <w:rsid w:val="317F1D7B"/>
    <w:rsid w:val="31B71515"/>
    <w:rsid w:val="32236BAB"/>
    <w:rsid w:val="322660CF"/>
    <w:rsid w:val="3291620A"/>
    <w:rsid w:val="32E97DF4"/>
    <w:rsid w:val="330B1B18"/>
    <w:rsid w:val="33262BA7"/>
    <w:rsid w:val="337A127F"/>
    <w:rsid w:val="33883169"/>
    <w:rsid w:val="33A15FD9"/>
    <w:rsid w:val="33A51CF4"/>
    <w:rsid w:val="33C543BD"/>
    <w:rsid w:val="34092253"/>
    <w:rsid w:val="345557DE"/>
    <w:rsid w:val="346D235F"/>
    <w:rsid w:val="34831B82"/>
    <w:rsid w:val="34B166F0"/>
    <w:rsid w:val="34C74165"/>
    <w:rsid w:val="351F5D4F"/>
    <w:rsid w:val="355157DD"/>
    <w:rsid w:val="357A0B4A"/>
    <w:rsid w:val="35B30245"/>
    <w:rsid w:val="35E46651"/>
    <w:rsid w:val="35F5085E"/>
    <w:rsid w:val="35FF348B"/>
    <w:rsid w:val="36625EF3"/>
    <w:rsid w:val="36B64491"/>
    <w:rsid w:val="36DE12F2"/>
    <w:rsid w:val="36EE59D9"/>
    <w:rsid w:val="36F154C9"/>
    <w:rsid w:val="36FE0D64"/>
    <w:rsid w:val="37C3246B"/>
    <w:rsid w:val="37EA2644"/>
    <w:rsid w:val="381A164E"/>
    <w:rsid w:val="38743CBC"/>
    <w:rsid w:val="38935966"/>
    <w:rsid w:val="397C3770"/>
    <w:rsid w:val="39BD78E5"/>
    <w:rsid w:val="39D32C64"/>
    <w:rsid w:val="39E82BB3"/>
    <w:rsid w:val="39EC3D26"/>
    <w:rsid w:val="39EE5CF0"/>
    <w:rsid w:val="39EF3F42"/>
    <w:rsid w:val="3A045513"/>
    <w:rsid w:val="3A1219DE"/>
    <w:rsid w:val="3A2A4F7A"/>
    <w:rsid w:val="3A2B0CF2"/>
    <w:rsid w:val="3A2C6A84"/>
    <w:rsid w:val="3A3F654C"/>
    <w:rsid w:val="3AD670ED"/>
    <w:rsid w:val="3AF80B2A"/>
    <w:rsid w:val="3B677B08"/>
    <w:rsid w:val="3B6C3370"/>
    <w:rsid w:val="3BB014AF"/>
    <w:rsid w:val="3BD74C8E"/>
    <w:rsid w:val="3C08753D"/>
    <w:rsid w:val="3C4F3BDE"/>
    <w:rsid w:val="3C553E04"/>
    <w:rsid w:val="3C6A5B02"/>
    <w:rsid w:val="3C905550"/>
    <w:rsid w:val="3CCB40C7"/>
    <w:rsid w:val="3D145A6E"/>
    <w:rsid w:val="3D3103CE"/>
    <w:rsid w:val="3DA46DF1"/>
    <w:rsid w:val="3E2063AA"/>
    <w:rsid w:val="3E4405D4"/>
    <w:rsid w:val="3E6D18D9"/>
    <w:rsid w:val="3EC05EAD"/>
    <w:rsid w:val="3ED92ACB"/>
    <w:rsid w:val="3EEA117C"/>
    <w:rsid w:val="3F2C55ED"/>
    <w:rsid w:val="3F373C95"/>
    <w:rsid w:val="3FF46B48"/>
    <w:rsid w:val="3FFB2F15"/>
    <w:rsid w:val="40D20119"/>
    <w:rsid w:val="411E6EBB"/>
    <w:rsid w:val="412F731A"/>
    <w:rsid w:val="413C6D2E"/>
    <w:rsid w:val="421972FB"/>
    <w:rsid w:val="421A3B26"/>
    <w:rsid w:val="421F738E"/>
    <w:rsid w:val="4250579A"/>
    <w:rsid w:val="429A6A15"/>
    <w:rsid w:val="436E4771"/>
    <w:rsid w:val="4374370A"/>
    <w:rsid w:val="438438A3"/>
    <w:rsid w:val="43E50164"/>
    <w:rsid w:val="44E22150"/>
    <w:rsid w:val="451C1963"/>
    <w:rsid w:val="45246A6A"/>
    <w:rsid w:val="45625E73"/>
    <w:rsid w:val="4568543D"/>
    <w:rsid w:val="45D71D2E"/>
    <w:rsid w:val="46333408"/>
    <w:rsid w:val="463D4287"/>
    <w:rsid w:val="469F284C"/>
    <w:rsid w:val="46B1432D"/>
    <w:rsid w:val="46BA1434"/>
    <w:rsid w:val="46CE1383"/>
    <w:rsid w:val="46EF4D27"/>
    <w:rsid w:val="4707219F"/>
    <w:rsid w:val="473531B0"/>
    <w:rsid w:val="478A34FC"/>
    <w:rsid w:val="47953C4F"/>
    <w:rsid w:val="47961EA1"/>
    <w:rsid w:val="47E56984"/>
    <w:rsid w:val="48594A0A"/>
    <w:rsid w:val="4860600B"/>
    <w:rsid w:val="48E22EC4"/>
    <w:rsid w:val="490C7F41"/>
    <w:rsid w:val="49470F79"/>
    <w:rsid w:val="49521DF7"/>
    <w:rsid w:val="49535B70"/>
    <w:rsid w:val="495D254A"/>
    <w:rsid w:val="49690EEF"/>
    <w:rsid w:val="49787E20"/>
    <w:rsid w:val="49845D29"/>
    <w:rsid w:val="49951C31"/>
    <w:rsid w:val="4A176B9D"/>
    <w:rsid w:val="4A510301"/>
    <w:rsid w:val="4A8A3813"/>
    <w:rsid w:val="4A960F1F"/>
    <w:rsid w:val="4ABB463C"/>
    <w:rsid w:val="4AC5484B"/>
    <w:rsid w:val="4ADD3943"/>
    <w:rsid w:val="4AE42F23"/>
    <w:rsid w:val="4B9E7576"/>
    <w:rsid w:val="4C211F55"/>
    <w:rsid w:val="4C6D519A"/>
    <w:rsid w:val="4C83051A"/>
    <w:rsid w:val="4C8F3716"/>
    <w:rsid w:val="4D1D271C"/>
    <w:rsid w:val="4D3F6B37"/>
    <w:rsid w:val="4D4E0B28"/>
    <w:rsid w:val="4D5325E2"/>
    <w:rsid w:val="4D626ED4"/>
    <w:rsid w:val="4D693B48"/>
    <w:rsid w:val="4DDC6134"/>
    <w:rsid w:val="4E165AE9"/>
    <w:rsid w:val="4E1F4272"/>
    <w:rsid w:val="4E9904C8"/>
    <w:rsid w:val="4ED27537"/>
    <w:rsid w:val="4EF456FF"/>
    <w:rsid w:val="4F2953A8"/>
    <w:rsid w:val="4F4B17C3"/>
    <w:rsid w:val="4F5E3030"/>
    <w:rsid w:val="4F6A5955"/>
    <w:rsid w:val="4F730D1A"/>
    <w:rsid w:val="4F732AC8"/>
    <w:rsid w:val="4FA233AD"/>
    <w:rsid w:val="50B25872"/>
    <w:rsid w:val="50C17863"/>
    <w:rsid w:val="50CC248F"/>
    <w:rsid w:val="51143E36"/>
    <w:rsid w:val="512247A5"/>
    <w:rsid w:val="51295B34"/>
    <w:rsid w:val="516721B8"/>
    <w:rsid w:val="51A056CA"/>
    <w:rsid w:val="51AC0513"/>
    <w:rsid w:val="51BF3DA2"/>
    <w:rsid w:val="520E0886"/>
    <w:rsid w:val="527728CF"/>
    <w:rsid w:val="5294522F"/>
    <w:rsid w:val="5296645B"/>
    <w:rsid w:val="536C4DC1"/>
    <w:rsid w:val="545F12DA"/>
    <w:rsid w:val="5474356A"/>
    <w:rsid w:val="54CF07A0"/>
    <w:rsid w:val="54E63D3C"/>
    <w:rsid w:val="5512068D"/>
    <w:rsid w:val="55457F4A"/>
    <w:rsid w:val="55837D4F"/>
    <w:rsid w:val="558E065B"/>
    <w:rsid w:val="562F0A7F"/>
    <w:rsid w:val="56414B0E"/>
    <w:rsid w:val="56586573"/>
    <w:rsid w:val="566B44F9"/>
    <w:rsid w:val="56DE116E"/>
    <w:rsid w:val="571A1A7B"/>
    <w:rsid w:val="571E156B"/>
    <w:rsid w:val="579730CB"/>
    <w:rsid w:val="57BD6FD6"/>
    <w:rsid w:val="57E26993"/>
    <w:rsid w:val="58311772"/>
    <w:rsid w:val="58411B59"/>
    <w:rsid w:val="58E40592"/>
    <w:rsid w:val="59113006"/>
    <w:rsid w:val="592D3CE7"/>
    <w:rsid w:val="59AD6BD6"/>
    <w:rsid w:val="59B44408"/>
    <w:rsid w:val="5A56618B"/>
    <w:rsid w:val="5A6E45B7"/>
    <w:rsid w:val="5B525C87"/>
    <w:rsid w:val="5BE93CBD"/>
    <w:rsid w:val="5C2752F2"/>
    <w:rsid w:val="5C583771"/>
    <w:rsid w:val="5C6C4246"/>
    <w:rsid w:val="5CBC3158"/>
    <w:rsid w:val="5CD5691D"/>
    <w:rsid w:val="5CEE5E83"/>
    <w:rsid w:val="5D395350"/>
    <w:rsid w:val="5D4B5084"/>
    <w:rsid w:val="5DAB78D0"/>
    <w:rsid w:val="5DE76B45"/>
    <w:rsid w:val="5E9465B6"/>
    <w:rsid w:val="5E9C0A87"/>
    <w:rsid w:val="5EBD78BB"/>
    <w:rsid w:val="5ECC7AFE"/>
    <w:rsid w:val="601620D0"/>
    <w:rsid w:val="610C2B17"/>
    <w:rsid w:val="618E3791"/>
    <w:rsid w:val="61D70C94"/>
    <w:rsid w:val="620178CE"/>
    <w:rsid w:val="62145A44"/>
    <w:rsid w:val="624236EE"/>
    <w:rsid w:val="626C3AD2"/>
    <w:rsid w:val="626D1039"/>
    <w:rsid w:val="62916D12"/>
    <w:rsid w:val="62B62F9F"/>
    <w:rsid w:val="63181564"/>
    <w:rsid w:val="63422A85"/>
    <w:rsid w:val="634265E1"/>
    <w:rsid w:val="63506F50"/>
    <w:rsid w:val="63512CC8"/>
    <w:rsid w:val="63A177AC"/>
    <w:rsid w:val="63ED0C43"/>
    <w:rsid w:val="63F7531E"/>
    <w:rsid w:val="640970FF"/>
    <w:rsid w:val="642B176B"/>
    <w:rsid w:val="64610CE9"/>
    <w:rsid w:val="64B96D77"/>
    <w:rsid w:val="652C12F7"/>
    <w:rsid w:val="65426D6C"/>
    <w:rsid w:val="65DC6820"/>
    <w:rsid w:val="661001E2"/>
    <w:rsid w:val="662B4B98"/>
    <w:rsid w:val="66320B8F"/>
    <w:rsid w:val="66BB5028"/>
    <w:rsid w:val="66DC0AFB"/>
    <w:rsid w:val="67A91325"/>
    <w:rsid w:val="67D04B25"/>
    <w:rsid w:val="682E182A"/>
    <w:rsid w:val="686E1C26"/>
    <w:rsid w:val="68E32614"/>
    <w:rsid w:val="68F4037D"/>
    <w:rsid w:val="69012A9A"/>
    <w:rsid w:val="690B56C7"/>
    <w:rsid w:val="6A42336B"/>
    <w:rsid w:val="6AD2309E"/>
    <w:rsid w:val="6AED2C53"/>
    <w:rsid w:val="6AFC176B"/>
    <w:rsid w:val="6B301415"/>
    <w:rsid w:val="6B9B0F84"/>
    <w:rsid w:val="6BDB3A77"/>
    <w:rsid w:val="6C3F5AA0"/>
    <w:rsid w:val="6C5D448C"/>
    <w:rsid w:val="6CB06CB1"/>
    <w:rsid w:val="6D8F4B19"/>
    <w:rsid w:val="6E3F653F"/>
    <w:rsid w:val="6E7A30D3"/>
    <w:rsid w:val="6F713639"/>
    <w:rsid w:val="6F742582"/>
    <w:rsid w:val="6F993A2D"/>
    <w:rsid w:val="6FCF744E"/>
    <w:rsid w:val="6FE21015"/>
    <w:rsid w:val="709B2943"/>
    <w:rsid w:val="70A1703D"/>
    <w:rsid w:val="70F829D5"/>
    <w:rsid w:val="71022CB5"/>
    <w:rsid w:val="721056AE"/>
    <w:rsid w:val="721101F2"/>
    <w:rsid w:val="728C1207"/>
    <w:rsid w:val="72B1108D"/>
    <w:rsid w:val="72E444E7"/>
    <w:rsid w:val="7309711B"/>
    <w:rsid w:val="73557ED4"/>
    <w:rsid w:val="73591E51"/>
    <w:rsid w:val="73E57241"/>
    <w:rsid w:val="743106D8"/>
    <w:rsid w:val="74343D24"/>
    <w:rsid w:val="744D3038"/>
    <w:rsid w:val="7456238C"/>
    <w:rsid w:val="74744A68"/>
    <w:rsid w:val="74A7099A"/>
    <w:rsid w:val="74EE65C9"/>
    <w:rsid w:val="75DC7281"/>
    <w:rsid w:val="76530BA6"/>
    <w:rsid w:val="771A5453"/>
    <w:rsid w:val="77440722"/>
    <w:rsid w:val="77BE6726"/>
    <w:rsid w:val="77C17FC5"/>
    <w:rsid w:val="77DE46D3"/>
    <w:rsid w:val="77F02658"/>
    <w:rsid w:val="78A31478"/>
    <w:rsid w:val="78CC4E73"/>
    <w:rsid w:val="78DD2BDC"/>
    <w:rsid w:val="790463BB"/>
    <w:rsid w:val="79142376"/>
    <w:rsid w:val="79264618"/>
    <w:rsid w:val="79331514"/>
    <w:rsid w:val="795D5ACB"/>
    <w:rsid w:val="79AD749A"/>
    <w:rsid w:val="79D044EF"/>
    <w:rsid w:val="79F44681"/>
    <w:rsid w:val="7A85352B"/>
    <w:rsid w:val="7ADB314B"/>
    <w:rsid w:val="7AE77D42"/>
    <w:rsid w:val="7B391AEF"/>
    <w:rsid w:val="7BFB64B0"/>
    <w:rsid w:val="7C825254"/>
    <w:rsid w:val="7C9275E1"/>
    <w:rsid w:val="7CE3278B"/>
    <w:rsid w:val="7D180687"/>
    <w:rsid w:val="7DA909C1"/>
    <w:rsid w:val="7DB859C6"/>
    <w:rsid w:val="7DCE7921"/>
    <w:rsid w:val="7DD50326"/>
    <w:rsid w:val="7E431733"/>
    <w:rsid w:val="7E6B6EDC"/>
    <w:rsid w:val="7E977CD1"/>
    <w:rsid w:val="7E9E2E0E"/>
    <w:rsid w:val="7EEA6053"/>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1012</Words>
  <Characters>1320</Characters>
  <Lines>0</Lines>
  <Paragraphs>0</Paragraphs>
  <TotalTime>18</TotalTime>
  <ScaleCrop>false</ScaleCrop>
  <LinksUpToDate>false</LinksUpToDate>
  <CharactersWithSpaces>1388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2024-04-26T07:12:43Z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