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lang w:val="en-US" w:eastAsia="zh-CN"/>
        </w:rPr>
        <w:t>2024年</w:t>
      </w:r>
      <w:r>
        <w:rPr>
          <w:rFonts w:hint="eastAsia" w:ascii="宋体" w:hAnsi="宋体" w:cs="宋体"/>
          <w:b/>
          <w:bCs/>
          <w:color w:val="auto"/>
          <w:sz w:val="32"/>
          <w:szCs w:val="32"/>
          <w:highlight w:val="none"/>
          <w:lang w:val="en-US" w:eastAsia="zh-CN"/>
        </w:rPr>
        <w:t>信阳市电热水壶</w:t>
      </w:r>
      <w:r>
        <w:rPr>
          <w:rFonts w:hint="eastAsia" w:ascii="宋体" w:hAnsi="宋体" w:eastAsia="宋体" w:cs="宋体"/>
          <w:b/>
          <w:bCs/>
          <w:color w:val="auto"/>
          <w:sz w:val="32"/>
          <w:szCs w:val="32"/>
          <w:highlight w:val="none"/>
          <w:lang w:val="en-US" w:eastAsia="zh-CN"/>
        </w:rPr>
        <w:t>产品质量监督抽查实施细则</w:t>
      </w:r>
    </w:p>
    <w:p>
      <w:pPr>
        <w:pStyle w:val="4"/>
        <w:rPr>
          <w:rFonts w:hint="eastAsia"/>
          <w:color w:val="auto"/>
          <w:highlight w:val="none"/>
        </w:rPr>
      </w:pPr>
    </w:p>
    <w:p>
      <w:pPr>
        <w:keepNext w:val="0"/>
        <w:keepLines w:val="0"/>
        <w:pageBreakBefore w:val="0"/>
        <w:widowControl w:val="0"/>
        <w:kinsoku/>
        <w:wordWrap/>
        <w:overflowPunct/>
        <w:topLinePunct w:val="0"/>
        <w:autoSpaceDE/>
        <w:autoSpaceDN/>
        <w:bidi w:val="0"/>
        <w:adjustRightInd/>
        <w:snapToGrid w:val="0"/>
        <w:spacing w:line="44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 抽样方法</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随机数一般可使用随机数表等方法产生。</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每批次产品抽样数量见表</w:t>
      </w:r>
      <w:r>
        <w:rPr>
          <w:rFonts w:hint="eastAsia" w:ascii="宋体" w:hAnsi="宋体" w:eastAsia="宋体" w:cs="宋体"/>
          <w:color w:val="auto"/>
          <w:sz w:val="21"/>
          <w:szCs w:val="21"/>
          <w:highlight w:val="none"/>
          <w:lang w:val="en-US" w:eastAsia="zh-CN"/>
        </w:rPr>
        <w:t>1。</w:t>
      </w:r>
    </w:p>
    <w:p>
      <w:pPr>
        <w:keepNext w:val="0"/>
        <w:keepLines w:val="0"/>
        <w:pageBreakBefore w:val="0"/>
        <w:widowControl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表1 抽样数量</w:t>
      </w:r>
    </w:p>
    <w:tbl>
      <w:tblPr>
        <w:tblStyle w:val="8"/>
        <w:tblW w:w="85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9"/>
        <w:gridCol w:w="2167"/>
        <w:gridCol w:w="1983"/>
        <w:gridCol w:w="1850"/>
        <w:gridCol w:w="1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79"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序号</w:t>
            </w:r>
          </w:p>
        </w:tc>
        <w:tc>
          <w:tcPr>
            <w:tcW w:w="2167"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产品名称</w:t>
            </w:r>
          </w:p>
        </w:tc>
        <w:tc>
          <w:tcPr>
            <w:tcW w:w="1983"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抽样数量</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检样数量</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备样数量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79"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1</w:t>
            </w:r>
          </w:p>
        </w:tc>
        <w:tc>
          <w:tcPr>
            <w:tcW w:w="2167"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电热水壶</w:t>
            </w:r>
          </w:p>
        </w:tc>
        <w:tc>
          <w:tcPr>
            <w:tcW w:w="1983"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3台</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2台</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1台</w:t>
            </w:r>
          </w:p>
        </w:tc>
      </w:tr>
    </w:tbl>
    <w:p>
      <w:pPr>
        <w:keepNext w:val="0"/>
        <w:keepLines w:val="0"/>
        <w:pageBreakBefore w:val="0"/>
        <w:kinsoku/>
        <w:wordWrap/>
        <w:overflowPunct/>
        <w:topLinePunct w:val="0"/>
        <w:autoSpaceDE/>
        <w:autoSpaceDN/>
        <w:bidi w:val="0"/>
        <w:snapToGrid w:val="0"/>
        <w:spacing w:line="44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 检验依据</w:t>
      </w:r>
    </w:p>
    <w:p>
      <w:pPr>
        <w:keepNext w:val="0"/>
        <w:keepLines w:val="0"/>
        <w:pageBreakBefore w:val="0"/>
        <w:kinsoku/>
        <w:wordWrap/>
        <w:overflowPunct/>
        <w:topLinePunct w:val="0"/>
        <w:autoSpaceDE/>
        <w:autoSpaceDN/>
        <w:bidi w:val="0"/>
        <w:spacing w:line="44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表2 </w:t>
      </w:r>
      <w:r>
        <w:rPr>
          <w:rFonts w:hint="eastAsia" w:ascii="宋体" w:hAnsi="宋体" w:cs="宋体"/>
          <w:color w:val="auto"/>
          <w:sz w:val="21"/>
          <w:szCs w:val="21"/>
          <w:highlight w:val="none"/>
          <w:lang w:val="en-US" w:eastAsia="zh-CN"/>
        </w:rPr>
        <w:t>电热水壶</w:t>
      </w:r>
      <w:r>
        <w:rPr>
          <w:rFonts w:hint="eastAsia" w:ascii="宋体" w:hAnsi="宋体" w:eastAsia="宋体" w:cs="宋体"/>
          <w:color w:val="auto"/>
          <w:sz w:val="21"/>
          <w:szCs w:val="21"/>
          <w:highlight w:val="none"/>
          <w:lang w:val="en-US" w:eastAsia="zh-CN"/>
        </w:rPr>
        <w:t>检验项目</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2"/>
        <w:gridCol w:w="4033"/>
        <w:gridCol w:w="3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检验项目</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color w:val="auto"/>
                <w:kern w:val="0"/>
                <w:sz w:val="21"/>
                <w:szCs w:val="21"/>
                <w:highlight w:val="none"/>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稳定性和机械危险</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color w:val="auto"/>
                <w:kern w:val="0"/>
                <w:sz w:val="21"/>
                <w:szCs w:val="21"/>
                <w:highlight w:val="none"/>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结构</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color w:val="auto"/>
                <w:kern w:val="0"/>
                <w:sz w:val="21"/>
                <w:szCs w:val="21"/>
                <w:highlight w:val="none"/>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内部布线</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元件</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电源连接和外部软线</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外部导线用接线端子</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接地措施</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螺钉和连接</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电气间隙</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爬电距离和固体绝缘</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 4706.1-2005</w:t>
            </w:r>
          </w:p>
        </w:tc>
      </w:tr>
    </w:tbl>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2940" w:firstLineChars="1400"/>
        <w:textAlignment w:val="auto"/>
        <w:rPr>
          <w:rFonts w:hint="eastAsia" w:ascii="宋体" w:hAnsi="宋体" w:eastAsia="宋体" w:cs="宋体"/>
          <w:color w:val="auto"/>
          <w:sz w:val="21"/>
          <w:szCs w:val="21"/>
          <w:highlight w:val="none"/>
        </w:rPr>
      </w:pP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snapToGrid w:val="0"/>
        <w:spacing w:line="440" w:lineRule="exact"/>
        <w:ind w:left="0" w:leftChars="0" w:firstLine="359" w:firstLineChars="171"/>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snapToGrid w:val="0"/>
        <w:spacing w:line="440" w:lineRule="exact"/>
        <w:ind w:left="0" w:leftChars="0" w:firstLine="359" w:firstLineChars="171"/>
        <w:textAlignment w:val="auto"/>
        <w:rPr>
          <w:rFonts w:hint="eastAsia" w:ascii="宋体" w:hAnsi="宋体" w:eastAsia="宋体" w:cs="宋体"/>
          <w:color w:val="auto"/>
          <w:sz w:val="21"/>
          <w:szCs w:val="21"/>
          <w:highlight w:val="none"/>
        </w:rPr>
      </w:pPr>
    </w:p>
    <w:p>
      <w:pPr>
        <w:keepNext w:val="0"/>
        <w:keepLines w:val="0"/>
        <w:pageBreakBefore w:val="0"/>
        <w:widowControl w:val="0"/>
        <w:kinsoku/>
        <w:wordWrap/>
        <w:overflowPunct/>
        <w:topLinePunct w:val="0"/>
        <w:autoSpaceDE/>
        <w:autoSpaceDN/>
        <w:bidi w:val="0"/>
        <w:spacing w:line="44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 判定规则</w:t>
      </w:r>
    </w:p>
    <w:p>
      <w:pPr>
        <w:keepNext w:val="0"/>
        <w:keepLines w:val="0"/>
        <w:pageBreakBefore w:val="0"/>
        <w:widowControl w:val="0"/>
        <w:kinsoku/>
        <w:wordWrap/>
        <w:overflowPunct/>
        <w:topLinePunct w:val="0"/>
        <w:autoSpaceDE/>
        <w:autoSpaceDN/>
        <w:bidi w:val="0"/>
        <w:snapToGrid w:val="0"/>
        <w:spacing w:line="440" w:lineRule="exact"/>
        <w:ind w:left="0" w:lef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3.1依据标准</w:t>
      </w:r>
      <w:bookmarkStart w:id="0" w:name="_Hlk32567754"/>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GB 4706.1-2005</w:t>
      </w:r>
      <w:r>
        <w:rPr>
          <w:rFonts w:hint="eastAsia" w:ascii="宋体" w:hAnsi="宋体" w:cs="宋体"/>
          <w:color w:val="auto"/>
          <w:sz w:val="21"/>
          <w:szCs w:val="21"/>
          <w:highlight w:val="none"/>
          <w:lang w:val="en-US" w:eastAsia="zh-CN"/>
        </w:rPr>
        <w:t xml:space="preserve"> 家用和类似用途电器的安全 第1部分：通用要求</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eastAsia="宋体" w:cs="宋体"/>
          <w:color w:val="auto"/>
          <w:sz w:val="21"/>
          <w:szCs w:val="21"/>
          <w:highlight w:val="none"/>
          <w:lang w:val="en-US" w:eastAsia="zh-CN"/>
        </w:rPr>
      </w:pPr>
      <w:bookmarkStart w:id="2" w:name="_GoBack"/>
      <w:bookmarkEnd w:id="2"/>
      <w:r>
        <w:rPr>
          <w:rFonts w:hint="eastAsia" w:ascii="宋体" w:hAnsi="宋体" w:eastAsia="宋体" w:cs="宋体"/>
          <w:color w:val="auto"/>
          <w:sz w:val="21"/>
          <w:szCs w:val="21"/>
          <w:highlight w:val="none"/>
          <w:lang w:val="en-US" w:eastAsia="zh-CN"/>
        </w:rPr>
        <w:t>现行有效的企业标准、团体标准、地方标准及产品明示质量要求</w:t>
      </w:r>
    </w:p>
    <w:bookmarkEnd w:id="0"/>
    <w:p>
      <w:pPr>
        <w:keepNext w:val="0"/>
        <w:keepLines w:val="0"/>
        <w:pageBreakBefore w:val="0"/>
        <w:widowControl w:val="0"/>
        <w:kinsoku/>
        <w:wordWrap/>
        <w:overflowPunct/>
        <w:topLinePunct w:val="0"/>
        <w:autoSpaceDE/>
        <w:autoSpaceDN/>
        <w:bidi w:val="0"/>
        <w:snapToGrid w:val="0"/>
        <w:spacing w:line="440" w:lineRule="exact"/>
        <w:ind w:left="0" w:leftChars="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3.2判定原则</w:t>
      </w:r>
    </w:p>
    <w:p>
      <w:pPr>
        <w:keepNext w:val="0"/>
        <w:keepLines w:val="0"/>
        <w:pageBreakBefore w:val="0"/>
        <w:widowControl w:val="0"/>
        <w:kinsoku/>
        <w:wordWrap/>
        <w:overflowPunct/>
        <w:topLinePunct w:val="0"/>
        <w:autoSpaceDE/>
        <w:autoSpaceDN/>
        <w:bidi w:val="0"/>
        <w:snapToGrid w:val="0"/>
        <w:spacing w:line="440" w:lineRule="exact"/>
        <w:ind w:left="0" w:leftChars="0" w:firstLine="420" w:firstLineChars="200"/>
        <w:textAlignment w:val="auto"/>
        <w:rPr>
          <w:rFonts w:hint="eastAsia" w:ascii="宋体" w:hAnsi="宋体" w:eastAsia="宋体" w:cs="宋体"/>
          <w:color w:val="auto"/>
          <w:kern w:val="2"/>
          <w:sz w:val="21"/>
          <w:szCs w:val="21"/>
          <w:highlight w:val="none"/>
          <w:lang w:val="en-US" w:eastAsia="zh-CN" w:bidi="ar-SA"/>
        </w:rPr>
      </w:pPr>
      <w:bookmarkStart w:id="1" w:name="_Hlk33514746"/>
      <w:r>
        <w:rPr>
          <w:rFonts w:hint="eastAsia" w:ascii="宋体" w:hAnsi="宋体" w:eastAsia="宋体" w:cs="宋体"/>
          <w:color w:val="auto"/>
          <w:kern w:val="2"/>
          <w:sz w:val="21"/>
          <w:szCs w:val="21"/>
          <w:highlight w:val="none"/>
          <w:lang w:val="en-US" w:eastAsia="zh-CN" w:bidi="ar-SA"/>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若被检产品明示的质量要求缺少本细则中检验项目依据的推荐性标准要求时，该项目不参与判定。</w:t>
      </w:r>
      <w:bookmarkEnd w:id="1"/>
    </w:p>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separate"/>
    </w:r>
    <w:r>
      <w:rPr>
        <w:rStyle w:val="11"/>
      </w:rPr>
      <w:t>2</w:t>
    </w:r>
    <w:r>
      <w:fldChar w:fldCharType="end"/>
    </w:r>
  </w:p>
  <w:p>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FF499D"/>
    <w:multiLevelType w:val="singleLevel"/>
    <w:tmpl w:val="58FF499D"/>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mMGY0NDRhMDljNjM3ZmM0MTNlYjhjZjBkMmNlYjEifQ=="/>
    <w:docVar w:name="KSO_WPS_MARK_KEY" w:val="87cac2fa-0a50-46e3-834d-f98d8c64d2fd"/>
  </w:docVars>
  <w:rsids>
    <w:rsidRoot w:val="00000000"/>
    <w:rsid w:val="006B44D0"/>
    <w:rsid w:val="009C512B"/>
    <w:rsid w:val="00B47494"/>
    <w:rsid w:val="01090B26"/>
    <w:rsid w:val="01127559"/>
    <w:rsid w:val="01141165"/>
    <w:rsid w:val="012A6BDB"/>
    <w:rsid w:val="01687703"/>
    <w:rsid w:val="01852063"/>
    <w:rsid w:val="01A85D51"/>
    <w:rsid w:val="01C963F3"/>
    <w:rsid w:val="02005B8D"/>
    <w:rsid w:val="027D2D3A"/>
    <w:rsid w:val="02ED1C6E"/>
    <w:rsid w:val="0326557A"/>
    <w:rsid w:val="036A2E67"/>
    <w:rsid w:val="03D177E1"/>
    <w:rsid w:val="04CE3D21"/>
    <w:rsid w:val="05151950"/>
    <w:rsid w:val="05412745"/>
    <w:rsid w:val="05AD264D"/>
    <w:rsid w:val="06D1542A"/>
    <w:rsid w:val="074A238C"/>
    <w:rsid w:val="07C5140B"/>
    <w:rsid w:val="07F04D43"/>
    <w:rsid w:val="080026C1"/>
    <w:rsid w:val="0822060B"/>
    <w:rsid w:val="08713341"/>
    <w:rsid w:val="095D372A"/>
    <w:rsid w:val="09904F74"/>
    <w:rsid w:val="099E1F14"/>
    <w:rsid w:val="09DE5915"/>
    <w:rsid w:val="0A546A76"/>
    <w:rsid w:val="0B161F7E"/>
    <w:rsid w:val="0BC639A4"/>
    <w:rsid w:val="0BD240F7"/>
    <w:rsid w:val="0C216E2C"/>
    <w:rsid w:val="0C3152C1"/>
    <w:rsid w:val="0C525237"/>
    <w:rsid w:val="0C7D0506"/>
    <w:rsid w:val="0C8E3A3C"/>
    <w:rsid w:val="0D091D9A"/>
    <w:rsid w:val="0D29243C"/>
    <w:rsid w:val="0D7731A8"/>
    <w:rsid w:val="0DA47D15"/>
    <w:rsid w:val="0DD50CEF"/>
    <w:rsid w:val="0E082052"/>
    <w:rsid w:val="0E0F1632"/>
    <w:rsid w:val="0E1327A4"/>
    <w:rsid w:val="0E5A609B"/>
    <w:rsid w:val="0F8676D2"/>
    <w:rsid w:val="107751B2"/>
    <w:rsid w:val="10944070"/>
    <w:rsid w:val="112278CE"/>
    <w:rsid w:val="118E0AC0"/>
    <w:rsid w:val="12096398"/>
    <w:rsid w:val="127537FB"/>
    <w:rsid w:val="138A175B"/>
    <w:rsid w:val="13A40300"/>
    <w:rsid w:val="13CE5AEB"/>
    <w:rsid w:val="14C91E0F"/>
    <w:rsid w:val="14D3578A"/>
    <w:rsid w:val="14EC6584"/>
    <w:rsid w:val="15167ED2"/>
    <w:rsid w:val="155B6F0B"/>
    <w:rsid w:val="16027CCE"/>
    <w:rsid w:val="164B51D1"/>
    <w:rsid w:val="164D719B"/>
    <w:rsid w:val="165A3666"/>
    <w:rsid w:val="16684490"/>
    <w:rsid w:val="16FF6CDE"/>
    <w:rsid w:val="190A1374"/>
    <w:rsid w:val="19B47531"/>
    <w:rsid w:val="1A98775E"/>
    <w:rsid w:val="1B6F54BE"/>
    <w:rsid w:val="1B852F33"/>
    <w:rsid w:val="1C13411D"/>
    <w:rsid w:val="1C7865F4"/>
    <w:rsid w:val="1CB6536F"/>
    <w:rsid w:val="1D2624F4"/>
    <w:rsid w:val="1D5E3A3C"/>
    <w:rsid w:val="1DD71E52"/>
    <w:rsid w:val="1E0D7210"/>
    <w:rsid w:val="1E6C03DB"/>
    <w:rsid w:val="1E7159F1"/>
    <w:rsid w:val="1E7E37DC"/>
    <w:rsid w:val="1E911BEF"/>
    <w:rsid w:val="1EB51D82"/>
    <w:rsid w:val="1F5F3A9B"/>
    <w:rsid w:val="1F937941"/>
    <w:rsid w:val="1FDA1374"/>
    <w:rsid w:val="1FF57F5C"/>
    <w:rsid w:val="203A06AF"/>
    <w:rsid w:val="217A2E0F"/>
    <w:rsid w:val="219F0AC7"/>
    <w:rsid w:val="22456F79"/>
    <w:rsid w:val="228E4DC3"/>
    <w:rsid w:val="22E91FFA"/>
    <w:rsid w:val="23264FFC"/>
    <w:rsid w:val="23B24AE2"/>
    <w:rsid w:val="240F76C7"/>
    <w:rsid w:val="241F37F9"/>
    <w:rsid w:val="242332EA"/>
    <w:rsid w:val="24D92627"/>
    <w:rsid w:val="253D487F"/>
    <w:rsid w:val="257B0F03"/>
    <w:rsid w:val="25CE197B"/>
    <w:rsid w:val="25D32AED"/>
    <w:rsid w:val="25FA56E9"/>
    <w:rsid w:val="262275D1"/>
    <w:rsid w:val="26E2748C"/>
    <w:rsid w:val="27A42993"/>
    <w:rsid w:val="27BD1CA7"/>
    <w:rsid w:val="28041684"/>
    <w:rsid w:val="281F201A"/>
    <w:rsid w:val="28254993"/>
    <w:rsid w:val="28616AD6"/>
    <w:rsid w:val="289447B6"/>
    <w:rsid w:val="28AE7A00"/>
    <w:rsid w:val="28AF7842"/>
    <w:rsid w:val="28C01A4F"/>
    <w:rsid w:val="2931206D"/>
    <w:rsid w:val="29580007"/>
    <w:rsid w:val="2A273408"/>
    <w:rsid w:val="2B090C0F"/>
    <w:rsid w:val="2B4A5600"/>
    <w:rsid w:val="2B607E88"/>
    <w:rsid w:val="2B6A3EF4"/>
    <w:rsid w:val="2C520C10"/>
    <w:rsid w:val="2C9F7BCD"/>
    <w:rsid w:val="2D0A773C"/>
    <w:rsid w:val="2D510EC7"/>
    <w:rsid w:val="2DC518B5"/>
    <w:rsid w:val="2DE87C74"/>
    <w:rsid w:val="2DED6B62"/>
    <w:rsid w:val="2E710EAE"/>
    <w:rsid w:val="2E781B26"/>
    <w:rsid w:val="2E7A61FC"/>
    <w:rsid w:val="2EB03F9E"/>
    <w:rsid w:val="2ED56370"/>
    <w:rsid w:val="2EDE2C2F"/>
    <w:rsid w:val="2F2457F2"/>
    <w:rsid w:val="2F2B74F6"/>
    <w:rsid w:val="2F67728E"/>
    <w:rsid w:val="2F6C3AD9"/>
    <w:rsid w:val="2F8F3F29"/>
    <w:rsid w:val="30703D5A"/>
    <w:rsid w:val="307B625B"/>
    <w:rsid w:val="307F5D4C"/>
    <w:rsid w:val="30CA215E"/>
    <w:rsid w:val="317F1D7B"/>
    <w:rsid w:val="32236BAB"/>
    <w:rsid w:val="322660CF"/>
    <w:rsid w:val="322841C1"/>
    <w:rsid w:val="330B1B18"/>
    <w:rsid w:val="33262BA7"/>
    <w:rsid w:val="337A127F"/>
    <w:rsid w:val="33883169"/>
    <w:rsid w:val="33A15FD9"/>
    <w:rsid w:val="33C543BD"/>
    <w:rsid w:val="342A2472"/>
    <w:rsid w:val="345557DE"/>
    <w:rsid w:val="346D235F"/>
    <w:rsid w:val="34831B82"/>
    <w:rsid w:val="351F5D4F"/>
    <w:rsid w:val="355157DD"/>
    <w:rsid w:val="357A0B4A"/>
    <w:rsid w:val="35B30245"/>
    <w:rsid w:val="35F5085E"/>
    <w:rsid w:val="36260A17"/>
    <w:rsid w:val="36625EF3"/>
    <w:rsid w:val="36B64491"/>
    <w:rsid w:val="36EE59D9"/>
    <w:rsid w:val="36F154C9"/>
    <w:rsid w:val="36FE0D64"/>
    <w:rsid w:val="37C3246B"/>
    <w:rsid w:val="38163439"/>
    <w:rsid w:val="381A164E"/>
    <w:rsid w:val="38743CBC"/>
    <w:rsid w:val="38935966"/>
    <w:rsid w:val="39BD78E5"/>
    <w:rsid w:val="39D32C64"/>
    <w:rsid w:val="39E82BB3"/>
    <w:rsid w:val="39EC3D26"/>
    <w:rsid w:val="39EE5CF0"/>
    <w:rsid w:val="39EF3F42"/>
    <w:rsid w:val="3A045513"/>
    <w:rsid w:val="3A2A4F7A"/>
    <w:rsid w:val="3A2B0CF2"/>
    <w:rsid w:val="3A2C6A84"/>
    <w:rsid w:val="3A3F654C"/>
    <w:rsid w:val="3AD670ED"/>
    <w:rsid w:val="3AF80B2A"/>
    <w:rsid w:val="3B677B08"/>
    <w:rsid w:val="3BB014AF"/>
    <w:rsid w:val="3BD74C8E"/>
    <w:rsid w:val="3C08753D"/>
    <w:rsid w:val="3C4F3BDE"/>
    <w:rsid w:val="3C5E715D"/>
    <w:rsid w:val="3C6A5B02"/>
    <w:rsid w:val="3C8B5A78"/>
    <w:rsid w:val="3C905550"/>
    <w:rsid w:val="3D3103CE"/>
    <w:rsid w:val="3DA46DF1"/>
    <w:rsid w:val="3E4405D4"/>
    <w:rsid w:val="3E6D18D9"/>
    <w:rsid w:val="3EC05EAD"/>
    <w:rsid w:val="3EEA117C"/>
    <w:rsid w:val="3FF46B48"/>
    <w:rsid w:val="40D20119"/>
    <w:rsid w:val="410858E9"/>
    <w:rsid w:val="411E6EBB"/>
    <w:rsid w:val="41263FC1"/>
    <w:rsid w:val="41C7020F"/>
    <w:rsid w:val="421A3B26"/>
    <w:rsid w:val="4250579A"/>
    <w:rsid w:val="429A6A15"/>
    <w:rsid w:val="436E4771"/>
    <w:rsid w:val="438438A3"/>
    <w:rsid w:val="44C935E1"/>
    <w:rsid w:val="44E22150"/>
    <w:rsid w:val="44ED5522"/>
    <w:rsid w:val="451C1963"/>
    <w:rsid w:val="45246A6A"/>
    <w:rsid w:val="45625E73"/>
    <w:rsid w:val="4568543D"/>
    <w:rsid w:val="45D71D2E"/>
    <w:rsid w:val="463D4287"/>
    <w:rsid w:val="469F284C"/>
    <w:rsid w:val="46B1432D"/>
    <w:rsid w:val="46BA1434"/>
    <w:rsid w:val="46CE1383"/>
    <w:rsid w:val="46EF4D27"/>
    <w:rsid w:val="473531B0"/>
    <w:rsid w:val="478A34FC"/>
    <w:rsid w:val="47953C4F"/>
    <w:rsid w:val="47961EA1"/>
    <w:rsid w:val="48E22EC4"/>
    <w:rsid w:val="49470F79"/>
    <w:rsid w:val="49951C31"/>
    <w:rsid w:val="4A510301"/>
    <w:rsid w:val="4A8A3813"/>
    <w:rsid w:val="4A960F1F"/>
    <w:rsid w:val="4ABB463C"/>
    <w:rsid w:val="4B700C5B"/>
    <w:rsid w:val="4B9E7576"/>
    <w:rsid w:val="4C211F55"/>
    <w:rsid w:val="4C6D519A"/>
    <w:rsid w:val="4C83051A"/>
    <w:rsid w:val="4D1D271C"/>
    <w:rsid w:val="4D3F6B37"/>
    <w:rsid w:val="4D626ED4"/>
    <w:rsid w:val="4DA910B3"/>
    <w:rsid w:val="4E165AE9"/>
    <w:rsid w:val="4E1F4272"/>
    <w:rsid w:val="4E9904C8"/>
    <w:rsid w:val="4ED27537"/>
    <w:rsid w:val="4EF456FF"/>
    <w:rsid w:val="4F2953A8"/>
    <w:rsid w:val="4F4B17C3"/>
    <w:rsid w:val="4F5E3030"/>
    <w:rsid w:val="4F6A5955"/>
    <w:rsid w:val="4F730D1A"/>
    <w:rsid w:val="4F732AC8"/>
    <w:rsid w:val="4FA233AD"/>
    <w:rsid w:val="50A3254B"/>
    <w:rsid w:val="50C17863"/>
    <w:rsid w:val="50CC248F"/>
    <w:rsid w:val="51143E36"/>
    <w:rsid w:val="512247A5"/>
    <w:rsid w:val="516721B8"/>
    <w:rsid w:val="51A056CA"/>
    <w:rsid w:val="5296645B"/>
    <w:rsid w:val="545F12DA"/>
    <w:rsid w:val="5474356A"/>
    <w:rsid w:val="54E63D3C"/>
    <w:rsid w:val="5512068D"/>
    <w:rsid w:val="55457F4A"/>
    <w:rsid w:val="55837D4F"/>
    <w:rsid w:val="558E065B"/>
    <w:rsid w:val="55A97243"/>
    <w:rsid w:val="562F0A7F"/>
    <w:rsid w:val="56414B0E"/>
    <w:rsid w:val="56586573"/>
    <w:rsid w:val="566B44F9"/>
    <w:rsid w:val="56DE116E"/>
    <w:rsid w:val="571E156B"/>
    <w:rsid w:val="579730CB"/>
    <w:rsid w:val="57BD6FD6"/>
    <w:rsid w:val="57E26993"/>
    <w:rsid w:val="582E1C82"/>
    <w:rsid w:val="58311772"/>
    <w:rsid w:val="58411B59"/>
    <w:rsid w:val="58E40592"/>
    <w:rsid w:val="592D3CE7"/>
    <w:rsid w:val="59974FB9"/>
    <w:rsid w:val="59AD6BD6"/>
    <w:rsid w:val="59B44408"/>
    <w:rsid w:val="5A56618B"/>
    <w:rsid w:val="5A6E45B7"/>
    <w:rsid w:val="5B525C87"/>
    <w:rsid w:val="5C2752F2"/>
    <w:rsid w:val="5C583771"/>
    <w:rsid w:val="5C6C4246"/>
    <w:rsid w:val="5CDA4186"/>
    <w:rsid w:val="5D086F45"/>
    <w:rsid w:val="5D395350"/>
    <w:rsid w:val="5DE76B45"/>
    <w:rsid w:val="5E9465B6"/>
    <w:rsid w:val="5EBD78BB"/>
    <w:rsid w:val="610C2B17"/>
    <w:rsid w:val="618E3791"/>
    <w:rsid w:val="61B50D1E"/>
    <w:rsid w:val="620178CE"/>
    <w:rsid w:val="62145A44"/>
    <w:rsid w:val="624236EE"/>
    <w:rsid w:val="628463D3"/>
    <w:rsid w:val="62916D12"/>
    <w:rsid w:val="63181564"/>
    <w:rsid w:val="63422A85"/>
    <w:rsid w:val="634265E1"/>
    <w:rsid w:val="63512CC8"/>
    <w:rsid w:val="638B61DA"/>
    <w:rsid w:val="63A948B2"/>
    <w:rsid w:val="642B176B"/>
    <w:rsid w:val="64B96D77"/>
    <w:rsid w:val="661001E2"/>
    <w:rsid w:val="662B4B98"/>
    <w:rsid w:val="66320B8F"/>
    <w:rsid w:val="66DC0AFB"/>
    <w:rsid w:val="67D04B25"/>
    <w:rsid w:val="682E182A"/>
    <w:rsid w:val="68E32614"/>
    <w:rsid w:val="68F4037D"/>
    <w:rsid w:val="69012A9A"/>
    <w:rsid w:val="6A42336B"/>
    <w:rsid w:val="6AD2309E"/>
    <w:rsid w:val="6AED2C53"/>
    <w:rsid w:val="6B9B0F84"/>
    <w:rsid w:val="6BDB3A77"/>
    <w:rsid w:val="6C305B70"/>
    <w:rsid w:val="6C3F5AA0"/>
    <w:rsid w:val="6C53185F"/>
    <w:rsid w:val="6C5D448C"/>
    <w:rsid w:val="6CB06CB1"/>
    <w:rsid w:val="6CE60925"/>
    <w:rsid w:val="6D8F4B19"/>
    <w:rsid w:val="6E7A30D3"/>
    <w:rsid w:val="6F742582"/>
    <w:rsid w:val="6F993A2D"/>
    <w:rsid w:val="6FCF744E"/>
    <w:rsid w:val="70A1703D"/>
    <w:rsid w:val="70F829D5"/>
    <w:rsid w:val="71022CB5"/>
    <w:rsid w:val="71094BE2"/>
    <w:rsid w:val="721056AE"/>
    <w:rsid w:val="721101F2"/>
    <w:rsid w:val="72B1108D"/>
    <w:rsid w:val="72E444E7"/>
    <w:rsid w:val="7309711B"/>
    <w:rsid w:val="733F0D8F"/>
    <w:rsid w:val="73557ED4"/>
    <w:rsid w:val="73591E51"/>
    <w:rsid w:val="73E57241"/>
    <w:rsid w:val="74343D24"/>
    <w:rsid w:val="744D3038"/>
    <w:rsid w:val="7456238C"/>
    <w:rsid w:val="74744A68"/>
    <w:rsid w:val="74EE65C9"/>
    <w:rsid w:val="76A71125"/>
    <w:rsid w:val="771A5453"/>
    <w:rsid w:val="77440722"/>
    <w:rsid w:val="77BE6726"/>
    <w:rsid w:val="77C17FC5"/>
    <w:rsid w:val="78A31478"/>
    <w:rsid w:val="78CC4E73"/>
    <w:rsid w:val="78DD2BDC"/>
    <w:rsid w:val="79142376"/>
    <w:rsid w:val="79264618"/>
    <w:rsid w:val="79556925"/>
    <w:rsid w:val="795D5ACB"/>
    <w:rsid w:val="797A4FF8"/>
    <w:rsid w:val="79AD749A"/>
    <w:rsid w:val="79D044EF"/>
    <w:rsid w:val="79F44681"/>
    <w:rsid w:val="7A85352B"/>
    <w:rsid w:val="7ADB314B"/>
    <w:rsid w:val="7AE77D42"/>
    <w:rsid w:val="7B8F65E6"/>
    <w:rsid w:val="7BED75DA"/>
    <w:rsid w:val="7BFB64B0"/>
    <w:rsid w:val="7C825254"/>
    <w:rsid w:val="7C9275E1"/>
    <w:rsid w:val="7D180687"/>
    <w:rsid w:val="7DCE7921"/>
    <w:rsid w:val="7DD50326"/>
    <w:rsid w:val="7DF35D71"/>
    <w:rsid w:val="7E431733"/>
    <w:rsid w:val="7E6B6EDC"/>
    <w:rsid w:val="7EEA6053"/>
    <w:rsid w:val="7FCB608F"/>
    <w:rsid w:val="7FD85E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0"/>
    <w:pPr>
      <w:keepNext/>
      <w:keepLines/>
      <w:spacing w:beforeLines="0" w:beforeAutospacing="0" w:afterLines="0" w:afterAutospacing="0" w:line="360" w:lineRule="auto"/>
      <w:jc w:val="center"/>
      <w:outlineLvl w:val="0"/>
    </w:pPr>
    <w:rPr>
      <w:b/>
      <w:kern w:val="44"/>
      <w:sz w:val="28"/>
      <w:szCs w:val="28"/>
    </w:rPr>
  </w:style>
  <w:style w:type="character" w:default="1" w:styleId="10">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widowControl w:val="0"/>
      <w:spacing w:after="120" w:line="360" w:lineRule="auto"/>
      <w:ind w:firstLine="200" w:firstLineChars="200"/>
      <w:jc w:val="both"/>
    </w:pPr>
    <w:rPr>
      <w:rFonts w:ascii="Times New Roman" w:hAnsi="Times New Roman" w:eastAsia="宋体" w:cs="Times New Roman"/>
      <w:kern w:val="2"/>
      <w:sz w:val="24"/>
      <w:szCs w:val="24"/>
      <w:lang w:val="en-US" w:eastAsia="zh-CN" w:bidi="ar-SA"/>
    </w:rPr>
  </w:style>
  <w:style w:type="paragraph" w:styleId="4">
    <w:name w:val="table of authorities"/>
    <w:basedOn w:val="1"/>
    <w:next w:val="1"/>
    <w:autoRedefine/>
    <w:unhideWhenUsed/>
    <w:qFormat/>
    <w:uiPriority w:val="99"/>
    <w:pPr>
      <w:ind w:left="420" w:leftChars="200"/>
    </w:pPr>
  </w:style>
  <w:style w:type="paragraph" w:styleId="5">
    <w:name w:val="Plain Text"/>
    <w:basedOn w:val="1"/>
    <w:autoRedefine/>
    <w:qFormat/>
    <w:uiPriority w:val="0"/>
    <w:rPr>
      <w:rFonts w:ascii="宋体" w:hAnsi="Courier New"/>
    </w:rPr>
  </w:style>
  <w:style w:type="paragraph" w:styleId="6">
    <w:name w:val="footer"/>
    <w:basedOn w:val="1"/>
    <w:autoRedefine/>
    <w:unhideWhenUsed/>
    <w:qFormat/>
    <w:uiPriority w:val="99"/>
    <w:pPr>
      <w:tabs>
        <w:tab w:val="center" w:pos="4153"/>
        <w:tab w:val="right" w:pos="8306"/>
      </w:tabs>
      <w:snapToGrid w:val="0"/>
      <w:jc w:val="left"/>
    </w:pPr>
    <w:rPr>
      <w:sz w:val="18"/>
      <w:szCs w:val="18"/>
    </w:rPr>
  </w:style>
  <w:style w:type="paragraph" w:styleId="7">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autoRedefine/>
    <w:qFormat/>
    <w:uiPriority w:val="0"/>
  </w:style>
  <w:style w:type="paragraph" w:customStyle="1" w:styleId="12">
    <w:name w:val="_Style 1"/>
    <w:basedOn w:val="1"/>
    <w:autoRedefine/>
    <w:qFormat/>
    <w:uiPriority w:val="0"/>
    <w:pPr>
      <w:spacing w:line="481" w:lineRule="atLeast"/>
      <w:ind w:firstLine="623"/>
      <w:textAlignment w:val="baseline"/>
    </w:pPr>
    <w:rPr>
      <w:rFonts w:ascii="Times New Roman" w:hAnsi="Times New Roman" w:eastAsia="仿宋_GB2312"/>
      <w:color w:val="000000"/>
      <w:sz w:val="3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674</Words>
  <Characters>775</Characters>
  <Lines>0</Lines>
  <Paragraphs>0</Paragraphs>
  <TotalTime>46</TotalTime>
  <ScaleCrop>false</ScaleCrop>
  <LinksUpToDate>false</LinksUpToDate>
  <CharactersWithSpaces>789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2023-06-20T08:34:00Z</dcterms:created>
  <dc:creator>Administrator</dc:creator>
  <cp:lastModifiedBy>。</cp:lastModifiedBy>
  <dcterms:modified xsi:type="dcterms:W3CDTF">2024-04-10T08:17:24Z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379328F4B0A6450790D5670E54EB03E3_13</vt:lpwstr>
  </property>
</Properties>
</file>