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2024年</w:t>
      </w:r>
      <w:r>
        <w:rPr>
          <w:rFonts w:hint="eastAsia" w:ascii="宋体" w:hAnsi="宋体" w:cs="宋体"/>
          <w:b/>
          <w:bCs/>
          <w:color w:val="auto"/>
          <w:sz w:val="32"/>
          <w:szCs w:val="32"/>
          <w:highlight w:val="none"/>
          <w:lang w:val="en-US" w:eastAsia="zh-CN"/>
        </w:rPr>
        <w:t>信阳市电子门锁</w:t>
      </w:r>
      <w:r>
        <w:rPr>
          <w:rFonts w:hint="eastAsia" w:ascii="宋体" w:hAnsi="宋体" w:eastAsia="宋体" w:cs="宋体"/>
          <w:b/>
          <w:bCs/>
          <w:color w:val="auto"/>
          <w:sz w:val="32"/>
          <w:szCs w:val="32"/>
          <w:highlight w:val="none"/>
          <w:lang w:val="en-US" w:eastAsia="zh-CN"/>
        </w:rPr>
        <w:t>产品质量监督抽查实施细则</w:t>
      </w:r>
    </w:p>
    <w:p>
      <w:pPr>
        <w:pStyle w:val="4"/>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每批次产品抽样数量见表</w:t>
      </w:r>
      <w:r>
        <w:rPr>
          <w:rFonts w:hint="eastAsia" w:ascii="宋体" w:hAnsi="宋体" w:eastAsia="宋体" w:cs="宋体"/>
          <w:color w:val="auto"/>
          <w:sz w:val="21"/>
          <w:szCs w:val="21"/>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8"/>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电子防盗锁</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r>
              <w:rPr>
                <w:rFonts w:hint="default" w:ascii="宋体" w:hAnsi="宋体" w:eastAsia="宋体" w:cs="宋体"/>
                <w:b w:val="0"/>
                <w:i w:val="0"/>
                <w:caps w:val="0"/>
                <w:color w:val="000000"/>
                <w:spacing w:val="0"/>
                <w:w w:val="100"/>
                <w:sz w:val="21"/>
                <w:szCs w:val="21"/>
                <w:lang w:val="en-US" w:eastAsia="zh-CN"/>
              </w:rPr>
              <w:t>套</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1套</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p>
        </w:tc>
        <w:tc>
          <w:tcPr>
            <w:tcW w:w="216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指纹防盗锁</w:t>
            </w:r>
          </w:p>
        </w:tc>
        <w:tc>
          <w:tcPr>
            <w:tcW w:w="1983"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2</w:t>
            </w:r>
            <w:r>
              <w:rPr>
                <w:rFonts w:hint="default" w:ascii="宋体" w:hAnsi="宋体" w:eastAsia="宋体" w:cs="宋体"/>
                <w:b w:val="0"/>
                <w:i w:val="0"/>
                <w:caps w:val="0"/>
                <w:color w:val="000000"/>
                <w:spacing w:val="0"/>
                <w:w w:val="100"/>
                <w:sz w:val="21"/>
                <w:szCs w:val="21"/>
                <w:lang w:val="en-US" w:eastAsia="zh-CN"/>
              </w:rPr>
              <w:t>套</w:t>
            </w:r>
          </w:p>
        </w:tc>
        <w:tc>
          <w:tcPr>
            <w:tcW w:w="1850"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r>
              <w:rPr>
                <w:rFonts w:hint="default" w:ascii="宋体" w:hAnsi="宋体" w:eastAsia="宋体" w:cs="宋体"/>
                <w:b w:val="0"/>
                <w:i w:val="0"/>
                <w:caps w:val="0"/>
                <w:color w:val="000000"/>
                <w:spacing w:val="0"/>
                <w:w w:val="100"/>
                <w:sz w:val="21"/>
                <w:szCs w:val="21"/>
                <w:lang w:val="en-US" w:eastAsia="zh-CN"/>
              </w:rPr>
              <w:t>套</w:t>
            </w:r>
          </w:p>
        </w:tc>
        <w:tc>
          <w:tcPr>
            <w:tcW w:w="1788"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default" w:ascii="宋体" w:hAnsi="宋体" w:eastAsia="宋体" w:cs="宋体"/>
                <w:b w:val="0"/>
                <w:i w:val="0"/>
                <w:caps w:val="0"/>
                <w:color w:val="000000"/>
                <w:spacing w:val="0"/>
                <w:w w:val="100"/>
                <w:sz w:val="21"/>
                <w:szCs w:val="21"/>
                <w:lang w:val="en-US" w:eastAsia="zh-CN"/>
              </w:rPr>
            </w:pPr>
            <w:r>
              <w:rPr>
                <w:rFonts w:hint="eastAsia" w:ascii="宋体" w:hAnsi="宋体" w:cs="宋体"/>
                <w:b w:val="0"/>
                <w:i w:val="0"/>
                <w:caps w:val="0"/>
                <w:color w:val="000000"/>
                <w:spacing w:val="0"/>
                <w:w w:val="100"/>
                <w:sz w:val="21"/>
                <w:szCs w:val="21"/>
                <w:lang w:val="en-US" w:eastAsia="zh-CN"/>
              </w:rPr>
              <w:t>1</w:t>
            </w:r>
            <w:bookmarkStart w:id="2" w:name="_GoBack"/>
            <w:bookmarkEnd w:id="2"/>
            <w:r>
              <w:rPr>
                <w:rFonts w:hint="default" w:ascii="宋体" w:hAnsi="宋体" w:eastAsia="宋体" w:cs="宋体"/>
                <w:b w:val="0"/>
                <w:i w:val="0"/>
                <w:caps w:val="0"/>
                <w:color w:val="000000"/>
                <w:spacing w:val="0"/>
                <w:w w:val="100"/>
                <w:sz w:val="21"/>
                <w:szCs w:val="21"/>
                <w:lang w:val="en-US" w:eastAsia="zh-CN"/>
              </w:rPr>
              <w:t>套</w:t>
            </w:r>
          </w:p>
        </w:tc>
      </w:tr>
    </w:tbl>
    <w:p>
      <w:pPr>
        <w:keepNext w:val="0"/>
        <w:keepLines w:val="0"/>
        <w:pageBreakBefore w:val="0"/>
        <w:kinsoku/>
        <w:wordWrap/>
        <w:overflowPunct/>
        <w:topLinePunct w:val="0"/>
        <w:autoSpaceDE/>
        <w:autoSpaceDN/>
        <w:bidi w:val="0"/>
        <w:snapToGrid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电子防盗锁</w:t>
      </w:r>
      <w:r>
        <w:rPr>
          <w:rFonts w:hint="eastAsia" w:ascii="宋体" w:hAnsi="宋体" w:eastAsia="宋体" w:cs="宋体"/>
          <w:color w:val="auto"/>
          <w:sz w:val="21"/>
          <w:szCs w:val="21"/>
          <w:highlight w:val="none"/>
        </w:rPr>
        <w:t>检验项目</w:t>
      </w:r>
    </w:p>
    <w:tbl>
      <w:tblPr>
        <w:tblStyle w:val="9"/>
        <w:tblW w:w="0" w:type="auto"/>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4031"/>
        <w:gridCol w:w="3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外观</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信息保存</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使用权限管理</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供电方式</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电池容量</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自由跌落试验</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2423.7-2018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标志</w:t>
            </w:r>
            <w:r>
              <w:rPr>
                <w:rFonts w:hint="eastAsia" w:ascii="宋体" w:hAnsi="宋体" w:cs="宋体"/>
                <w:color w:val="auto"/>
                <w:sz w:val="21"/>
                <w:szCs w:val="21"/>
                <w:highlight w:val="none"/>
                <w:lang w:eastAsia="zh-CN"/>
              </w:rPr>
              <w:t>、包装</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组合编码</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电源性能-电池容量试验</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正弦振动试验</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65" w:type="dxa"/>
            <w:vAlign w:val="center"/>
          </w:tcPr>
          <w:p>
            <w:pPr>
              <w:keepNext w:val="0"/>
              <w:keepLines w:val="0"/>
              <w:pageBreakBefore w:val="0"/>
              <w:numPr>
                <w:ilvl w:val="0"/>
                <w:numId w:val="1"/>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3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稳定性要求</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bl>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指纹防盗锁检验项目</w:t>
      </w:r>
    </w:p>
    <w:tbl>
      <w:tblPr>
        <w:tblStyle w:val="9"/>
        <w:tblW w:w="0" w:type="auto"/>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4044"/>
        <w:gridCol w:w="3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传动灵活性</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表面质量</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锁扣盒（板）强度</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指纹登录功能</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信息保存功能</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使用权限管理功能</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 701-2007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指示/显示功能</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GA/T 394-2002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组合编码</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电源性能-电池容量试验</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正弦振动试验</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65" w:type="dxa"/>
            <w:vAlign w:val="center"/>
          </w:tcPr>
          <w:p>
            <w:pPr>
              <w:keepNext w:val="0"/>
              <w:keepLines w:val="0"/>
              <w:pageBreakBefore w:val="0"/>
              <w:numPr>
                <w:ilvl w:val="0"/>
                <w:numId w:val="2"/>
              </w:numPr>
              <w:kinsoku/>
              <w:wordWrap/>
              <w:overflowPunct/>
              <w:topLinePunct w:val="0"/>
              <w:autoSpaceDE/>
              <w:autoSpaceDN/>
              <w:bidi w:val="0"/>
              <w:snapToGrid w:val="0"/>
              <w:spacing w:line="240" w:lineRule="auto"/>
              <w:ind w:left="425" w:leftChars="0" w:hanging="425" w:firstLineChars="0"/>
              <w:jc w:val="center"/>
              <w:textAlignment w:val="auto"/>
              <w:rPr>
                <w:rFonts w:hint="eastAsia" w:ascii="宋体" w:hAnsi="宋体" w:eastAsia="宋体" w:cs="宋体"/>
                <w:color w:val="auto"/>
                <w:sz w:val="21"/>
                <w:szCs w:val="21"/>
                <w:highlight w:val="none"/>
              </w:rPr>
            </w:pPr>
          </w:p>
        </w:tc>
        <w:tc>
          <w:tcPr>
            <w:tcW w:w="404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稳定性要求</w:t>
            </w:r>
          </w:p>
        </w:tc>
        <w:tc>
          <w:tcPr>
            <w:tcW w:w="36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21556-2008</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leftChars="0" w:firstLine="359" w:firstLineChars="171"/>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bookmarkStart w:id="0" w:name="_Hlk32567754"/>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GA 374-2019</w:t>
      </w:r>
      <w:r>
        <w:rPr>
          <w:rFonts w:hint="eastAsia" w:ascii="宋体" w:hAnsi="宋体" w:cs="宋体"/>
          <w:color w:val="auto"/>
          <w:sz w:val="21"/>
          <w:szCs w:val="21"/>
          <w:highlight w:val="none"/>
          <w:lang w:val="en-US" w:eastAsia="zh-CN"/>
        </w:rPr>
        <w:t xml:space="preserve"> 电子防盗锁</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GA 701-2007</w:t>
      </w:r>
      <w:r>
        <w:rPr>
          <w:rFonts w:hint="eastAsia" w:ascii="宋体" w:hAnsi="宋体" w:cs="宋体"/>
          <w:color w:val="auto"/>
          <w:sz w:val="21"/>
          <w:szCs w:val="21"/>
          <w:highlight w:val="none"/>
          <w:lang w:val="en-US" w:eastAsia="zh-CN"/>
        </w:rPr>
        <w:t xml:space="preserve"> 指纹防盗锁通用技术条件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 21556-2008 锁具安全通用技术条件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现行有效的企业标准、团体标准、地方标准及产品明示质量要求</w:t>
      </w:r>
    </w:p>
    <w:bookmarkEnd w:id="0"/>
    <w:p>
      <w:pPr>
        <w:keepNext w:val="0"/>
        <w:keepLines w:val="0"/>
        <w:pageBreakBefore w:val="0"/>
        <w:widowControl w:val="0"/>
        <w:kinsoku/>
        <w:wordWrap/>
        <w:overflowPunct/>
        <w:topLinePunct w:val="0"/>
        <w:autoSpaceDE/>
        <w:autoSpaceDN/>
        <w:bidi w:val="0"/>
        <w:snapToGrid w:val="0"/>
        <w:spacing w:line="440" w:lineRule="exact"/>
        <w:ind w:left="0" w:lef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pPr>
        <w:keepNext w:val="0"/>
        <w:keepLines w:val="0"/>
        <w:pageBreakBefore w:val="0"/>
        <w:widowControl w:val="0"/>
        <w:kinsoku/>
        <w:wordWrap/>
        <w:overflowPunct/>
        <w:topLinePunct w:val="0"/>
        <w:autoSpaceDE/>
        <w:autoSpaceDN/>
        <w:bidi w:val="0"/>
        <w:snapToGrid w:val="0"/>
        <w:spacing w:line="440" w:lineRule="exact"/>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left="0" w:leftChars="0" w:firstLine="417" w:firstLineChars="199"/>
        <w:textAlignment w:val="auto"/>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161BF0"/>
    <w:multiLevelType w:val="singleLevel"/>
    <w:tmpl w:val="9C161BF0"/>
    <w:lvl w:ilvl="0" w:tentative="0">
      <w:start w:val="1"/>
      <w:numFmt w:val="decimal"/>
      <w:lvlText w:val="%1."/>
      <w:lvlJc w:val="left"/>
      <w:pPr>
        <w:ind w:left="425" w:hanging="425"/>
      </w:pPr>
      <w:rPr>
        <w:rFonts w:hint="default"/>
      </w:rPr>
    </w:lvl>
  </w:abstractNum>
  <w:abstractNum w:abstractNumId="1">
    <w:nsid w:val="C8323975"/>
    <w:multiLevelType w:val="singleLevel"/>
    <w:tmpl w:val="C8323975"/>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MGY0NDRhMDljNjM3ZmM0MTNlYjhjZjBkMmNlYjEifQ=="/>
    <w:docVar w:name="KSO_WPS_MARK_KEY" w:val="87cac2fa-0a50-46e3-834d-f98d8c64d2fd"/>
  </w:docVars>
  <w:rsids>
    <w:rsidRoot w:val="00000000"/>
    <w:rsid w:val="00305CE7"/>
    <w:rsid w:val="006B44D0"/>
    <w:rsid w:val="009C512B"/>
    <w:rsid w:val="00B47494"/>
    <w:rsid w:val="01090B26"/>
    <w:rsid w:val="01127559"/>
    <w:rsid w:val="01141165"/>
    <w:rsid w:val="012A6BDB"/>
    <w:rsid w:val="01687703"/>
    <w:rsid w:val="01763BCE"/>
    <w:rsid w:val="01852063"/>
    <w:rsid w:val="01A85D51"/>
    <w:rsid w:val="01C963F3"/>
    <w:rsid w:val="02005B8D"/>
    <w:rsid w:val="02613208"/>
    <w:rsid w:val="027C3466"/>
    <w:rsid w:val="027D2D3A"/>
    <w:rsid w:val="02ED1C6E"/>
    <w:rsid w:val="0326557A"/>
    <w:rsid w:val="036A2E67"/>
    <w:rsid w:val="03D177E1"/>
    <w:rsid w:val="04675A50"/>
    <w:rsid w:val="04CE3D21"/>
    <w:rsid w:val="05151950"/>
    <w:rsid w:val="05412745"/>
    <w:rsid w:val="05AD264D"/>
    <w:rsid w:val="06935222"/>
    <w:rsid w:val="06D1542A"/>
    <w:rsid w:val="074A238C"/>
    <w:rsid w:val="07C5140B"/>
    <w:rsid w:val="07D94827"/>
    <w:rsid w:val="07F04D43"/>
    <w:rsid w:val="080026C1"/>
    <w:rsid w:val="0822060B"/>
    <w:rsid w:val="08713341"/>
    <w:rsid w:val="093700E7"/>
    <w:rsid w:val="095D372A"/>
    <w:rsid w:val="09886B94"/>
    <w:rsid w:val="09904F74"/>
    <w:rsid w:val="099E1F14"/>
    <w:rsid w:val="09DE5915"/>
    <w:rsid w:val="09FB55B8"/>
    <w:rsid w:val="0A546A76"/>
    <w:rsid w:val="0A5F254C"/>
    <w:rsid w:val="0B161F7E"/>
    <w:rsid w:val="0B1F0E32"/>
    <w:rsid w:val="0BC639A4"/>
    <w:rsid w:val="0BD240F7"/>
    <w:rsid w:val="0C216E2C"/>
    <w:rsid w:val="0C3152C1"/>
    <w:rsid w:val="0C525237"/>
    <w:rsid w:val="0C7D0506"/>
    <w:rsid w:val="0C8E3A3C"/>
    <w:rsid w:val="0D091D9A"/>
    <w:rsid w:val="0D224C0A"/>
    <w:rsid w:val="0D29243C"/>
    <w:rsid w:val="0D7731A8"/>
    <w:rsid w:val="0DA47D15"/>
    <w:rsid w:val="0DD50CEF"/>
    <w:rsid w:val="0E082052"/>
    <w:rsid w:val="0E0F1632"/>
    <w:rsid w:val="0E1327A4"/>
    <w:rsid w:val="0E5A609B"/>
    <w:rsid w:val="0F113188"/>
    <w:rsid w:val="0F8676D2"/>
    <w:rsid w:val="0FC226D4"/>
    <w:rsid w:val="0FE64614"/>
    <w:rsid w:val="107751B2"/>
    <w:rsid w:val="10944070"/>
    <w:rsid w:val="109C4CD3"/>
    <w:rsid w:val="10C04E65"/>
    <w:rsid w:val="112278CE"/>
    <w:rsid w:val="118E0AC0"/>
    <w:rsid w:val="11CE710E"/>
    <w:rsid w:val="12096398"/>
    <w:rsid w:val="125515DD"/>
    <w:rsid w:val="127537FB"/>
    <w:rsid w:val="12E50BB3"/>
    <w:rsid w:val="138A175B"/>
    <w:rsid w:val="13A40300"/>
    <w:rsid w:val="13CE5AEB"/>
    <w:rsid w:val="13D44784"/>
    <w:rsid w:val="141B23B3"/>
    <w:rsid w:val="14504F46"/>
    <w:rsid w:val="14A617A0"/>
    <w:rsid w:val="14C91E0F"/>
    <w:rsid w:val="14D3578A"/>
    <w:rsid w:val="14EC6584"/>
    <w:rsid w:val="15167ED2"/>
    <w:rsid w:val="155B6F0B"/>
    <w:rsid w:val="16027CCE"/>
    <w:rsid w:val="164B51D1"/>
    <w:rsid w:val="164D719B"/>
    <w:rsid w:val="165A3666"/>
    <w:rsid w:val="16684490"/>
    <w:rsid w:val="169959F3"/>
    <w:rsid w:val="16FF6CDE"/>
    <w:rsid w:val="17A74689"/>
    <w:rsid w:val="17DE3E23"/>
    <w:rsid w:val="1890336F"/>
    <w:rsid w:val="190A1374"/>
    <w:rsid w:val="19B47531"/>
    <w:rsid w:val="19FE255B"/>
    <w:rsid w:val="1A98775E"/>
    <w:rsid w:val="1B6F54BE"/>
    <w:rsid w:val="1B762CF0"/>
    <w:rsid w:val="1B852F33"/>
    <w:rsid w:val="1BAD248A"/>
    <w:rsid w:val="1C13411D"/>
    <w:rsid w:val="1C2344FA"/>
    <w:rsid w:val="1C7865F4"/>
    <w:rsid w:val="1C961170"/>
    <w:rsid w:val="1CB6536F"/>
    <w:rsid w:val="1D2624F4"/>
    <w:rsid w:val="1D3A1AFC"/>
    <w:rsid w:val="1D5C1A72"/>
    <w:rsid w:val="1D5E3A3C"/>
    <w:rsid w:val="1DA56F49"/>
    <w:rsid w:val="1DD71E52"/>
    <w:rsid w:val="1DF443A0"/>
    <w:rsid w:val="1E0D7210"/>
    <w:rsid w:val="1E5D3CF4"/>
    <w:rsid w:val="1E6C03DB"/>
    <w:rsid w:val="1E7159F1"/>
    <w:rsid w:val="1E7E37DC"/>
    <w:rsid w:val="1E911BEF"/>
    <w:rsid w:val="1EB51D82"/>
    <w:rsid w:val="1F5F3A9B"/>
    <w:rsid w:val="1F937941"/>
    <w:rsid w:val="1FDA1374"/>
    <w:rsid w:val="1FF57F5C"/>
    <w:rsid w:val="203A06AF"/>
    <w:rsid w:val="20967991"/>
    <w:rsid w:val="217A2E0F"/>
    <w:rsid w:val="219F0AC7"/>
    <w:rsid w:val="22356D36"/>
    <w:rsid w:val="22456F79"/>
    <w:rsid w:val="228E4DC3"/>
    <w:rsid w:val="22E91FFA"/>
    <w:rsid w:val="23264FFC"/>
    <w:rsid w:val="23B24AE2"/>
    <w:rsid w:val="23B71E2F"/>
    <w:rsid w:val="23D031BA"/>
    <w:rsid w:val="240F76C7"/>
    <w:rsid w:val="241F37F9"/>
    <w:rsid w:val="242332EA"/>
    <w:rsid w:val="24C50845"/>
    <w:rsid w:val="24D92627"/>
    <w:rsid w:val="24ED38F7"/>
    <w:rsid w:val="253D487F"/>
    <w:rsid w:val="257B0F03"/>
    <w:rsid w:val="25CE197B"/>
    <w:rsid w:val="25D32AED"/>
    <w:rsid w:val="25FA56E9"/>
    <w:rsid w:val="262275D1"/>
    <w:rsid w:val="26E01966"/>
    <w:rsid w:val="26E2748C"/>
    <w:rsid w:val="27561C28"/>
    <w:rsid w:val="27A42993"/>
    <w:rsid w:val="27BD1CA7"/>
    <w:rsid w:val="28041684"/>
    <w:rsid w:val="281F201A"/>
    <w:rsid w:val="28254993"/>
    <w:rsid w:val="28616AD6"/>
    <w:rsid w:val="289447B6"/>
    <w:rsid w:val="28AE7A00"/>
    <w:rsid w:val="28AF7842"/>
    <w:rsid w:val="28BE7A85"/>
    <w:rsid w:val="28C01A4F"/>
    <w:rsid w:val="2931206D"/>
    <w:rsid w:val="29580007"/>
    <w:rsid w:val="297E0FC2"/>
    <w:rsid w:val="29891E41"/>
    <w:rsid w:val="2A1831C5"/>
    <w:rsid w:val="2A273408"/>
    <w:rsid w:val="2B090C0F"/>
    <w:rsid w:val="2B4A5600"/>
    <w:rsid w:val="2B607E88"/>
    <w:rsid w:val="2B6A3EF4"/>
    <w:rsid w:val="2BE772F2"/>
    <w:rsid w:val="2C161986"/>
    <w:rsid w:val="2C520C10"/>
    <w:rsid w:val="2C7C7A3B"/>
    <w:rsid w:val="2C9F7BCD"/>
    <w:rsid w:val="2D031F0A"/>
    <w:rsid w:val="2D0A773C"/>
    <w:rsid w:val="2D510EC7"/>
    <w:rsid w:val="2DC518B5"/>
    <w:rsid w:val="2DE87C74"/>
    <w:rsid w:val="2DED6B62"/>
    <w:rsid w:val="2E710EAE"/>
    <w:rsid w:val="2E781B26"/>
    <w:rsid w:val="2E7A61FC"/>
    <w:rsid w:val="2EB03F9E"/>
    <w:rsid w:val="2ED56370"/>
    <w:rsid w:val="2EDE2C2F"/>
    <w:rsid w:val="2F2457F2"/>
    <w:rsid w:val="2F2B74F6"/>
    <w:rsid w:val="2F67728E"/>
    <w:rsid w:val="2F6C3AD9"/>
    <w:rsid w:val="2F8F3F29"/>
    <w:rsid w:val="2FC242FE"/>
    <w:rsid w:val="30703D5A"/>
    <w:rsid w:val="307B625B"/>
    <w:rsid w:val="307F5D4C"/>
    <w:rsid w:val="30CA215E"/>
    <w:rsid w:val="30EE4C7F"/>
    <w:rsid w:val="316B62D0"/>
    <w:rsid w:val="317F1D7B"/>
    <w:rsid w:val="32236BAB"/>
    <w:rsid w:val="322660CF"/>
    <w:rsid w:val="322841C1"/>
    <w:rsid w:val="324A05DB"/>
    <w:rsid w:val="330B1B18"/>
    <w:rsid w:val="33262BA7"/>
    <w:rsid w:val="337A127F"/>
    <w:rsid w:val="33883169"/>
    <w:rsid w:val="33A15FD9"/>
    <w:rsid w:val="33C543BD"/>
    <w:rsid w:val="342A2472"/>
    <w:rsid w:val="345557DE"/>
    <w:rsid w:val="346D235F"/>
    <w:rsid w:val="34831B82"/>
    <w:rsid w:val="351F5D4F"/>
    <w:rsid w:val="355157DD"/>
    <w:rsid w:val="357A0B4A"/>
    <w:rsid w:val="35B30245"/>
    <w:rsid w:val="35F5085E"/>
    <w:rsid w:val="36260A17"/>
    <w:rsid w:val="36625EF3"/>
    <w:rsid w:val="36B64491"/>
    <w:rsid w:val="36EE59D9"/>
    <w:rsid w:val="36F154C9"/>
    <w:rsid w:val="36FD5C1C"/>
    <w:rsid w:val="36FE0D64"/>
    <w:rsid w:val="37441A9D"/>
    <w:rsid w:val="37A8202C"/>
    <w:rsid w:val="37C3246B"/>
    <w:rsid w:val="3805061A"/>
    <w:rsid w:val="38163439"/>
    <w:rsid w:val="381A164E"/>
    <w:rsid w:val="38743CBC"/>
    <w:rsid w:val="38935966"/>
    <w:rsid w:val="39BD78E5"/>
    <w:rsid w:val="39D32C64"/>
    <w:rsid w:val="39E82BB3"/>
    <w:rsid w:val="39EC3D26"/>
    <w:rsid w:val="39EE5CF0"/>
    <w:rsid w:val="39EF3F42"/>
    <w:rsid w:val="3A045513"/>
    <w:rsid w:val="3A2A4F7A"/>
    <w:rsid w:val="3A2B0CF2"/>
    <w:rsid w:val="3A2C6A84"/>
    <w:rsid w:val="3A3F654C"/>
    <w:rsid w:val="3AAD5BAB"/>
    <w:rsid w:val="3AD670ED"/>
    <w:rsid w:val="3AF80B2A"/>
    <w:rsid w:val="3B677B08"/>
    <w:rsid w:val="3BB014AF"/>
    <w:rsid w:val="3BBE2E25"/>
    <w:rsid w:val="3BD74C8E"/>
    <w:rsid w:val="3C08753D"/>
    <w:rsid w:val="3C4F3BDE"/>
    <w:rsid w:val="3C5E715D"/>
    <w:rsid w:val="3C6A5B02"/>
    <w:rsid w:val="3C8B5A78"/>
    <w:rsid w:val="3C905550"/>
    <w:rsid w:val="3CE138EA"/>
    <w:rsid w:val="3D3103CE"/>
    <w:rsid w:val="3DA46DF1"/>
    <w:rsid w:val="3E4405D4"/>
    <w:rsid w:val="3E6D18D9"/>
    <w:rsid w:val="3EAD7F28"/>
    <w:rsid w:val="3EC05EAD"/>
    <w:rsid w:val="3EEA117C"/>
    <w:rsid w:val="3F253F62"/>
    <w:rsid w:val="3FF46B48"/>
    <w:rsid w:val="40D20119"/>
    <w:rsid w:val="40E90FBF"/>
    <w:rsid w:val="410858E9"/>
    <w:rsid w:val="411E6EBB"/>
    <w:rsid w:val="41263FC1"/>
    <w:rsid w:val="41B16028"/>
    <w:rsid w:val="41C7020F"/>
    <w:rsid w:val="421A3B26"/>
    <w:rsid w:val="4250579A"/>
    <w:rsid w:val="429A6A15"/>
    <w:rsid w:val="42A41642"/>
    <w:rsid w:val="42E12896"/>
    <w:rsid w:val="43555B19"/>
    <w:rsid w:val="436E4771"/>
    <w:rsid w:val="438438A3"/>
    <w:rsid w:val="441822E7"/>
    <w:rsid w:val="44393D26"/>
    <w:rsid w:val="44A26055"/>
    <w:rsid w:val="44C935E1"/>
    <w:rsid w:val="44E22150"/>
    <w:rsid w:val="44ED5522"/>
    <w:rsid w:val="451C1963"/>
    <w:rsid w:val="45246A6A"/>
    <w:rsid w:val="45561319"/>
    <w:rsid w:val="45625E73"/>
    <w:rsid w:val="4568543D"/>
    <w:rsid w:val="45D71D2E"/>
    <w:rsid w:val="4613530C"/>
    <w:rsid w:val="463D4287"/>
    <w:rsid w:val="46696E2A"/>
    <w:rsid w:val="469F284C"/>
    <w:rsid w:val="46B1432D"/>
    <w:rsid w:val="46BA1434"/>
    <w:rsid w:val="46CE1383"/>
    <w:rsid w:val="46EF4D27"/>
    <w:rsid w:val="473531B0"/>
    <w:rsid w:val="478A34FC"/>
    <w:rsid w:val="47953C4F"/>
    <w:rsid w:val="47961EA1"/>
    <w:rsid w:val="48382F58"/>
    <w:rsid w:val="48E22EC4"/>
    <w:rsid w:val="490177EE"/>
    <w:rsid w:val="49470F79"/>
    <w:rsid w:val="49492F43"/>
    <w:rsid w:val="49951C31"/>
    <w:rsid w:val="4A510301"/>
    <w:rsid w:val="4A8A3813"/>
    <w:rsid w:val="4A960F1F"/>
    <w:rsid w:val="4ABB463C"/>
    <w:rsid w:val="4AF34F14"/>
    <w:rsid w:val="4B700C5B"/>
    <w:rsid w:val="4B9E7576"/>
    <w:rsid w:val="4BBA0128"/>
    <w:rsid w:val="4BDE3E16"/>
    <w:rsid w:val="4C211F55"/>
    <w:rsid w:val="4C6D519A"/>
    <w:rsid w:val="4C83051A"/>
    <w:rsid w:val="4C9D782D"/>
    <w:rsid w:val="4D1D271C"/>
    <w:rsid w:val="4D3F6B37"/>
    <w:rsid w:val="4D453A21"/>
    <w:rsid w:val="4D626ED4"/>
    <w:rsid w:val="4D665E71"/>
    <w:rsid w:val="4DA910B3"/>
    <w:rsid w:val="4E165AE9"/>
    <w:rsid w:val="4E1F4272"/>
    <w:rsid w:val="4E9904C8"/>
    <w:rsid w:val="4EAA7FE0"/>
    <w:rsid w:val="4ED27537"/>
    <w:rsid w:val="4EF456FF"/>
    <w:rsid w:val="4F2953A8"/>
    <w:rsid w:val="4F4B17C3"/>
    <w:rsid w:val="4F5E3030"/>
    <w:rsid w:val="4F6A5955"/>
    <w:rsid w:val="4F730D1A"/>
    <w:rsid w:val="4F732AC8"/>
    <w:rsid w:val="4FA233AD"/>
    <w:rsid w:val="50412BC6"/>
    <w:rsid w:val="50A3254B"/>
    <w:rsid w:val="50C17863"/>
    <w:rsid w:val="50CC248F"/>
    <w:rsid w:val="51143E36"/>
    <w:rsid w:val="512247A5"/>
    <w:rsid w:val="516721B8"/>
    <w:rsid w:val="5181771E"/>
    <w:rsid w:val="51A056CA"/>
    <w:rsid w:val="51D9112F"/>
    <w:rsid w:val="51F872B4"/>
    <w:rsid w:val="522105B9"/>
    <w:rsid w:val="528079D5"/>
    <w:rsid w:val="5296645B"/>
    <w:rsid w:val="52976ACD"/>
    <w:rsid w:val="52F318E6"/>
    <w:rsid w:val="531243A6"/>
    <w:rsid w:val="544669FD"/>
    <w:rsid w:val="545F12DA"/>
    <w:rsid w:val="5474356A"/>
    <w:rsid w:val="54E63D3C"/>
    <w:rsid w:val="5512068D"/>
    <w:rsid w:val="55457F4A"/>
    <w:rsid w:val="55837D4F"/>
    <w:rsid w:val="558E065B"/>
    <w:rsid w:val="55A51501"/>
    <w:rsid w:val="55A97243"/>
    <w:rsid w:val="562F0A7F"/>
    <w:rsid w:val="56414B0E"/>
    <w:rsid w:val="56586573"/>
    <w:rsid w:val="566B44F9"/>
    <w:rsid w:val="56DE116E"/>
    <w:rsid w:val="56F95FA8"/>
    <w:rsid w:val="571E156B"/>
    <w:rsid w:val="579730CB"/>
    <w:rsid w:val="57BD6FD6"/>
    <w:rsid w:val="57E26993"/>
    <w:rsid w:val="582E1C82"/>
    <w:rsid w:val="58311772"/>
    <w:rsid w:val="58411B59"/>
    <w:rsid w:val="58E40592"/>
    <w:rsid w:val="58F40D9B"/>
    <w:rsid w:val="592D3CE7"/>
    <w:rsid w:val="5943175D"/>
    <w:rsid w:val="598558D1"/>
    <w:rsid w:val="59974FB9"/>
    <w:rsid w:val="59AD6BD6"/>
    <w:rsid w:val="59B44408"/>
    <w:rsid w:val="5A2275C4"/>
    <w:rsid w:val="5A56618B"/>
    <w:rsid w:val="5A6E45B7"/>
    <w:rsid w:val="5A9D30EE"/>
    <w:rsid w:val="5AED7BD2"/>
    <w:rsid w:val="5B525C87"/>
    <w:rsid w:val="5C2752F2"/>
    <w:rsid w:val="5C583771"/>
    <w:rsid w:val="5C6C4246"/>
    <w:rsid w:val="5CDA4186"/>
    <w:rsid w:val="5D086F45"/>
    <w:rsid w:val="5D395350"/>
    <w:rsid w:val="5DE76B45"/>
    <w:rsid w:val="5E361890"/>
    <w:rsid w:val="5E925696"/>
    <w:rsid w:val="5E9465B6"/>
    <w:rsid w:val="5EBD78BB"/>
    <w:rsid w:val="601D33A8"/>
    <w:rsid w:val="610C2B17"/>
    <w:rsid w:val="61500114"/>
    <w:rsid w:val="616E30EF"/>
    <w:rsid w:val="618E3791"/>
    <w:rsid w:val="61B50D1E"/>
    <w:rsid w:val="620178CE"/>
    <w:rsid w:val="62105334"/>
    <w:rsid w:val="62145A44"/>
    <w:rsid w:val="624236EE"/>
    <w:rsid w:val="628463D3"/>
    <w:rsid w:val="62916D12"/>
    <w:rsid w:val="63181564"/>
    <w:rsid w:val="63422A85"/>
    <w:rsid w:val="634265E1"/>
    <w:rsid w:val="63512CC8"/>
    <w:rsid w:val="638B61DA"/>
    <w:rsid w:val="63A948B2"/>
    <w:rsid w:val="63D062E3"/>
    <w:rsid w:val="63E37DC4"/>
    <w:rsid w:val="642B176B"/>
    <w:rsid w:val="64300B2F"/>
    <w:rsid w:val="64AD2180"/>
    <w:rsid w:val="64B96D77"/>
    <w:rsid w:val="65312DB1"/>
    <w:rsid w:val="659A2704"/>
    <w:rsid w:val="65A417D5"/>
    <w:rsid w:val="661001E2"/>
    <w:rsid w:val="662B4B98"/>
    <w:rsid w:val="66320B8F"/>
    <w:rsid w:val="66DC0AFB"/>
    <w:rsid w:val="67386679"/>
    <w:rsid w:val="674A015A"/>
    <w:rsid w:val="67D04B25"/>
    <w:rsid w:val="682E182A"/>
    <w:rsid w:val="68E32614"/>
    <w:rsid w:val="68F4037D"/>
    <w:rsid w:val="69012A9A"/>
    <w:rsid w:val="69240B1B"/>
    <w:rsid w:val="6A42336B"/>
    <w:rsid w:val="6ABE50E7"/>
    <w:rsid w:val="6AD2309E"/>
    <w:rsid w:val="6AED2C53"/>
    <w:rsid w:val="6B1C20E8"/>
    <w:rsid w:val="6B9B0F84"/>
    <w:rsid w:val="6BA81981"/>
    <w:rsid w:val="6BDB3A77"/>
    <w:rsid w:val="6C305B70"/>
    <w:rsid w:val="6C3F5AA0"/>
    <w:rsid w:val="6C53185F"/>
    <w:rsid w:val="6C5D448C"/>
    <w:rsid w:val="6CB06CB1"/>
    <w:rsid w:val="6CE60925"/>
    <w:rsid w:val="6D2D20B0"/>
    <w:rsid w:val="6D8F4B19"/>
    <w:rsid w:val="6E7A30D3"/>
    <w:rsid w:val="6F2A4AF9"/>
    <w:rsid w:val="6F742582"/>
    <w:rsid w:val="6F993A2D"/>
    <w:rsid w:val="6FCF744E"/>
    <w:rsid w:val="6FD9651F"/>
    <w:rsid w:val="707A2FD3"/>
    <w:rsid w:val="70A1703D"/>
    <w:rsid w:val="70F829D5"/>
    <w:rsid w:val="71022CB5"/>
    <w:rsid w:val="71094BE2"/>
    <w:rsid w:val="718A7AD1"/>
    <w:rsid w:val="71CA25C3"/>
    <w:rsid w:val="721056AE"/>
    <w:rsid w:val="721101F2"/>
    <w:rsid w:val="72B1108D"/>
    <w:rsid w:val="72E444E7"/>
    <w:rsid w:val="7309711B"/>
    <w:rsid w:val="733F0D8F"/>
    <w:rsid w:val="73467A28"/>
    <w:rsid w:val="73557ED4"/>
    <w:rsid w:val="73591E51"/>
    <w:rsid w:val="73E57241"/>
    <w:rsid w:val="74122000"/>
    <w:rsid w:val="74343D24"/>
    <w:rsid w:val="743E4BA3"/>
    <w:rsid w:val="744D3038"/>
    <w:rsid w:val="7456238C"/>
    <w:rsid w:val="74744A68"/>
    <w:rsid w:val="748051BB"/>
    <w:rsid w:val="74E67714"/>
    <w:rsid w:val="74EE65C9"/>
    <w:rsid w:val="75357D54"/>
    <w:rsid w:val="76724FD8"/>
    <w:rsid w:val="76A71125"/>
    <w:rsid w:val="770C71DA"/>
    <w:rsid w:val="771A5453"/>
    <w:rsid w:val="77440722"/>
    <w:rsid w:val="77BE6726"/>
    <w:rsid w:val="77C17FC5"/>
    <w:rsid w:val="78A31478"/>
    <w:rsid w:val="78CC4E73"/>
    <w:rsid w:val="78DD2BDC"/>
    <w:rsid w:val="79142376"/>
    <w:rsid w:val="79264618"/>
    <w:rsid w:val="793A1DDD"/>
    <w:rsid w:val="79556925"/>
    <w:rsid w:val="795D5ACB"/>
    <w:rsid w:val="797A4FF8"/>
    <w:rsid w:val="79AD749A"/>
    <w:rsid w:val="79C93160"/>
    <w:rsid w:val="79D044EF"/>
    <w:rsid w:val="79DD6C0C"/>
    <w:rsid w:val="79F44681"/>
    <w:rsid w:val="7A170370"/>
    <w:rsid w:val="7A85352B"/>
    <w:rsid w:val="7AD718AD"/>
    <w:rsid w:val="7ADB314B"/>
    <w:rsid w:val="7AE77D42"/>
    <w:rsid w:val="7B4F7695"/>
    <w:rsid w:val="7B711D02"/>
    <w:rsid w:val="7B8F65E6"/>
    <w:rsid w:val="7BED75DA"/>
    <w:rsid w:val="7BFB64B0"/>
    <w:rsid w:val="7C2154D6"/>
    <w:rsid w:val="7C825254"/>
    <w:rsid w:val="7C9275E1"/>
    <w:rsid w:val="7D180687"/>
    <w:rsid w:val="7D5D42EC"/>
    <w:rsid w:val="7DCE7921"/>
    <w:rsid w:val="7DD50326"/>
    <w:rsid w:val="7DF35D71"/>
    <w:rsid w:val="7E130E4E"/>
    <w:rsid w:val="7E431733"/>
    <w:rsid w:val="7E5C13BE"/>
    <w:rsid w:val="7E6B6EDC"/>
    <w:rsid w:val="7EEA6053"/>
    <w:rsid w:val="7F264BB1"/>
    <w:rsid w:val="7FCB608F"/>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table of authorities"/>
    <w:basedOn w:val="1"/>
    <w:next w:val="1"/>
    <w:autoRedefine/>
    <w:unhideWhenUsed/>
    <w:qFormat/>
    <w:uiPriority w:val="99"/>
    <w:pPr>
      <w:ind w:left="420" w:leftChars="20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_Style 1"/>
    <w:basedOn w:val="1"/>
    <w:autoRedefine/>
    <w:qFormat/>
    <w:uiPriority w:val="0"/>
    <w:pPr>
      <w:spacing w:line="481" w:lineRule="atLeast"/>
      <w:ind w:firstLine="623"/>
      <w:textAlignment w:val="baseline"/>
    </w:pPr>
    <w:rPr>
      <w:rFonts w:ascii="Times New Roman" w:hAnsi="Times New Roman" w:eastAsia="仿宋_GB2312"/>
      <w:color w:val="000000"/>
      <w:sz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824</Words>
  <Characters>1064</Characters>
  <Lines>0</Lines>
  <Paragraphs>0</Paragraphs>
  <TotalTime>1</TotalTime>
  <ScaleCrop>false</ScaleCrop>
  <LinksUpToDate>false</LinksUpToDate>
  <CharactersWithSpaces>1099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cp:lastModifiedBy>
  <dcterms:modified xsi:type="dcterms:W3CDTF">2024-06-03T08:50:31Z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379328F4B0A6450790D5670E54EB03E3_13</vt:lpwstr>
  </property>
</Properties>
</file>