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信阳市上天梯非金属矿管理区</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信阳市上天梯非金属矿管理区</w:t>
      </w:r>
      <w:r>
        <w:rPr>
          <w:rFonts w:hint="eastAsia" w:ascii="黑体" w:hAnsi="黑体" w:eastAsia="黑体" w:cs="黑体"/>
          <w:sz w:val="32"/>
          <w:szCs w:val="32"/>
        </w:rPr>
        <w:t>概况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部门职责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机构设置</w:t>
      </w:r>
    </w:p>
    <w:p>
      <w:pPr>
        <w:rPr>
          <w:rFonts w:hint="eastAsia" w:ascii="黑体" w:hAnsi="黑体" w:eastAsia="黑体" w:cs="黑体"/>
          <w:sz w:val="32"/>
          <w:szCs w:val="32"/>
          <w:lang w:eastAsia="zh-CN"/>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、政府性基金预算财政拨款支出决算情况说明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、机关运行经费支出情况说明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十、政府采购支出情况说明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、国有资产占用情况说明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ind w:firstLine="640" w:firstLineChars="200"/>
        <w:jc w:val="left"/>
        <w:rPr>
          <w:rFonts w:hint="eastAsia" w:ascii="仿宋_GB2312" w:hAnsi="仿宋_GB2312" w:eastAsia="仿宋_GB2312" w:cs="仿宋_GB2312"/>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jc w:val="center"/>
        <w:rPr>
          <w:rFonts w:ascii="黑体" w:hAnsi="黑体" w:eastAsia="黑体" w:cs="黑体"/>
          <w:sz w:val="44"/>
          <w:szCs w:val="44"/>
        </w:rPr>
      </w:pPr>
    </w:p>
    <w:p>
      <w:pPr>
        <w:numPr>
          <w:ilvl w:val="0"/>
          <w:numId w:val="1"/>
        </w:numPr>
        <w:jc w:val="center"/>
        <w:rPr>
          <w:rFonts w:hint="eastAsia" w:ascii="黑体" w:hAnsi="黑体" w:eastAsia="黑体" w:cs="黑体"/>
          <w:sz w:val="44"/>
          <w:szCs w:val="44"/>
          <w:lang w:eastAsia="zh-CN"/>
        </w:rPr>
      </w:pPr>
      <w:r>
        <w:rPr>
          <w:rFonts w:hint="eastAsia" w:ascii="黑体" w:hAnsi="黑体" w:eastAsia="黑体" w:cs="黑体"/>
          <w:sz w:val="44"/>
          <w:szCs w:val="44"/>
        </w:rPr>
        <w:t>　</w:t>
      </w:r>
      <w:r>
        <w:rPr>
          <w:rFonts w:hint="eastAsia" w:ascii="黑体" w:hAnsi="黑体" w:eastAsia="黑体" w:cs="黑体"/>
          <w:sz w:val="44"/>
          <w:szCs w:val="44"/>
          <w:lang w:eastAsia="zh-CN"/>
        </w:rPr>
        <w:t>信阳市上天梯非金属矿</w:t>
      </w:r>
    </w:p>
    <w:p>
      <w:pPr>
        <w:numPr>
          <w:ilvl w:val="0"/>
          <w:numId w:val="0"/>
        </w:numPr>
        <w:ind w:firstLine="4400" w:firstLineChars="1000"/>
        <w:jc w:val="both"/>
        <w:rPr>
          <w:rFonts w:ascii="黑体" w:eastAsia="黑体"/>
          <w:color w:val="000000"/>
          <w:sz w:val="44"/>
          <w:szCs w:val="44"/>
        </w:rPr>
      </w:pPr>
      <w:r>
        <w:rPr>
          <w:rFonts w:hint="eastAsia" w:ascii="黑体" w:hAnsi="黑体" w:eastAsia="黑体" w:cs="黑体"/>
          <w:sz w:val="44"/>
          <w:szCs w:val="44"/>
          <w:lang w:eastAsia="zh-CN"/>
        </w:rPr>
        <w:t>管理区</w:t>
      </w:r>
      <w:r>
        <w:rPr>
          <w:rFonts w:hint="eastAsia" w:ascii="黑体" w:hAnsi="黑体" w:eastAsia="黑体" w:cs="黑体"/>
          <w:sz w:val="44"/>
          <w:szCs w:val="44"/>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1、贯彻落实党的路线、方针、政策和市委、市政府重大决策；负责上天梯管理区机关及所属单位党组织建设、思想建设、作风建设及廉政建设等工作。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负责编制上天梯管理区的经济、社会发展规划，经市政府批准后实施；对管理区内的土地、矿产资源进行统一规划、统一管理、计划开采、深度加工、专一市场、综合利用、多元投资、行业垄断。负责制定本区的行政管理规定并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3、负责制定用地、融资、财税、招商引资、人才引进等优惠政策，激活上天梯管理区开发建设机制。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负责管理区内的土地开发管理、土地规划限额以外的土地出租管理和土地使用权的有偿出让；负责管理区探矿权的审查、申报，采矿权审批；负责矿产品的物价调控；组织辖区内各项基础设施各公共设施的规划、建设与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5、审批、审核管理区各类投资项目；管理辖区涉外事务和有关的进出口行政事务。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6、在信阳市城市总体规划框架内，进行分区规划和详细规划编制的组织和实施工作。享有规划、建设、环保、房管和城市管理行政执法权。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7、对管理区内的企业（国营、集体和个体私营）进行管理、指导和服务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8、按照各项法律的规定和市委、市政府授权，加大对盲目开采、乱占滥建、无序竞争、浪费资源等现状的治理力度，依法对各种违章行为进行纠正和处罚。</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9、依法管理辖区内的财政、税收、计划、环保、安全生产、人事劳动、公安、工商、电业、技术监督、交通等行政事务。</w:t>
      </w:r>
    </w:p>
    <w:p>
      <w:pPr>
        <w:ind w:firstLine="640" w:firstLineChars="200"/>
        <w:outlineLvl w:val="1"/>
        <w:rPr>
          <w:rFonts w:hint="eastAsia" w:ascii="黑体" w:hAnsi="黑体" w:eastAsia="黑体" w:cs="黑体"/>
          <w:sz w:val="32"/>
          <w:szCs w:val="32"/>
        </w:rPr>
      </w:pPr>
      <w:r>
        <w:rPr>
          <w:rFonts w:hint="eastAsia" w:ascii="仿宋_GB2312" w:hAnsi="仿宋_GB2312" w:eastAsia="仿宋_GB2312" w:cs="仿宋_GB2312"/>
          <w:sz w:val="32"/>
          <w:szCs w:val="32"/>
        </w:rPr>
        <w:t>10、负责上天梯管理区内的社会经济发展、民政事务、人员安置、计划生育、科教文卫、社会治安、城镇规模、精神文明建设和基层政权建设等各项公益事业各行政事务。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11、市委、市政府赋予的其他职权。</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二、机构设置</w:t>
      </w:r>
    </w:p>
    <w:p>
      <w:pPr>
        <w:ind w:firstLine="640" w:firstLineChars="200"/>
        <w:jc w:val="left"/>
        <w:rPr>
          <w:rFonts w:ascii="隶书" w:hAnsi="隶书" w:eastAsia="隶书" w:cs="隶书"/>
          <w:b/>
          <w:bCs/>
          <w:sz w:val="48"/>
          <w:szCs w:val="48"/>
        </w:rPr>
      </w:pPr>
      <w:r>
        <w:rPr>
          <w:rFonts w:hint="eastAsia" w:ascii="仿宋_GB2312" w:hAnsi="仿宋_GB2312" w:eastAsia="仿宋_GB2312" w:cs="仿宋_GB2312"/>
          <w:sz w:val="32"/>
          <w:szCs w:val="32"/>
        </w:rPr>
        <w:t>信阳市上天梯非金属矿管理区部门决算包括信阳市上天梯非金属矿管理区区本级决算（含</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个职能机构）和1个办事处（信阳市上天梯非金属矿管理区土城街道办事处）。</w:t>
      </w:r>
    </w:p>
    <w:p>
      <w:pPr>
        <w:outlineLvl w:val="1"/>
        <w:rPr>
          <w:rFonts w:hint="eastAsia" w:ascii="黑体" w:hAnsi="黑体" w:eastAsia="黑体" w:cs="黑体"/>
          <w:sz w:val="32"/>
          <w:szCs w:val="32"/>
        </w:rPr>
      </w:pPr>
    </w:p>
    <w:p>
      <w:pPr>
        <w:outlineLvl w:val="1"/>
        <w:rPr>
          <w:rFonts w:hint="eastAsia" w:ascii="黑体" w:hAnsi="黑体" w:eastAsia="黑体" w:cs="黑体"/>
          <w:sz w:val="32"/>
          <w:szCs w:val="32"/>
        </w:rPr>
      </w:pPr>
    </w:p>
    <w:p>
      <w:pPr>
        <w:outlineLvl w:val="1"/>
        <w:rPr>
          <w:rFonts w:hint="eastAsia" w:ascii="黑体" w:hAnsi="黑体" w:eastAsia="黑体" w:cs="黑体"/>
          <w:sz w:val="32"/>
          <w:szCs w:val="32"/>
        </w:rPr>
      </w:pPr>
    </w:p>
    <w:p>
      <w:pPr>
        <w:outlineLvl w:val="1"/>
        <w:rPr>
          <w:rFonts w:hint="eastAsia" w:ascii="黑体" w:hAnsi="黑体" w:eastAsia="黑体" w:cs="黑体"/>
          <w:sz w:val="32"/>
          <w:szCs w:val="32"/>
        </w:rPr>
      </w:pPr>
    </w:p>
    <w:p>
      <w:pPr>
        <w:outlineLvl w:val="1"/>
        <w:rPr>
          <w:rFonts w:hint="eastAsia"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hint="eastAsia" w:ascii="黑体" w:hAnsi="黑体" w:eastAsia="黑体" w:cs="黑体"/>
          <w:sz w:val="44"/>
          <w:szCs w:val="44"/>
        </w:rPr>
      </w:pPr>
      <w:r>
        <w:rPr>
          <w:rFonts w:hint="eastAsia" w:ascii="黑体" w:hAnsi="黑体" w:eastAsia="黑体" w:cs="黑体"/>
          <w:sz w:val="44"/>
          <w:szCs w:val="44"/>
          <w:lang w:eastAsia="zh-CN"/>
        </w:rPr>
        <w:t>信阳市上天梯非金属矿管理区</w:t>
      </w:r>
      <w:r>
        <w:rPr>
          <w:rFonts w:hint="eastAsia" w:ascii="黑体" w:hAnsi="黑体" w:eastAsia="黑体" w:cs="黑体"/>
          <w:sz w:val="44"/>
          <w:szCs w:val="44"/>
        </w:rPr>
        <w:t>2020年度</w:t>
      </w:r>
    </w:p>
    <w:p>
      <w:pPr>
        <w:jc w:val="center"/>
        <w:rPr>
          <w:rFonts w:hint="eastAsia" w:ascii="黑体" w:hAnsi="黑体" w:eastAsia="黑体" w:cs="黑体"/>
          <w:sz w:val="44"/>
          <w:szCs w:val="44"/>
        </w:rPr>
      </w:pPr>
      <w:r>
        <w:rPr>
          <w:rFonts w:hint="eastAsia" w:ascii="黑体" w:hAnsi="黑体" w:eastAsia="黑体" w:cs="黑体"/>
          <w:sz w:val="44"/>
          <w:szCs w:val="44"/>
        </w:rPr>
        <w:t>部门决算情况说明</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ind w:firstLine="640" w:firstLineChars="200"/>
        <w:jc w:val="left"/>
        <w:rPr>
          <w:rFonts w:hint="default" w:ascii="仿宋_GB2312" w:hAnsi="仿宋_GB2312" w:eastAsia="仿宋_GB2312" w:cs="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收入支出决算总体情况说明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rPr>
        <w:t>万元。与上年度相比，</w:t>
      </w:r>
      <w:r>
        <w:rPr>
          <w:rFonts w:hint="eastAsia" w:ascii="仿宋_GB2312" w:hAnsi="仿宋_GB2312" w:eastAsia="仿宋_GB2312" w:cs="仿宋_GB2312"/>
          <w:sz w:val="32"/>
          <w:szCs w:val="32"/>
          <w:lang w:eastAsia="zh-CN"/>
        </w:rPr>
        <w:t>收入减少</w:t>
      </w:r>
      <w:r>
        <w:rPr>
          <w:rFonts w:hint="eastAsia" w:ascii="仿宋_GB2312" w:hAnsi="仿宋_GB2312" w:eastAsia="仿宋_GB2312" w:cs="仿宋_GB2312"/>
          <w:sz w:val="32"/>
          <w:szCs w:val="32"/>
          <w:lang w:val="en-US" w:eastAsia="zh-CN"/>
        </w:rPr>
        <w:t>470.00万元</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出减少</w:t>
      </w:r>
      <w:r>
        <w:rPr>
          <w:rFonts w:hint="eastAsia" w:ascii="仿宋_GB2312" w:hAnsi="仿宋_GB2312" w:eastAsia="仿宋_GB2312" w:cs="仿宋_GB2312"/>
          <w:sz w:val="32"/>
          <w:szCs w:val="32"/>
          <w:lang w:val="en-US" w:eastAsia="zh-CN"/>
        </w:rPr>
        <w:t>472.00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二、收入决算情况说明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全部为</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三、支出决算情况说明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区本级本年支出合计</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rPr>
        <w:t>万元，均为基本支出。</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四、财政拨款收入支出决算总体情况说明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2020年度财政拨款收、支总计均为 </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rPr>
        <w:t>万元。与上年度相比，</w:t>
      </w:r>
      <w:r>
        <w:rPr>
          <w:rFonts w:hint="eastAsia" w:ascii="仿宋_GB2312" w:hAnsi="仿宋_GB2312" w:eastAsia="仿宋_GB2312" w:cs="仿宋_GB2312"/>
          <w:sz w:val="32"/>
          <w:szCs w:val="32"/>
          <w:lang w:eastAsia="zh-CN"/>
        </w:rPr>
        <w:t>收入减少</w:t>
      </w:r>
      <w:r>
        <w:rPr>
          <w:rFonts w:hint="eastAsia" w:ascii="仿宋_GB2312" w:hAnsi="仿宋_GB2312" w:eastAsia="仿宋_GB2312" w:cs="仿宋_GB2312"/>
          <w:sz w:val="32"/>
          <w:szCs w:val="32"/>
          <w:lang w:val="en-US" w:eastAsia="zh-CN"/>
        </w:rPr>
        <w:t>470.00万元</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出减少</w:t>
      </w:r>
      <w:r>
        <w:rPr>
          <w:rFonts w:hint="eastAsia" w:ascii="仿宋_GB2312" w:hAnsi="仿宋_GB2312" w:eastAsia="仿宋_GB2312" w:cs="仿宋_GB2312"/>
          <w:sz w:val="32"/>
          <w:szCs w:val="32"/>
          <w:lang w:val="en-US" w:eastAsia="zh-CN"/>
        </w:rPr>
        <w:t>472.00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（二）结构情况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区本级</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3320.00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%；教育支出</w:t>
      </w:r>
      <w:r>
        <w:rPr>
          <w:rFonts w:hint="eastAsia" w:ascii="仿宋_GB2312" w:hAnsi="仿宋_GB2312" w:eastAsia="仿宋_GB2312" w:cs="仿宋_GB2312"/>
          <w:sz w:val="32"/>
          <w:szCs w:val="32"/>
          <w:lang w:val="en-US" w:eastAsia="zh-CN"/>
        </w:rPr>
        <w:t>1004.00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%；科学技术支出</w:t>
      </w:r>
      <w:r>
        <w:rPr>
          <w:rFonts w:hint="eastAsia" w:ascii="仿宋_GB2312" w:hAnsi="仿宋_GB2312" w:eastAsia="仿宋_GB2312" w:cs="仿宋_GB2312"/>
          <w:sz w:val="32"/>
          <w:szCs w:val="32"/>
          <w:lang w:val="en-US" w:eastAsia="zh-CN"/>
        </w:rPr>
        <w:t>332.00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149.00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节能环保</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230.00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 xml:space="preserve">%；城乡社区支出 </w:t>
      </w:r>
      <w:r>
        <w:rPr>
          <w:rFonts w:hint="eastAsia" w:ascii="仿宋_GB2312" w:hAnsi="仿宋_GB2312" w:eastAsia="仿宋_GB2312" w:cs="仿宋_GB2312"/>
          <w:sz w:val="32"/>
          <w:szCs w:val="32"/>
          <w:lang w:val="en-US" w:eastAsia="zh-CN"/>
        </w:rPr>
        <w:t>122.00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%；农林水支出</w:t>
      </w:r>
      <w:r>
        <w:rPr>
          <w:rFonts w:hint="eastAsia" w:ascii="仿宋_GB2312" w:hAnsi="仿宋_GB2312" w:eastAsia="仿宋_GB2312" w:cs="仿宋_GB2312"/>
          <w:sz w:val="32"/>
          <w:szCs w:val="32"/>
          <w:lang w:val="en-US" w:eastAsia="zh-CN"/>
        </w:rPr>
        <w:t>530.00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%；交通运输支出</w:t>
      </w:r>
      <w:r>
        <w:rPr>
          <w:rFonts w:hint="eastAsia" w:ascii="仿宋_GB2312" w:hAnsi="仿宋_GB2312" w:eastAsia="仿宋_GB2312" w:cs="仿宋_GB2312"/>
          <w:sz w:val="32"/>
          <w:szCs w:val="32"/>
          <w:lang w:val="en-US" w:eastAsia="zh-CN"/>
        </w:rPr>
        <w:t>690.00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自然资源海洋气象</w:t>
      </w:r>
      <w:r>
        <w:rPr>
          <w:rFonts w:hint="eastAsia" w:ascii="仿宋_GB2312" w:hAnsi="仿宋_GB2312" w:eastAsia="仿宋_GB2312" w:cs="仿宋_GB2312"/>
          <w:sz w:val="32"/>
          <w:szCs w:val="32"/>
        </w:rPr>
        <w:t>等支出</w:t>
      </w:r>
      <w:r>
        <w:rPr>
          <w:rFonts w:hint="eastAsia" w:ascii="仿宋_GB2312" w:hAnsi="仿宋_GB2312" w:eastAsia="仿宋_GB2312" w:cs="仿宋_GB2312"/>
          <w:sz w:val="32"/>
          <w:szCs w:val="32"/>
          <w:lang w:val="en-US" w:eastAsia="zh-CN"/>
        </w:rPr>
        <w:t>666.00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，灾害防治及应急管理支出</w:t>
      </w:r>
      <w:r>
        <w:rPr>
          <w:rFonts w:hint="eastAsia" w:ascii="仿宋_GB2312" w:hAnsi="仿宋_GB2312" w:eastAsia="仿宋_GB2312" w:cs="仿宋_GB2312"/>
          <w:sz w:val="32"/>
          <w:szCs w:val="32"/>
          <w:lang w:val="en-US" w:eastAsia="zh-CN"/>
        </w:rPr>
        <w:t>278.00万元，占3.8</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（三）具体情况。</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 年度一般公共预算财政拨款支出年初预算为</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lang w:eastAsia="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%。其中：</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．一般公共服务支出人大事务行政运行。年初预算为</w:t>
      </w:r>
      <w:r>
        <w:rPr>
          <w:rFonts w:hint="eastAsia" w:ascii="仿宋_GB2312" w:hAnsi="仿宋_GB2312" w:eastAsia="仿宋_GB2312" w:cs="仿宋_GB2312"/>
          <w:sz w:val="32"/>
          <w:szCs w:val="32"/>
          <w:lang w:val="en-US" w:eastAsia="zh-CN"/>
        </w:rPr>
        <w:t>20.00万</w:t>
      </w:r>
      <w:r>
        <w:rPr>
          <w:rFonts w:hint="eastAsia" w:ascii="仿宋_GB2312" w:hAnsi="仿宋_GB2312" w:eastAsia="仿宋_GB2312" w:cs="仿宋_GB2312"/>
          <w:sz w:val="32"/>
          <w:szCs w:val="32"/>
          <w:lang w:eastAsia="zh-CN"/>
        </w:rPr>
        <w:t>元，支出决算为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．一般公共服务支出政府办公厅（室）及相关机构事务行政运行。年初预算为</w:t>
      </w:r>
      <w:r>
        <w:rPr>
          <w:rFonts w:hint="eastAsia" w:ascii="仿宋_GB2312" w:hAnsi="仿宋_GB2312" w:eastAsia="仿宋_GB2312" w:cs="仿宋_GB2312"/>
          <w:sz w:val="32"/>
          <w:szCs w:val="32"/>
          <w:lang w:val="en-US" w:eastAsia="zh-CN"/>
        </w:rPr>
        <w:t>2900.00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2900.00</w:t>
      </w:r>
      <w:r>
        <w:rPr>
          <w:rFonts w:hint="eastAsia" w:ascii="仿宋_GB2312" w:hAnsi="仿宋_GB2312" w:eastAsia="仿宋_GB2312" w:cs="仿宋_GB2312"/>
          <w:sz w:val="32"/>
          <w:szCs w:val="32"/>
          <w:lang w:eastAsia="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一般公共服务支出统计信息事务行政运行。年初预算为</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lang w:eastAsia="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．一般公共服务支出财政事务行政运行。年初预算为</w:t>
      </w:r>
      <w:r>
        <w:rPr>
          <w:rFonts w:hint="eastAsia" w:ascii="仿宋_GB2312" w:hAnsi="仿宋_GB2312" w:eastAsia="仿宋_GB2312" w:cs="仿宋_GB2312"/>
          <w:sz w:val="32"/>
          <w:szCs w:val="32"/>
          <w:lang w:val="en-US" w:eastAsia="zh-CN"/>
        </w:rPr>
        <w:t>89.00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89.00</w:t>
      </w:r>
      <w:r>
        <w:rPr>
          <w:rFonts w:hint="eastAsia" w:ascii="仿宋_GB2312" w:hAnsi="仿宋_GB2312" w:eastAsia="仿宋_GB2312" w:cs="仿宋_GB2312"/>
          <w:sz w:val="32"/>
          <w:szCs w:val="32"/>
          <w:lang w:eastAsia="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．一般公共服务支出审计事务行政运行。年初预算为</w:t>
      </w:r>
      <w:r>
        <w:rPr>
          <w:rFonts w:hint="eastAsia" w:ascii="仿宋_GB2312" w:hAnsi="仿宋_GB2312" w:eastAsia="仿宋_GB2312" w:cs="仿宋_GB2312"/>
          <w:sz w:val="32"/>
          <w:szCs w:val="32"/>
          <w:lang w:val="en-US" w:eastAsia="zh-CN"/>
        </w:rPr>
        <w:t>52.00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52.00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 一般公共服务支出人力资源事务行政运行。年初预算为</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 一般公共服务支出纪检监察事务行政运行。年初预算为</w:t>
      </w:r>
      <w:r>
        <w:rPr>
          <w:rFonts w:hint="eastAsia" w:ascii="仿宋_GB2312" w:hAnsi="仿宋_GB2312" w:eastAsia="仿宋_GB2312" w:cs="仿宋_GB2312"/>
          <w:sz w:val="32"/>
          <w:szCs w:val="32"/>
          <w:lang w:val="en-US" w:eastAsia="zh-CN"/>
        </w:rPr>
        <w:t>62.00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62.00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 一般公共服务支出群众团体事务行政运行。年初预算为</w:t>
      </w:r>
      <w:r>
        <w:rPr>
          <w:rFonts w:hint="eastAsia" w:ascii="仿宋_GB2312" w:hAnsi="仿宋_GB2312" w:eastAsia="仿宋_GB2312" w:cs="仿宋_GB2312"/>
          <w:sz w:val="32"/>
          <w:szCs w:val="32"/>
          <w:lang w:val="en-US" w:eastAsia="zh-CN"/>
        </w:rPr>
        <w:t>77.00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77.00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．教育支出普通教育小学教育。年初预算为</w:t>
      </w:r>
      <w:r>
        <w:rPr>
          <w:rFonts w:hint="eastAsia" w:ascii="仿宋_GB2312" w:hAnsi="仿宋_GB2312" w:eastAsia="仿宋_GB2312" w:cs="仿宋_GB2312"/>
          <w:sz w:val="32"/>
          <w:szCs w:val="32"/>
          <w:lang w:val="en-US" w:eastAsia="zh-CN"/>
        </w:rPr>
        <w:t>535.90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535.90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．教育支出普通教育初中教育。年初预算为</w:t>
      </w:r>
      <w:r>
        <w:rPr>
          <w:rFonts w:hint="eastAsia" w:ascii="仿宋_GB2312" w:hAnsi="仿宋_GB2312" w:eastAsia="仿宋_GB2312" w:cs="仿宋_GB2312"/>
          <w:sz w:val="32"/>
          <w:szCs w:val="32"/>
          <w:lang w:val="en-US" w:eastAsia="zh-CN"/>
        </w:rPr>
        <w:t>468.10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468.10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．科学技术支出科学技术管理事务行政运行。年初预算为</w:t>
      </w:r>
      <w:r>
        <w:rPr>
          <w:rFonts w:hint="eastAsia" w:ascii="仿宋_GB2312" w:hAnsi="仿宋_GB2312" w:eastAsia="仿宋_GB2312" w:cs="仿宋_GB2312"/>
          <w:sz w:val="32"/>
          <w:szCs w:val="32"/>
          <w:lang w:val="en-US" w:eastAsia="zh-CN"/>
        </w:rPr>
        <w:t>161.40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161.40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．科学技术支出基础研究机构运行。年初预算</w:t>
      </w:r>
      <w:r>
        <w:rPr>
          <w:rFonts w:hint="eastAsia" w:ascii="仿宋_GB2312" w:hAnsi="仿宋_GB2312" w:eastAsia="仿宋_GB2312" w:cs="仿宋_GB2312"/>
          <w:sz w:val="32"/>
          <w:szCs w:val="32"/>
          <w:lang w:val="en-US" w:eastAsia="zh-CN"/>
        </w:rPr>
        <w:t>170.60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170.60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．卫生健康支出卫生健康管理事务行政运行。年初预算为</w:t>
      </w:r>
      <w:r>
        <w:rPr>
          <w:rFonts w:hint="eastAsia" w:ascii="仿宋_GB2312" w:hAnsi="仿宋_GB2312" w:eastAsia="仿宋_GB2312" w:cs="仿宋_GB2312"/>
          <w:sz w:val="32"/>
          <w:szCs w:val="32"/>
          <w:lang w:val="en-US" w:eastAsia="zh-CN"/>
        </w:rPr>
        <w:t>149.00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149.00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．节能环保支出环境保护管理事务行政运行。年初预算为</w:t>
      </w:r>
      <w:r>
        <w:rPr>
          <w:rFonts w:hint="eastAsia" w:ascii="仿宋_GB2312" w:hAnsi="仿宋_GB2312" w:eastAsia="仿宋_GB2312" w:cs="仿宋_GB2312"/>
          <w:sz w:val="32"/>
          <w:szCs w:val="32"/>
          <w:lang w:val="en-US" w:eastAsia="zh-CN"/>
        </w:rPr>
        <w:t>230.00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230.00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．城乡社区支出城乡社区规划与管理城乡社区规划与管理。年初预算为</w:t>
      </w:r>
      <w:r>
        <w:rPr>
          <w:rFonts w:hint="eastAsia" w:ascii="仿宋_GB2312" w:hAnsi="仿宋_GB2312" w:eastAsia="仿宋_GB2312" w:cs="仿宋_GB2312"/>
          <w:sz w:val="32"/>
          <w:szCs w:val="32"/>
          <w:lang w:val="en-US" w:eastAsia="zh-CN"/>
        </w:rPr>
        <w:t>122.00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122.00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．农林水支出农业农村行政运行。年初预算为</w:t>
      </w:r>
      <w:r>
        <w:rPr>
          <w:rFonts w:hint="eastAsia" w:ascii="仿宋_GB2312" w:hAnsi="仿宋_GB2312" w:eastAsia="仿宋_GB2312" w:cs="仿宋_GB2312"/>
          <w:sz w:val="32"/>
          <w:szCs w:val="32"/>
          <w:lang w:val="en-US" w:eastAsia="zh-CN"/>
        </w:rPr>
        <w:t>530.00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530.00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．交通运输支出其他交通运输支出其他交通运输支出。年初预算为</w:t>
      </w:r>
      <w:r>
        <w:rPr>
          <w:rFonts w:hint="eastAsia" w:ascii="仿宋_GB2312" w:hAnsi="仿宋_GB2312" w:eastAsia="仿宋_GB2312" w:cs="仿宋_GB2312"/>
          <w:sz w:val="32"/>
          <w:szCs w:val="32"/>
          <w:lang w:val="en-US" w:eastAsia="zh-CN"/>
        </w:rPr>
        <w:t>690.00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690.00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．自然资源海洋气象等支出自然资源事务行政运行。年初预算为</w:t>
      </w:r>
      <w:r>
        <w:rPr>
          <w:rFonts w:hint="eastAsia" w:ascii="仿宋_GB2312" w:hAnsi="仿宋_GB2312" w:eastAsia="仿宋_GB2312" w:cs="仿宋_GB2312"/>
          <w:sz w:val="32"/>
          <w:szCs w:val="32"/>
          <w:lang w:val="en-US" w:eastAsia="zh-CN"/>
        </w:rPr>
        <w:t>666.00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666.00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．灾害防治及应急管理支出应急管理事务行政运行。年初预算为</w:t>
      </w:r>
      <w:r>
        <w:rPr>
          <w:rFonts w:hint="eastAsia" w:ascii="仿宋_GB2312" w:hAnsi="仿宋_GB2312" w:eastAsia="仿宋_GB2312" w:cs="仿宋_GB2312"/>
          <w:sz w:val="32"/>
          <w:szCs w:val="32"/>
          <w:lang w:val="en-US" w:eastAsia="zh-CN"/>
        </w:rPr>
        <w:t>278.00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278.00</w:t>
      </w:r>
      <w:r>
        <w:rPr>
          <w:rFonts w:hint="eastAsia" w:ascii="仿宋_GB2312" w:hAnsi="仿宋_GB2312" w:eastAsia="仿宋_GB2312" w:cs="仿宋_GB2312"/>
          <w:sz w:val="32"/>
          <w:szCs w:val="32"/>
          <w:lang w:eastAsia="zh-CN"/>
        </w:rPr>
        <w:t>万元，完成年初预算的100%。</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五、一般公共预算财政拨款基本支出决算情况说明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区本级</w:t>
      </w:r>
      <w:r>
        <w:rPr>
          <w:rFonts w:hint="eastAsia" w:ascii="仿宋_GB2312" w:hAnsi="仿宋_GB2312" w:eastAsia="仿宋_GB2312" w:cs="仿宋_GB2312"/>
          <w:sz w:val="32"/>
          <w:szCs w:val="32"/>
        </w:rPr>
        <w:t>一般公共预算财政拨款基本支</w:t>
      </w:r>
      <w:r>
        <w:rPr>
          <w:rFonts w:hint="eastAsia" w:ascii="仿宋_GB2312" w:hAnsi="仿宋_GB2312" w:eastAsia="仿宋_GB2312" w:cs="仿宋_GB2312"/>
          <w:sz w:val="32"/>
          <w:szCs w:val="32"/>
          <w:lang w:val="en-US" w:eastAsia="zh-CN"/>
        </w:rPr>
        <w:t>7321.00</w:t>
      </w:r>
      <w:r>
        <w:rPr>
          <w:rFonts w:hint="eastAsia" w:ascii="仿宋_GB2312" w:hAnsi="仿宋_GB2312" w:eastAsia="仿宋_GB2312" w:cs="仿宋_GB2312"/>
          <w:sz w:val="32"/>
          <w:szCs w:val="32"/>
        </w:rPr>
        <w:t>万元。其中：人员经费4</w:t>
      </w:r>
      <w:r>
        <w:rPr>
          <w:rFonts w:hint="eastAsia" w:ascii="仿宋_GB2312" w:hAnsi="仿宋_GB2312" w:eastAsia="仿宋_GB2312" w:cs="仿宋_GB2312"/>
          <w:sz w:val="32"/>
          <w:szCs w:val="32"/>
          <w:lang w:val="en-US" w:eastAsia="zh-CN"/>
        </w:rPr>
        <w:t>581.00</w:t>
      </w:r>
      <w:r>
        <w:rPr>
          <w:rFonts w:hint="eastAsia" w:ascii="仿宋_GB2312" w:hAnsi="仿宋_GB2312" w:eastAsia="仿宋_GB2312" w:cs="仿宋_GB2312"/>
          <w:sz w:val="32"/>
          <w:szCs w:val="32"/>
        </w:rPr>
        <w:t>万元，主要包括：基本工资、津贴补贴、</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绩效工资、机关事业单位基本养老保险缴费、</w:t>
      </w:r>
      <w:r>
        <w:rPr>
          <w:rFonts w:hint="eastAsia" w:ascii="仿宋_GB2312" w:hAnsi="仿宋_GB2312" w:eastAsia="仿宋_GB2312" w:cs="仿宋_GB2312"/>
          <w:sz w:val="32"/>
          <w:szCs w:val="32"/>
          <w:lang w:eastAsia="zh-CN"/>
        </w:rPr>
        <w:t>职工基本医疗保险缴费、公务员医疗保险缴费、</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退</w:t>
      </w:r>
      <w:r>
        <w:rPr>
          <w:rFonts w:hint="eastAsia" w:ascii="仿宋_GB2312" w:hAnsi="仿宋_GB2312" w:eastAsia="仿宋_GB2312" w:cs="仿宋_GB2312"/>
          <w:sz w:val="32"/>
          <w:szCs w:val="32"/>
        </w:rPr>
        <w:t>休费、退</w:t>
      </w:r>
      <w:r>
        <w:rPr>
          <w:rFonts w:hint="eastAsia" w:ascii="仿宋_GB2312" w:hAnsi="仿宋_GB2312" w:eastAsia="仿宋_GB2312" w:cs="仿宋_GB2312"/>
          <w:sz w:val="32"/>
          <w:szCs w:val="32"/>
          <w:lang w:eastAsia="zh-CN"/>
        </w:rPr>
        <w:t>职（役）</w:t>
      </w:r>
      <w:r>
        <w:rPr>
          <w:rFonts w:hint="eastAsia" w:ascii="仿宋_GB2312" w:hAnsi="仿宋_GB2312" w:eastAsia="仿宋_GB2312" w:cs="仿宋_GB2312"/>
          <w:sz w:val="32"/>
          <w:szCs w:val="32"/>
        </w:rPr>
        <w:t>费、抚恤金、生活补助、</w:t>
      </w:r>
      <w:r>
        <w:rPr>
          <w:rFonts w:hint="eastAsia" w:ascii="仿宋_GB2312" w:hAnsi="仿宋_GB2312" w:eastAsia="仿宋_GB2312" w:cs="仿宋_GB2312"/>
          <w:sz w:val="32"/>
          <w:szCs w:val="32"/>
          <w:lang w:eastAsia="zh-CN"/>
        </w:rPr>
        <w:t>救济费、</w:t>
      </w:r>
      <w:r>
        <w:rPr>
          <w:rFonts w:hint="eastAsia" w:ascii="仿宋_GB2312" w:hAnsi="仿宋_GB2312" w:eastAsia="仿宋_GB2312" w:cs="仿宋_GB2312"/>
          <w:sz w:val="32"/>
          <w:szCs w:val="32"/>
        </w:rPr>
        <w:t>医疗费</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、奖励金、其他对个人和家庭的补助支出；公用经费</w:t>
      </w:r>
      <w:r>
        <w:rPr>
          <w:rFonts w:hint="eastAsia" w:ascii="仿宋_GB2312" w:hAnsi="仿宋_GB2312" w:eastAsia="仿宋_GB2312" w:cs="仿宋_GB2312"/>
          <w:sz w:val="32"/>
          <w:szCs w:val="32"/>
          <w:lang w:val="en-US" w:eastAsia="zh-CN"/>
        </w:rPr>
        <w:t>2740</w:t>
      </w:r>
      <w:r>
        <w:rPr>
          <w:rFonts w:hint="eastAsia" w:ascii="仿宋_GB2312" w:hAnsi="仿宋_GB2312" w:eastAsia="仿宋_GB2312" w:cs="仿宋_GB2312"/>
          <w:sz w:val="32"/>
          <w:szCs w:val="32"/>
        </w:rPr>
        <w:t>.00万元，主要包括：办公费、印刷费、咨询费、水费、电费、邮电费、物业管理费、差旅费、维修（护）费、租赁费、会议费、培训费、公务接待费、专用材料费、</w:t>
      </w:r>
      <w:r>
        <w:rPr>
          <w:rFonts w:hint="eastAsia" w:ascii="仿宋_GB2312" w:hAnsi="仿宋_GB2312" w:eastAsia="仿宋_GB2312" w:cs="仿宋_GB2312"/>
          <w:sz w:val="32"/>
          <w:szCs w:val="32"/>
          <w:lang w:eastAsia="zh-CN"/>
        </w:rPr>
        <w:t>专用燃料费、</w:t>
      </w:r>
      <w:r>
        <w:rPr>
          <w:rFonts w:hint="eastAsia" w:ascii="仿宋_GB2312" w:hAnsi="仿宋_GB2312" w:eastAsia="仿宋_GB2312" w:cs="仿宋_GB2312"/>
          <w:sz w:val="32"/>
          <w:szCs w:val="32"/>
        </w:rPr>
        <w:t>劳务费、委托业务费、公务用车运行维护费、其他交通费用、其他商品和服务支出、办公设备购置。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b w:val="0"/>
          <w:bCs w:val="0"/>
          <w:sz w:val="32"/>
          <w:szCs w:val="32"/>
        </w:rPr>
        <w:t>六、一般公共预算财政拨款“三公”经费支出决算情况说明</w:t>
      </w:r>
      <w:r>
        <w:rPr>
          <w:rFonts w:hint="eastAsia" w:ascii="黑体" w:hAnsi="黑体" w:eastAsia="黑体" w:cs="黑体"/>
          <w:b w:val="0"/>
          <w:bCs w:val="0"/>
          <w:sz w:val="32"/>
          <w:szCs w:val="32"/>
        </w:rPr>
        <w:br w:type="textWrapping"/>
      </w:r>
      <w:r>
        <w:rPr>
          <w:rFonts w:hint="eastAsia" w:ascii="仿宋_GB2312" w:hAnsi="仿宋_GB2312" w:eastAsia="仿宋_GB2312" w:cs="仿宋_GB2312"/>
          <w:sz w:val="32"/>
          <w:szCs w:val="32"/>
        </w:rPr>
        <w:t xml:space="preserve">     区本级</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64.00</w:t>
      </w:r>
      <w:r>
        <w:rPr>
          <w:rFonts w:hint="eastAsia" w:ascii="仿宋_GB2312" w:hAnsi="仿宋_GB2312" w:eastAsia="仿宋_GB2312" w:cs="仿宋_GB2312"/>
          <w:sz w:val="32"/>
          <w:szCs w:val="32"/>
        </w:rPr>
        <w:t>万元，我区严格执行中央“八项规定”，根据市纪委及市审计有关部门工作要求，压缩公务接待开支，在公务接待活动管理方面，严格实行公务接待备案制度，严格控制招待费的使用，制订了费用的使用范围、标准，杜绝铺张浪费。在公务用车管理方面，我区严格遵循保障公务、经济适用、厉行节约、实事求是的原则。</w:t>
      </w:r>
    </w:p>
    <w:p>
      <w:pPr>
        <w:pStyle w:val="4"/>
        <w:autoSpaceDE w:val="0"/>
        <w:spacing w:before="0" w:beforeAutospacing="0" w:after="0" w:afterAutospacing="0" w:line="560" w:lineRule="exact"/>
        <w:ind w:firstLine="640" w:firstLineChars="200"/>
        <w:rPr>
          <w:rFonts w:hint="eastAsia"/>
        </w:rPr>
      </w:pPr>
      <w:r>
        <w:rPr>
          <w:rFonts w:hint="eastAsia" w:ascii="黑体" w:hAnsi="黑体" w:eastAsia="黑体"/>
          <w:kern w:val="2"/>
          <w:sz w:val="32"/>
          <w:szCs w:val="32"/>
          <w:lang w:eastAsia="zh-CN"/>
        </w:rPr>
        <w:t>七</w:t>
      </w:r>
      <w:r>
        <w:rPr>
          <w:rFonts w:hint="eastAsia" w:ascii="黑体" w:hAnsi="黑体" w:eastAsia="黑体"/>
          <w:kern w:val="2"/>
          <w:sz w:val="32"/>
          <w:szCs w:val="32"/>
        </w:rPr>
        <w:t>、政府性基金预算财政拨款支出决算情况说明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收入，也没有使用政府性基金安排的支出。</w:t>
      </w:r>
    </w:p>
    <w:p>
      <w:pPr>
        <w:pStyle w:val="4"/>
        <w:autoSpaceDE w:val="0"/>
        <w:spacing w:before="0" w:beforeAutospacing="0" w:after="0" w:afterAutospacing="0" w:line="560" w:lineRule="exact"/>
        <w:ind w:firstLine="640" w:firstLineChars="200"/>
        <w:rPr>
          <w:rFonts w:hint="eastAsia"/>
        </w:rPr>
      </w:pPr>
      <w:r>
        <w:rPr>
          <w:rFonts w:hint="eastAsia" w:ascii="黑体" w:hAnsi="黑体" w:eastAsia="黑体"/>
          <w:kern w:val="2"/>
          <w:sz w:val="32"/>
          <w:szCs w:val="32"/>
          <w:lang w:eastAsia="zh-CN"/>
        </w:rPr>
        <w:t>八</w:t>
      </w:r>
      <w:r>
        <w:rPr>
          <w:rFonts w:hint="eastAsia" w:ascii="黑体" w:hAnsi="黑体" w:eastAsia="黑体"/>
          <w:kern w:val="2"/>
          <w:sz w:val="32"/>
          <w:szCs w:val="32"/>
        </w:rPr>
        <w:t>、机关运行经费支出情况说明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年度机关运行经费年初预算为</w:t>
      </w:r>
      <w:r>
        <w:rPr>
          <w:rFonts w:hint="eastAsia" w:ascii="仿宋_GB2312" w:hAnsi="仿宋_GB2312" w:eastAsia="仿宋_GB2312" w:cs="仿宋_GB2312"/>
          <w:sz w:val="32"/>
          <w:szCs w:val="32"/>
          <w:lang w:val="en-US" w:eastAsia="zh-CN"/>
        </w:rPr>
        <w:t>2740.00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2740.00</w:t>
      </w:r>
      <w:r>
        <w:rPr>
          <w:rFonts w:hint="eastAsia" w:ascii="仿宋_GB2312" w:hAnsi="仿宋_GB2312" w:eastAsia="仿宋_GB2312" w:cs="仿宋_GB2312"/>
          <w:sz w:val="32"/>
          <w:szCs w:val="32"/>
        </w:rPr>
        <w:t>万元，完成年初预算的100%。</w:t>
      </w:r>
    </w:p>
    <w:p>
      <w:pPr>
        <w:pStyle w:val="4"/>
        <w:autoSpaceDE w:val="0"/>
        <w:spacing w:before="0" w:beforeAutospacing="0" w:after="0" w:afterAutospacing="0" w:line="560" w:lineRule="exact"/>
        <w:ind w:firstLine="640" w:firstLineChars="200"/>
        <w:rPr>
          <w:rFonts w:hint="eastAsia"/>
        </w:rPr>
      </w:pPr>
      <w:r>
        <w:rPr>
          <w:rFonts w:hint="eastAsia" w:ascii="黑体" w:hAnsi="黑体" w:eastAsia="黑体"/>
          <w:kern w:val="2"/>
          <w:sz w:val="32"/>
          <w:szCs w:val="32"/>
          <w:lang w:eastAsia="zh-CN"/>
        </w:rPr>
        <w:t>九</w:t>
      </w:r>
      <w:r>
        <w:rPr>
          <w:rFonts w:hint="eastAsia" w:ascii="黑体" w:hAnsi="黑体" w:eastAsia="黑体"/>
          <w:kern w:val="2"/>
          <w:sz w:val="32"/>
          <w:szCs w:val="32"/>
        </w:rPr>
        <w:t>、政府采购支出情况说明</w:t>
      </w:r>
    </w:p>
    <w:p>
      <w:pPr>
        <w:pStyle w:val="4"/>
        <w:autoSpaceDE w:val="0"/>
        <w:spacing w:before="0" w:beforeAutospacing="0" w:after="0" w:afterAutospacing="0" w:line="560" w:lineRule="exact"/>
        <w:ind w:firstLine="640" w:firstLineChars="200"/>
        <w:rPr>
          <w:rFonts w:hint="eastAsia" w:ascii="仿宋" w:hAnsi="仿宋" w:eastAsia="仿宋"/>
          <w:kern w:val="2"/>
          <w:sz w:val="32"/>
          <w:szCs w:val="32"/>
        </w:rPr>
      </w:pPr>
      <w:r>
        <w:rPr>
          <w:rFonts w:hint="eastAsia" w:ascii="仿宋_GB2312" w:hAnsi="仿宋_GB2312" w:eastAsia="仿宋_GB2312" w:cs="仿宋_GB2312"/>
          <w:kern w:val="0"/>
          <w:sz w:val="32"/>
          <w:szCs w:val="32"/>
          <w:lang w:val="en-US" w:eastAsia="zh-CN" w:bidi="ar-SA"/>
        </w:rPr>
        <w:t>2020年度政府采购支出总额756万元</w:t>
      </w:r>
      <w:r>
        <w:rPr>
          <w:rFonts w:hint="eastAsia" w:ascii="仿宋" w:hAnsi="仿宋" w:eastAsia="仿宋"/>
          <w:kern w:val="2"/>
          <w:sz w:val="32"/>
          <w:szCs w:val="32"/>
        </w:rPr>
        <w:t>。</w:t>
      </w:r>
    </w:p>
    <w:p>
      <w:pPr>
        <w:spacing w:line="56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十、国有资产占用情况说明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年期末，我部门共有车辆</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辆，其中：执法执勤用车4辆、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4辆、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辆；单位价值50万元以上通用设备0台（套），单位价值100万元以上专用设备0台（套）。</w:t>
      </w:r>
    </w:p>
    <w:p>
      <w:pPr>
        <w:ind w:firstLine="640" w:firstLineChars="200"/>
        <w:jc w:val="left"/>
        <w:rPr>
          <w:rFonts w:hint="eastAsia" w:ascii="仿宋" w:hAnsi="仿宋" w:eastAsia="仿宋"/>
          <w:color w:val="auto"/>
          <w:kern w:val="2"/>
          <w:sz w:val="32"/>
          <w:szCs w:val="32"/>
        </w:rPr>
      </w:pPr>
    </w:p>
    <w:p>
      <w:pPr>
        <w:ind w:firstLine="640" w:firstLineChars="200"/>
        <w:jc w:val="left"/>
        <w:rPr>
          <w:rFonts w:hint="eastAsia" w:ascii="仿宋" w:hAnsi="仿宋" w:eastAsia="仿宋"/>
          <w:color w:val="auto"/>
          <w:kern w:val="2"/>
          <w:sz w:val="32"/>
          <w:szCs w:val="32"/>
        </w:rPr>
      </w:pPr>
    </w:p>
    <w:p>
      <w:pPr>
        <w:keepNext w:val="0"/>
        <w:keepLines w:val="0"/>
        <w:pageBreakBefore w:val="0"/>
        <w:widowControl/>
        <w:kinsoku/>
        <w:wordWrap/>
        <w:overflowPunct/>
        <w:topLinePunct w:val="0"/>
        <w:autoSpaceDE/>
        <w:autoSpaceDN/>
        <w:bidi w:val="0"/>
        <w:adjustRightInd/>
        <w:snapToGrid/>
        <w:spacing w:line="590" w:lineRule="exact"/>
        <w:ind w:left="538" w:leftChars="224" w:firstLine="0" w:firstLineChars="0"/>
        <w:jc w:val="center"/>
        <w:textAlignment w:val="auto"/>
        <w:rPr>
          <w:rFonts w:hint="eastAsia" w:ascii="黑体" w:hAnsi="黑体" w:eastAsia="黑体" w:cs="黑体"/>
          <w:b/>
          <w:kern w:val="2"/>
          <w:sz w:val="44"/>
          <w:szCs w:val="44"/>
        </w:rPr>
      </w:pPr>
      <w:r>
        <w:rPr>
          <w:rFonts w:hint="eastAsia" w:ascii="黑体" w:hAnsi="黑体" w:eastAsia="黑体" w:cs="黑体"/>
          <w:b/>
          <w:kern w:val="2"/>
          <w:sz w:val="44"/>
          <w:szCs w:val="44"/>
        </w:rPr>
        <w:t>第</w:t>
      </w:r>
      <w:r>
        <w:rPr>
          <w:rFonts w:hint="eastAsia" w:ascii="黑体" w:hAnsi="黑体" w:eastAsia="黑体" w:cs="黑体"/>
          <w:b/>
          <w:kern w:val="2"/>
          <w:sz w:val="44"/>
          <w:szCs w:val="44"/>
          <w:lang w:eastAsia="zh-CN"/>
        </w:rPr>
        <w:t>三</w:t>
      </w:r>
      <w:r>
        <w:rPr>
          <w:rFonts w:hint="eastAsia" w:ascii="黑体" w:hAnsi="黑体" w:eastAsia="黑体" w:cs="黑体"/>
          <w:b/>
          <w:kern w:val="2"/>
          <w:sz w:val="44"/>
          <w:szCs w:val="44"/>
        </w:rPr>
        <w:t>部分  名词解释</w:t>
      </w:r>
    </w:p>
    <w:p>
      <w:pPr>
        <w:keepNext w:val="0"/>
        <w:keepLines w:val="0"/>
        <w:pageBreakBefore w:val="0"/>
        <w:widowControl/>
        <w:kinsoku/>
        <w:wordWrap/>
        <w:overflowPunct/>
        <w:topLinePunct w:val="0"/>
        <w:autoSpaceDE/>
        <w:autoSpaceDN/>
        <w:bidi w:val="0"/>
        <w:adjustRightInd/>
        <w:snapToGrid/>
        <w:spacing w:line="590" w:lineRule="exact"/>
        <w:ind w:left="538" w:leftChars="224"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、财政拨款收入：单位从同级政府财政部门取得的财</w:t>
      </w:r>
      <w:r>
        <w:rPr>
          <w:rFonts w:hint="eastAsia" w:ascii="仿宋" w:hAnsi="仿宋" w:eastAsia="仿宋" w:cs="仿宋"/>
          <w:color w:val="auto"/>
          <w:kern w:val="2"/>
          <w:sz w:val="32"/>
          <w:szCs w:val="32"/>
          <w:highlight w:val="none"/>
          <w:lang w:val="en-US" w:eastAsia="zh-CN" w:bidi="ar-SA"/>
        </w:rPr>
        <w:t>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hint="eastAsia" w:ascii="仿宋" w:hAnsi="仿宋" w:eastAsia="仿宋" w:cs="仿宋"/>
          <w:b w:val="0"/>
          <w:bCs w:val="0"/>
          <w:sz w:val="32"/>
          <w:szCs w:val="32"/>
          <w:shd w:val="clear" w:fill="FFFFFF"/>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pStyle w:val="4"/>
        <w:widowControl/>
        <w:numPr>
          <w:ilvl w:val="0"/>
          <w:numId w:val="0"/>
        </w:numPr>
        <w:ind w:firstLine="640" w:firstLineChars="200"/>
        <w:rPr>
          <w:rFonts w:hint="eastAsia" w:ascii="仿宋" w:hAnsi="仿宋" w:eastAsia="仿宋" w:cs="仿宋"/>
          <w:b w:val="0"/>
          <w:bCs w:val="0"/>
          <w:sz w:val="32"/>
          <w:szCs w:val="32"/>
          <w:shd w:val="clear" w:fill="FFFFFF"/>
        </w:rPr>
      </w:pPr>
    </w:p>
    <w:p>
      <w:pPr>
        <w:pStyle w:val="4"/>
        <w:widowControl/>
        <w:numPr>
          <w:ilvl w:val="0"/>
          <w:numId w:val="0"/>
        </w:numPr>
        <w:ind w:firstLine="640" w:firstLineChars="200"/>
        <w:rPr>
          <w:rFonts w:hint="eastAsia" w:ascii="仿宋" w:hAnsi="仿宋" w:eastAsia="仿宋" w:cs="仿宋"/>
          <w:b w:val="0"/>
          <w:bCs w:val="0"/>
          <w:sz w:val="32"/>
          <w:szCs w:val="32"/>
          <w:shd w:val="clear" w:fill="FFFFFF"/>
        </w:rPr>
      </w:pPr>
    </w:p>
    <w:p>
      <w:pPr>
        <w:pStyle w:val="4"/>
        <w:widowControl/>
        <w:numPr>
          <w:ilvl w:val="0"/>
          <w:numId w:val="0"/>
        </w:numPr>
        <w:ind w:firstLine="640" w:firstLineChars="200"/>
        <w:rPr>
          <w:rFonts w:hint="eastAsia" w:ascii="仿宋" w:hAnsi="仿宋" w:eastAsia="仿宋" w:cs="仿宋"/>
          <w:b w:val="0"/>
          <w:bCs w:val="0"/>
          <w:sz w:val="32"/>
          <w:szCs w:val="32"/>
          <w:shd w:val="clear" w:fill="FFFFFF"/>
        </w:rPr>
      </w:pPr>
    </w:p>
    <w:p>
      <w:pPr>
        <w:pStyle w:val="4"/>
        <w:widowControl/>
        <w:numPr>
          <w:ilvl w:val="0"/>
          <w:numId w:val="0"/>
        </w:numPr>
        <w:ind w:firstLine="640" w:firstLineChars="200"/>
        <w:rPr>
          <w:rFonts w:hint="eastAsia" w:ascii="仿宋" w:hAnsi="仿宋" w:eastAsia="仿宋" w:cs="仿宋"/>
          <w:b w:val="0"/>
          <w:bCs w:val="0"/>
          <w:sz w:val="32"/>
          <w:szCs w:val="32"/>
          <w:shd w:val="clear" w:fill="FFFFFF"/>
        </w:rPr>
      </w:pPr>
    </w:p>
    <w:p>
      <w:pPr>
        <w:pStyle w:val="4"/>
        <w:widowControl/>
        <w:numPr>
          <w:ilvl w:val="0"/>
          <w:numId w:val="0"/>
        </w:numPr>
        <w:rPr>
          <w:rFonts w:hint="eastAsia" w:ascii="仿宋" w:hAnsi="仿宋" w:eastAsia="仿宋" w:cs="仿宋"/>
          <w:b w:val="0"/>
          <w:bCs w:val="0"/>
          <w:sz w:val="32"/>
          <w:szCs w:val="32"/>
          <w:shd w:val="clear" w:fill="FFFFFF"/>
        </w:rPr>
      </w:pPr>
      <w:bookmarkStart w:id="0" w:name="_GoBack"/>
      <w:bookmarkEnd w:id="0"/>
    </w:p>
    <w:p>
      <w:pPr>
        <w:jc w:val="center"/>
        <w:outlineLvl w:val="0"/>
        <w:rPr>
          <w:rFonts w:hint="eastAsia" w:ascii="黑体" w:hAnsi="黑体" w:eastAsia="黑体" w:cs="黑体"/>
          <w:sz w:val="44"/>
          <w:szCs w:val="44"/>
          <w:lang w:eastAsia="zh-CN"/>
        </w:rPr>
      </w:pPr>
      <w:r>
        <w:rPr>
          <w:rFonts w:hint="eastAsia" w:ascii="黑体" w:hAnsi="黑体" w:eastAsia="黑体" w:cs="黑体"/>
          <w:sz w:val="44"/>
          <w:szCs w:val="44"/>
          <w:lang w:eastAsia="zh-CN"/>
        </w:rPr>
        <w:t>第四部分</w:t>
      </w:r>
    </w:p>
    <w:p>
      <w:pPr>
        <w:jc w:val="center"/>
        <w:rPr>
          <w:rFonts w:hint="eastAsia" w:ascii="黑体" w:hAnsi="黑体" w:eastAsia="黑体" w:cs="黑体"/>
          <w:sz w:val="44"/>
          <w:szCs w:val="44"/>
        </w:rPr>
      </w:pPr>
      <w:r>
        <w:rPr>
          <w:rFonts w:hint="eastAsia" w:ascii="黑体" w:hAnsi="黑体" w:eastAsia="黑体" w:cs="黑体"/>
          <w:sz w:val="44"/>
          <w:szCs w:val="44"/>
          <w:lang w:eastAsia="zh-CN"/>
        </w:rPr>
        <w:t>信阳市上天梯非金属矿管理区</w:t>
      </w:r>
      <w:r>
        <w:rPr>
          <w:rFonts w:hint="eastAsia" w:ascii="黑体" w:hAnsi="黑体" w:eastAsia="黑体" w:cs="黑体"/>
          <w:sz w:val="44"/>
          <w:szCs w:val="44"/>
        </w:rPr>
        <w:t>2020年度</w:t>
      </w:r>
    </w:p>
    <w:p>
      <w:pPr>
        <w:jc w:val="center"/>
        <w:rPr>
          <w:rFonts w:ascii="黑体" w:hAnsi="黑体" w:eastAsia="黑体" w:cs="黑体"/>
          <w:sz w:val="48"/>
          <w:szCs w:val="48"/>
        </w:rPr>
      </w:pPr>
      <w:r>
        <w:rPr>
          <w:rFonts w:hint="eastAsia" w:ascii="黑体" w:hAnsi="黑体" w:eastAsia="黑体" w:cs="黑体"/>
          <w:sz w:val="44"/>
          <w:szCs w:val="44"/>
        </w:rPr>
        <w:t>部门决算公开表</w:t>
      </w: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38AE6"/>
    <w:multiLevelType w:val="singleLevel"/>
    <w:tmpl w:val="C4C38AE6"/>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C49"/>
    <w:rsid w:val="0005518E"/>
    <w:rsid w:val="000D3621"/>
    <w:rsid w:val="001C7E92"/>
    <w:rsid w:val="00380C49"/>
    <w:rsid w:val="00463B25"/>
    <w:rsid w:val="004C77BC"/>
    <w:rsid w:val="00582974"/>
    <w:rsid w:val="006C602E"/>
    <w:rsid w:val="007169BE"/>
    <w:rsid w:val="008F0429"/>
    <w:rsid w:val="009008AB"/>
    <w:rsid w:val="00B07176"/>
    <w:rsid w:val="00B30B3E"/>
    <w:rsid w:val="00C53051"/>
    <w:rsid w:val="00C55389"/>
    <w:rsid w:val="00C73F3D"/>
    <w:rsid w:val="00CA1E5C"/>
    <w:rsid w:val="00CB1114"/>
    <w:rsid w:val="00CE118F"/>
    <w:rsid w:val="00D14FCA"/>
    <w:rsid w:val="00D45C75"/>
    <w:rsid w:val="00D60397"/>
    <w:rsid w:val="00E91CCC"/>
    <w:rsid w:val="00FD03C9"/>
    <w:rsid w:val="01236520"/>
    <w:rsid w:val="01FC3253"/>
    <w:rsid w:val="024A5E85"/>
    <w:rsid w:val="02611705"/>
    <w:rsid w:val="02682869"/>
    <w:rsid w:val="03273553"/>
    <w:rsid w:val="039A3248"/>
    <w:rsid w:val="064B0E43"/>
    <w:rsid w:val="06EF6DC5"/>
    <w:rsid w:val="08512784"/>
    <w:rsid w:val="09812D24"/>
    <w:rsid w:val="09C461FE"/>
    <w:rsid w:val="0AB6611C"/>
    <w:rsid w:val="0B401FF9"/>
    <w:rsid w:val="0B9C3825"/>
    <w:rsid w:val="0C161E2C"/>
    <w:rsid w:val="0CF125F7"/>
    <w:rsid w:val="0D3C3A67"/>
    <w:rsid w:val="0E3C5D6D"/>
    <w:rsid w:val="0E57343F"/>
    <w:rsid w:val="0ED32B0A"/>
    <w:rsid w:val="0F66352B"/>
    <w:rsid w:val="11D11886"/>
    <w:rsid w:val="120C5B8B"/>
    <w:rsid w:val="12882BFD"/>
    <w:rsid w:val="129A2999"/>
    <w:rsid w:val="12D76763"/>
    <w:rsid w:val="140C10BF"/>
    <w:rsid w:val="145904B7"/>
    <w:rsid w:val="1495742B"/>
    <w:rsid w:val="152806DE"/>
    <w:rsid w:val="154F0D44"/>
    <w:rsid w:val="15A84476"/>
    <w:rsid w:val="160304BA"/>
    <w:rsid w:val="16092695"/>
    <w:rsid w:val="16415D23"/>
    <w:rsid w:val="16757DEE"/>
    <w:rsid w:val="18407311"/>
    <w:rsid w:val="185B569D"/>
    <w:rsid w:val="19B6037D"/>
    <w:rsid w:val="1A7619E2"/>
    <w:rsid w:val="1AC33969"/>
    <w:rsid w:val="1B351589"/>
    <w:rsid w:val="1BCE38D9"/>
    <w:rsid w:val="1C163F98"/>
    <w:rsid w:val="1C446CBF"/>
    <w:rsid w:val="1C7D4892"/>
    <w:rsid w:val="1E6A365A"/>
    <w:rsid w:val="1F860FB5"/>
    <w:rsid w:val="20322C88"/>
    <w:rsid w:val="20827857"/>
    <w:rsid w:val="20D12947"/>
    <w:rsid w:val="22094C4B"/>
    <w:rsid w:val="22C056E5"/>
    <w:rsid w:val="27F5748A"/>
    <w:rsid w:val="280F6AA1"/>
    <w:rsid w:val="28F213DF"/>
    <w:rsid w:val="29D10653"/>
    <w:rsid w:val="2A16102C"/>
    <w:rsid w:val="2A5F76DA"/>
    <w:rsid w:val="2B7F4660"/>
    <w:rsid w:val="2BE601A9"/>
    <w:rsid w:val="2C145DB1"/>
    <w:rsid w:val="2C424998"/>
    <w:rsid w:val="2E64145F"/>
    <w:rsid w:val="2F2B34F8"/>
    <w:rsid w:val="309020B7"/>
    <w:rsid w:val="313C6950"/>
    <w:rsid w:val="323A3DF0"/>
    <w:rsid w:val="32942382"/>
    <w:rsid w:val="32987A8A"/>
    <w:rsid w:val="32D11CA5"/>
    <w:rsid w:val="34BC18A2"/>
    <w:rsid w:val="352E1D52"/>
    <w:rsid w:val="358B30C1"/>
    <w:rsid w:val="37903F33"/>
    <w:rsid w:val="39EB0F37"/>
    <w:rsid w:val="3A5B1283"/>
    <w:rsid w:val="3BC55B6F"/>
    <w:rsid w:val="3D0F3918"/>
    <w:rsid w:val="3D2F7778"/>
    <w:rsid w:val="3DB971A1"/>
    <w:rsid w:val="3DCF328A"/>
    <w:rsid w:val="3DE93DE8"/>
    <w:rsid w:val="3F477A0E"/>
    <w:rsid w:val="40AD306B"/>
    <w:rsid w:val="40B42C34"/>
    <w:rsid w:val="40F9282C"/>
    <w:rsid w:val="410E090C"/>
    <w:rsid w:val="411064D8"/>
    <w:rsid w:val="411A4820"/>
    <w:rsid w:val="41A85F46"/>
    <w:rsid w:val="42812746"/>
    <w:rsid w:val="428E051A"/>
    <w:rsid w:val="43232565"/>
    <w:rsid w:val="43462D11"/>
    <w:rsid w:val="44104D03"/>
    <w:rsid w:val="44A25A6D"/>
    <w:rsid w:val="453D5D12"/>
    <w:rsid w:val="45921443"/>
    <w:rsid w:val="466C5F7C"/>
    <w:rsid w:val="46B92351"/>
    <w:rsid w:val="46C964EB"/>
    <w:rsid w:val="47971BFD"/>
    <w:rsid w:val="48055ED5"/>
    <w:rsid w:val="48A12368"/>
    <w:rsid w:val="498E3AF7"/>
    <w:rsid w:val="4A531F03"/>
    <w:rsid w:val="4A8E31C2"/>
    <w:rsid w:val="4B053007"/>
    <w:rsid w:val="4D330E78"/>
    <w:rsid w:val="4EC81FF2"/>
    <w:rsid w:val="4EEA022D"/>
    <w:rsid w:val="50415CCC"/>
    <w:rsid w:val="505C2225"/>
    <w:rsid w:val="51844BBE"/>
    <w:rsid w:val="52604FA6"/>
    <w:rsid w:val="52CA7EB1"/>
    <w:rsid w:val="53D312DE"/>
    <w:rsid w:val="54734E9E"/>
    <w:rsid w:val="55846ECE"/>
    <w:rsid w:val="55CE4E6A"/>
    <w:rsid w:val="56197779"/>
    <w:rsid w:val="56F16A7B"/>
    <w:rsid w:val="58CE38FE"/>
    <w:rsid w:val="58FE5DAA"/>
    <w:rsid w:val="59B02686"/>
    <w:rsid w:val="5B1C65FE"/>
    <w:rsid w:val="5B2E7E2E"/>
    <w:rsid w:val="5B9C0473"/>
    <w:rsid w:val="5C4A3214"/>
    <w:rsid w:val="5CD8433F"/>
    <w:rsid w:val="5D1A299C"/>
    <w:rsid w:val="5D775087"/>
    <w:rsid w:val="5E2B2E56"/>
    <w:rsid w:val="606C5DAE"/>
    <w:rsid w:val="607935F7"/>
    <w:rsid w:val="60ED560E"/>
    <w:rsid w:val="61332ECE"/>
    <w:rsid w:val="62FA796A"/>
    <w:rsid w:val="63851ED3"/>
    <w:rsid w:val="657E1833"/>
    <w:rsid w:val="66712622"/>
    <w:rsid w:val="670E5A9A"/>
    <w:rsid w:val="68200D77"/>
    <w:rsid w:val="68AB243E"/>
    <w:rsid w:val="68B04676"/>
    <w:rsid w:val="68EB35CD"/>
    <w:rsid w:val="69465D5A"/>
    <w:rsid w:val="69C123C1"/>
    <w:rsid w:val="69F74D3E"/>
    <w:rsid w:val="6A443ED3"/>
    <w:rsid w:val="6B8B51DE"/>
    <w:rsid w:val="6BA33955"/>
    <w:rsid w:val="6BFB3A87"/>
    <w:rsid w:val="6C744716"/>
    <w:rsid w:val="6DEC4352"/>
    <w:rsid w:val="6E390505"/>
    <w:rsid w:val="6E644847"/>
    <w:rsid w:val="6F3A6363"/>
    <w:rsid w:val="70484089"/>
    <w:rsid w:val="70D97495"/>
    <w:rsid w:val="72990695"/>
    <w:rsid w:val="731C6561"/>
    <w:rsid w:val="735F76DD"/>
    <w:rsid w:val="73BB6C6F"/>
    <w:rsid w:val="74803833"/>
    <w:rsid w:val="74994456"/>
    <w:rsid w:val="77B50DCB"/>
    <w:rsid w:val="78856BAA"/>
    <w:rsid w:val="794964CC"/>
    <w:rsid w:val="799A0320"/>
    <w:rsid w:val="7A866B4F"/>
    <w:rsid w:val="7B3D04E8"/>
    <w:rsid w:val="7B8372F0"/>
    <w:rsid w:val="7C915D05"/>
    <w:rsid w:val="7CFE78D5"/>
    <w:rsid w:val="7D2C1D6E"/>
    <w:rsid w:val="7D320D89"/>
    <w:rsid w:val="7DE03E1A"/>
    <w:rsid w:val="7ECC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0"/>
    <w:rPr>
      <w:b/>
    </w:rPr>
  </w:style>
  <w:style w:type="character" w:customStyle="1" w:styleId="8">
    <w:name w:val="页眉 Char"/>
    <w:basedOn w:val="6"/>
    <w:link w:val="3"/>
    <w:semiHidden/>
    <w:qFormat/>
    <w:uiPriority w:val="99"/>
    <w:rPr>
      <w:rFonts w:ascii="宋体" w:hAnsi="宋体" w:eastAsia="宋体" w:cs="宋体"/>
      <w:kern w:val="0"/>
      <w:sz w:val="18"/>
      <w:szCs w:val="18"/>
    </w:rPr>
  </w:style>
  <w:style w:type="character" w:customStyle="1" w:styleId="9">
    <w:name w:val="页脚 Char"/>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666</Words>
  <Characters>3797</Characters>
  <Lines>31</Lines>
  <Paragraphs>8</Paragraphs>
  <TotalTime>13</TotalTime>
  <ScaleCrop>false</ScaleCrop>
  <LinksUpToDate>false</LinksUpToDate>
  <CharactersWithSpaces>4455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Administrator</cp:lastModifiedBy>
  <cp:lastPrinted>2021-09-08T01:32:00Z</cp:lastPrinted>
  <dcterms:modified xsi:type="dcterms:W3CDTF">2021-09-15T01:02:05Z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A017876EDE9B427ABCC927955615D31F</vt:lpwstr>
  </property>
</Properties>
</file>