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C0" w:rsidRPr="00462C87" w:rsidRDefault="005632C0" w:rsidP="003F7518">
      <w:pPr>
        <w:spacing w:line="600" w:lineRule="exact"/>
        <w:rPr>
          <w:rFonts w:ascii="黑体" w:eastAsia="黑体" w:hAnsi="仿宋"/>
          <w:sz w:val="32"/>
          <w:szCs w:val="32"/>
        </w:rPr>
      </w:pPr>
      <w:r w:rsidRPr="00462C87">
        <w:rPr>
          <w:rFonts w:ascii="黑体" w:eastAsia="黑体" w:hAnsi="仿宋" w:hint="eastAsia"/>
          <w:sz w:val="32"/>
          <w:szCs w:val="32"/>
        </w:rPr>
        <w:t>附件</w:t>
      </w:r>
      <w:r>
        <w:rPr>
          <w:rFonts w:ascii="黑体" w:eastAsia="黑体" w:hAnsi="仿宋"/>
          <w:sz w:val="32"/>
          <w:szCs w:val="32"/>
        </w:rPr>
        <w:t>1</w:t>
      </w:r>
    </w:p>
    <w:p w:rsidR="005632C0" w:rsidRPr="00462C87" w:rsidRDefault="005632C0" w:rsidP="00462C87">
      <w:pPr>
        <w:spacing w:line="600" w:lineRule="exact"/>
        <w:rPr>
          <w:rFonts w:ascii="黑体" w:eastAsia="黑体" w:hAnsi="仿宋"/>
          <w:sz w:val="32"/>
          <w:szCs w:val="32"/>
        </w:rPr>
      </w:pPr>
    </w:p>
    <w:p w:rsidR="005632C0" w:rsidRDefault="005632C0" w:rsidP="003F7518">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信</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阳</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市</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水</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利</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局</w:t>
      </w:r>
    </w:p>
    <w:p w:rsidR="005632C0" w:rsidRDefault="005632C0" w:rsidP="003F7518">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关于进一步优化水利行业招标投标领域</w:t>
      </w:r>
    </w:p>
    <w:p w:rsidR="005632C0" w:rsidRDefault="005632C0" w:rsidP="003F7518">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营商环境的通知</w:t>
      </w:r>
    </w:p>
    <w:p w:rsidR="005632C0" w:rsidRDefault="005632C0" w:rsidP="003F7518">
      <w:pPr>
        <w:spacing w:line="600" w:lineRule="exact"/>
        <w:jc w:val="center"/>
        <w:rPr>
          <w:rFonts w:ascii="楷体_GB2312" w:eastAsia="楷体_GB2312" w:hAnsi="仿宋" w:cs="仿宋_GB2312"/>
          <w:sz w:val="32"/>
          <w:szCs w:val="32"/>
        </w:rPr>
      </w:pPr>
      <w:r>
        <w:rPr>
          <w:rFonts w:ascii="楷体_GB2312" w:eastAsia="楷体_GB2312" w:hAnsi="仿宋" w:cs="方正小标宋_GBK" w:hint="eastAsia"/>
          <w:sz w:val="32"/>
          <w:szCs w:val="32"/>
        </w:rPr>
        <w:t>（征求意见稿）</w:t>
      </w:r>
    </w:p>
    <w:p w:rsidR="005632C0" w:rsidRDefault="005632C0" w:rsidP="000B4516">
      <w:pPr>
        <w:spacing w:line="600" w:lineRule="exact"/>
        <w:ind w:firstLineChars="200" w:firstLine="31680"/>
        <w:rPr>
          <w:rFonts w:ascii="方正小标宋简体" w:eastAsia="方正小标宋简体" w:hAnsi="仿宋" w:cs="仿宋"/>
          <w:sz w:val="44"/>
          <w:szCs w:val="44"/>
        </w:rPr>
      </w:pPr>
    </w:p>
    <w:p w:rsidR="005632C0" w:rsidRDefault="005632C0" w:rsidP="003F7518">
      <w:pPr>
        <w:spacing w:line="600" w:lineRule="exact"/>
        <w:rPr>
          <w:rFonts w:ascii="仿宋" w:eastAsia="仿宋" w:hAnsi="仿宋" w:cs="仿宋_GB2312"/>
          <w:sz w:val="32"/>
          <w:szCs w:val="32"/>
        </w:rPr>
      </w:pPr>
      <w:r>
        <w:rPr>
          <w:rFonts w:ascii="仿宋" w:eastAsia="仿宋" w:hAnsi="仿宋" w:cs="仿宋" w:hint="eastAsia"/>
          <w:sz w:val="32"/>
          <w:szCs w:val="32"/>
        </w:rPr>
        <w:t>各县区水利局、市管各管理区水利主管部门，南湾水库管理局，局属有关单位，局机关有关科室：</w:t>
      </w:r>
    </w:p>
    <w:p w:rsidR="005632C0" w:rsidRDefault="005632C0" w:rsidP="000B4516">
      <w:pPr>
        <w:spacing w:line="6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为进一步优化水利行业招投标领域营商环境工作，大力营造公开、公平、公正和诚实信用的市场环境，不断提升市场主体的获得感和满意度，依据《优化营商环境条例》、《关于建立健全招标投标领域优化营商环境长效机制的通知》和国家、省、市有关规定，现就有关工作通知如下：</w:t>
      </w:r>
    </w:p>
    <w:p w:rsidR="005632C0" w:rsidRDefault="005632C0" w:rsidP="000B4516">
      <w:pPr>
        <w:spacing w:line="600" w:lineRule="exact"/>
        <w:ind w:firstLineChars="200" w:firstLine="31680"/>
        <w:rPr>
          <w:rFonts w:ascii="黑体" w:eastAsia="黑体" w:hAnsi="仿宋" w:cs="仿宋_GB2312"/>
          <w:sz w:val="32"/>
          <w:szCs w:val="32"/>
        </w:rPr>
      </w:pPr>
      <w:r>
        <w:rPr>
          <w:rFonts w:ascii="黑体" w:eastAsia="黑体" w:hAnsi="仿宋" w:cs="仿宋_GB2312" w:hint="eastAsia"/>
          <w:sz w:val="32"/>
          <w:szCs w:val="32"/>
        </w:rPr>
        <w:t>一、优化招标程序</w:t>
      </w:r>
    </w:p>
    <w:p w:rsidR="005632C0" w:rsidRDefault="005632C0" w:rsidP="000B4516">
      <w:pPr>
        <w:spacing w:line="600" w:lineRule="exact"/>
        <w:ind w:firstLineChars="200" w:firstLine="31680"/>
        <w:rPr>
          <w:rFonts w:ascii="仿宋" w:eastAsia="仿宋" w:hAnsi="仿宋" w:cs="仿宋_GB2312"/>
          <w:sz w:val="32"/>
          <w:szCs w:val="32"/>
        </w:rPr>
      </w:pPr>
      <w:r>
        <w:rPr>
          <w:rFonts w:ascii="楷体_GB2312" w:eastAsia="楷体_GB2312" w:hAnsi="仿宋" w:cs="仿宋_GB2312" w:hint="eastAsia"/>
          <w:b/>
          <w:sz w:val="32"/>
          <w:szCs w:val="32"/>
        </w:rPr>
        <w:t>（一）取消招标文件事前备案。</w:t>
      </w:r>
      <w:r>
        <w:rPr>
          <w:rFonts w:ascii="仿宋" w:eastAsia="仿宋" w:hAnsi="仿宋" w:cs="仿宋_GB2312" w:hint="eastAsia"/>
          <w:sz w:val="32"/>
          <w:szCs w:val="32"/>
        </w:rPr>
        <w:t>取消水利工程施工招标项目招标文件事前备案，各级水行政主管部门要进一步转变监管理念、创新监管方式，加强事中事后监管，依法推进招标投标监管工作。对招标文件有异议的，投标人应当在法定时间截止日前提出异议，招标人应及时作出处理和答复。各级水行政主管部门在事中事后监管中发现违法违规行为应及时发出整改通知，对违法违规的失信行为进行惩戒。</w:t>
      </w:r>
    </w:p>
    <w:p w:rsidR="005632C0" w:rsidRDefault="005632C0" w:rsidP="000B4516">
      <w:pPr>
        <w:spacing w:line="600" w:lineRule="exact"/>
        <w:ind w:firstLineChars="200" w:firstLine="31680"/>
        <w:rPr>
          <w:rFonts w:ascii="黑体" w:eastAsia="黑体" w:hAnsi="仿宋" w:cs="仿宋_GB2312"/>
          <w:sz w:val="32"/>
          <w:szCs w:val="32"/>
        </w:rPr>
      </w:pPr>
      <w:r>
        <w:rPr>
          <w:rFonts w:ascii="黑体" w:eastAsia="黑体" w:hAnsi="仿宋" w:cs="仿宋_GB2312" w:hint="eastAsia"/>
          <w:sz w:val="32"/>
          <w:szCs w:val="32"/>
        </w:rPr>
        <w:t>二、加强招标代理监管</w:t>
      </w:r>
    </w:p>
    <w:p w:rsidR="005632C0" w:rsidRDefault="005632C0" w:rsidP="000B4516">
      <w:pPr>
        <w:spacing w:line="600" w:lineRule="exact"/>
        <w:ind w:leftChars="-5" w:left="31680" w:firstLineChars="200" w:firstLine="31680"/>
        <w:rPr>
          <w:rFonts w:ascii="仿宋" w:eastAsia="仿宋" w:hAnsi="仿宋" w:cs="仿宋_GB2312"/>
          <w:sz w:val="32"/>
          <w:szCs w:val="32"/>
        </w:rPr>
      </w:pPr>
      <w:r>
        <w:rPr>
          <w:rFonts w:ascii="楷体_GB2312" w:eastAsia="楷体_GB2312" w:hAnsi="仿宋" w:cs="仿宋_GB2312" w:hint="eastAsia"/>
          <w:b/>
          <w:sz w:val="32"/>
          <w:szCs w:val="32"/>
        </w:rPr>
        <w:t>（二）保障招标代理选定自主权。</w:t>
      </w:r>
      <w:r>
        <w:rPr>
          <w:rFonts w:ascii="仿宋" w:eastAsia="仿宋" w:hAnsi="仿宋" w:cs="仿宋_GB2312" w:hint="eastAsia"/>
          <w:sz w:val="32"/>
          <w:szCs w:val="32"/>
        </w:rPr>
        <w:t>切实保障招标人在选择招标代理机构方面依法享有的自主权。任何单位和个人不得以任何方式为招标人指定招标代理机构，不得违法限定招标人选择招标代理机构的方式，不得强制具有自行招标能力的招标人委托招标代理机构办理招标事宜。各级水行政主管部门应加强对代理机构招标投标事中事后监管，招标人选择的代理机构应在水利建设市场监管平台进行信用信息公开。</w:t>
      </w:r>
    </w:p>
    <w:p w:rsidR="005632C0" w:rsidRDefault="005632C0" w:rsidP="000B4516">
      <w:pPr>
        <w:pStyle w:val="NormalWeb"/>
        <w:spacing w:beforeAutospacing="0" w:afterAutospacing="0" w:line="600" w:lineRule="exact"/>
        <w:ind w:leftChars="-5" w:left="31680" w:firstLineChars="200" w:firstLine="31680"/>
        <w:jc w:val="both"/>
        <w:rPr>
          <w:rFonts w:ascii="仿宋" w:eastAsia="仿宋" w:hAnsi="仿宋" w:cs="仿宋_GB2312"/>
          <w:kern w:val="2"/>
          <w:sz w:val="32"/>
          <w:szCs w:val="32"/>
        </w:rPr>
      </w:pPr>
      <w:r>
        <w:rPr>
          <w:rFonts w:ascii="楷体_GB2312" w:eastAsia="楷体_GB2312" w:hAnsi="仿宋" w:cs="仿宋_GB2312" w:hint="eastAsia"/>
          <w:b/>
          <w:kern w:val="2"/>
          <w:sz w:val="32"/>
          <w:szCs w:val="32"/>
        </w:rPr>
        <w:t>（三）加强招标代理机构及从业人员管理。</w:t>
      </w:r>
      <w:r>
        <w:rPr>
          <w:rFonts w:ascii="仿宋" w:eastAsia="仿宋" w:hAnsi="仿宋" w:cs="仿宋_GB2312" w:hint="eastAsia"/>
          <w:kern w:val="2"/>
          <w:sz w:val="32"/>
          <w:szCs w:val="32"/>
        </w:rPr>
        <w:t>各级水行政主管部门应当加强对招标人所选定的招标代理机构及从业人员的动态监管，将招标代理行为作为“双随机、一公开”监管的重点内容，纳入抽查检查范围，对参与围标串标等扰乱市场秩序的行为严格依法实施行政处罚，并按照《河南省水利建设市场主体信用信息应用管理办法》《信阳市公共资源交易招标代理机构记分评价动态管理办法（试行）》等规定纳入信用记录。</w:t>
      </w:r>
      <w:r>
        <w:rPr>
          <w:rFonts w:ascii="仿宋" w:eastAsia="仿宋" w:hAnsi="仿宋" w:cs="仿宋" w:hint="eastAsia"/>
          <w:sz w:val="32"/>
          <w:szCs w:val="32"/>
        </w:rPr>
        <w:t>加强对从业人员教育培训，</w:t>
      </w:r>
      <w:r>
        <w:rPr>
          <w:rFonts w:ascii="仿宋" w:eastAsia="仿宋" w:hAnsi="仿宋" w:cs="仿宋_GB2312" w:hint="eastAsia"/>
          <w:sz w:val="32"/>
          <w:szCs w:val="32"/>
        </w:rPr>
        <w:t>积极组织</w:t>
      </w:r>
      <w:r>
        <w:rPr>
          <w:rFonts w:ascii="仿宋" w:eastAsia="仿宋" w:hAnsi="仿宋" w:cs="仿宋" w:hint="eastAsia"/>
          <w:sz w:val="32"/>
          <w:szCs w:val="32"/>
        </w:rPr>
        <w:t>各有关招标代理机构</w:t>
      </w:r>
      <w:r>
        <w:rPr>
          <w:rFonts w:ascii="仿宋" w:eastAsia="仿宋" w:hAnsi="仿宋" w:cs="仿宋_GB2312" w:hint="eastAsia"/>
          <w:sz w:val="32"/>
          <w:szCs w:val="32"/>
        </w:rPr>
        <w:t>参加交易平台运行服务机构组织的各项业务培训；</w:t>
      </w:r>
      <w:r>
        <w:rPr>
          <w:rFonts w:ascii="仿宋" w:eastAsia="仿宋" w:hAnsi="仿宋" w:cs="仿宋_GB2312" w:hint="eastAsia"/>
          <w:kern w:val="2"/>
          <w:sz w:val="32"/>
          <w:szCs w:val="32"/>
        </w:rPr>
        <w:t>加强招标代理行业自律建设，开展招标代理机构信用评价和从业人员专业技术能力评价，为招标人选择招标代理机构提供参考，推动提升招标代理服务能力。</w:t>
      </w:r>
    </w:p>
    <w:p w:rsidR="005632C0" w:rsidRDefault="005632C0" w:rsidP="000B4516">
      <w:pPr>
        <w:pStyle w:val="NormalWeb"/>
        <w:spacing w:beforeAutospacing="0" w:afterAutospacing="0" w:line="600" w:lineRule="exact"/>
        <w:ind w:leftChars="-5" w:left="31680" w:firstLineChars="200" w:firstLine="31680"/>
        <w:jc w:val="both"/>
        <w:rPr>
          <w:rFonts w:ascii="楷体_GB2312" w:eastAsia="楷体_GB2312" w:hAnsi="仿宋"/>
          <w:b/>
          <w:sz w:val="32"/>
          <w:szCs w:val="32"/>
        </w:rPr>
      </w:pPr>
      <w:r>
        <w:rPr>
          <w:rFonts w:ascii="黑体" w:eastAsia="黑体" w:hAnsi="仿宋" w:cs="仿宋_GB2312" w:hint="eastAsia"/>
          <w:sz w:val="32"/>
          <w:szCs w:val="32"/>
        </w:rPr>
        <w:t>三、强化开评标活动监管</w:t>
      </w:r>
    </w:p>
    <w:p w:rsidR="005632C0" w:rsidRDefault="005632C0" w:rsidP="000B4516">
      <w:pPr>
        <w:spacing w:line="600" w:lineRule="exact"/>
        <w:ind w:firstLineChars="200" w:firstLine="31680"/>
        <w:rPr>
          <w:rFonts w:ascii="仿宋" w:eastAsia="仿宋" w:hAnsi="仿宋" w:cs="仿宋_GB2312"/>
          <w:sz w:val="32"/>
          <w:szCs w:val="32"/>
        </w:rPr>
      </w:pPr>
      <w:r>
        <w:rPr>
          <w:rFonts w:ascii="楷体_GB2312" w:eastAsia="楷体_GB2312" w:hAnsi="仿宋" w:hint="eastAsia"/>
          <w:b/>
          <w:sz w:val="32"/>
          <w:szCs w:val="32"/>
        </w:rPr>
        <w:t>（四）严肃评标纪律。</w:t>
      </w:r>
      <w:r>
        <w:rPr>
          <w:rFonts w:ascii="仿宋" w:eastAsia="仿宋" w:hAnsi="仿宋" w:hint="eastAsia"/>
          <w:sz w:val="32"/>
          <w:szCs w:val="32"/>
        </w:rPr>
        <w:t>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w:t>
      </w:r>
      <w:r>
        <w:rPr>
          <w:rFonts w:ascii="仿宋" w:eastAsia="仿宋" w:hAnsi="仿宋"/>
          <w:sz w:val="32"/>
          <w:szCs w:val="32"/>
        </w:rPr>
        <w:t>QQ</w:t>
      </w:r>
      <w:r>
        <w:rPr>
          <w:rFonts w:ascii="仿宋" w:eastAsia="仿宋" w:hAnsi="仿宋" w:hint="eastAsia"/>
          <w:sz w:val="32"/>
          <w:szCs w:val="32"/>
        </w:rPr>
        <w:t>群等网络通讯群组。</w:t>
      </w:r>
    </w:p>
    <w:p w:rsidR="005632C0" w:rsidRDefault="005632C0" w:rsidP="000B4516">
      <w:pPr>
        <w:spacing w:line="600" w:lineRule="exact"/>
        <w:ind w:firstLineChars="200" w:firstLine="31680"/>
        <w:rPr>
          <w:rFonts w:ascii="仿宋" w:eastAsia="仿宋" w:hAnsi="仿宋" w:cs="仿宋_GB2312"/>
          <w:sz w:val="32"/>
          <w:szCs w:val="32"/>
        </w:rPr>
      </w:pPr>
      <w:r>
        <w:rPr>
          <w:rFonts w:ascii="楷体_GB2312" w:eastAsia="楷体_GB2312" w:hAnsi="仿宋" w:hint="eastAsia"/>
          <w:b/>
          <w:sz w:val="32"/>
          <w:szCs w:val="32"/>
        </w:rPr>
        <w:t>（五）严格评标专家履职行为监管。</w:t>
      </w:r>
      <w:r>
        <w:rPr>
          <w:rFonts w:ascii="仿宋" w:eastAsia="仿宋" w:hAnsi="仿宋" w:hint="eastAsia"/>
          <w:sz w:val="32"/>
          <w:szCs w:val="32"/>
        </w:rPr>
        <w:t>各级水行政主管部门通过对评标现场监督、事中事后监督检查、受理举报投诉等方式强化对专家履职行为监督，对评标专家违法行为应当依法严肃查处，并通报评标专家库管理单位、评标专家所在单位和入库审查单位，不得简单以暂停或者取消评标专家资格代替行政处罚；暂停或者取消评标专家资格的决定应当公开，强化社会监督；涉嫌犯罪的，及时向有关机关移送。</w:t>
      </w:r>
    </w:p>
    <w:p w:rsidR="005632C0" w:rsidRDefault="005632C0" w:rsidP="000B4516">
      <w:pPr>
        <w:spacing w:line="600" w:lineRule="exact"/>
        <w:ind w:firstLineChars="200" w:firstLine="31680"/>
        <w:rPr>
          <w:rFonts w:ascii="黑体" w:eastAsia="黑体" w:hAnsi="仿宋" w:cs="仿宋_GB2312"/>
          <w:sz w:val="32"/>
          <w:szCs w:val="32"/>
        </w:rPr>
      </w:pPr>
      <w:r>
        <w:rPr>
          <w:rFonts w:ascii="黑体" w:eastAsia="黑体" w:hAnsi="仿宋" w:cs="仿宋_GB2312" w:hint="eastAsia"/>
          <w:sz w:val="32"/>
          <w:szCs w:val="32"/>
        </w:rPr>
        <w:t>四、降低企业经营成本</w:t>
      </w:r>
    </w:p>
    <w:p w:rsidR="005632C0" w:rsidRDefault="005632C0" w:rsidP="000B4516">
      <w:pPr>
        <w:pStyle w:val="NormalWeb"/>
        <w:spacing w:beforeAutospacing="0" w:afterAutospacing="0" w:line="600" w:lineRule="exact"/>
        <w:ind w:firstLineChars="200" w:firstLine="31680"/>
        <w:jc w:val="both"/>
        <w:rPr>
          <w:rFonts w:ascii="仿宋" w:eastAsia="仿宋" w:hAnsi="仿宋"/>
          <w:kern w:val="2"/>
          <w:sz w:val="32"/>
          <w:szCs w:val="32"/>
        </w:rPr>
      </w:pPr>
      <w:r>
        <w:rPr>
          <w:rFonts w:ascii="楷体_GB2312" w:eastAsia="楷体_GB2312" w:hAnsi="仿宋" w:hint="eastAsia"/>
          <w:b/>
          <w:kern w:val="2"/>
          <w:sz w:val="32"/>
          <w:szCs w:val="32"/>
        </w:rPr>
        <w:t>（六）推行中小微企业免缴投标保证金。</w:t>
      </w:r>
      <w:r>
        <w:rPr>
          <w:rFonts w:ascii="仿宋" w:eastAsia="仿宋" w:hAnsi="仿宋" w:hint="eastAsia"/>
          <w:kern w:val="2"/>
          <w:sz w:val="32"/>
          <w:szCs w:val="32"/>
        </w:rPr>
        <w:t>推行政府投资类工程项目实行以信用承诺函替代投标保证金，对在信用中国、全国公共资源交易平台和水利市场监管平台网站上均无信用联合惩戒和行政处罚记录的中小微企业可免于缴纳投标保证金，</w:t>
      </w:r>
      <w:r>
        <w:rPr>
          <w:rFonts w:ascii="仿宋" w:eastAsia="仿宋" w:hAnsi="仿宋" w:hint="eastAsia"/>
          <w:color w:val="000000"/>
          <w:kern w:val="2"/>
          <w:sz w:val="32"/>
          <w:szCs w:val="32"/>
        </w:rPr>
        <w:t>招标人应当在招标文件中明确将投标保证金承诺函与投标保证金、金融保函（证）作为同等效力的投标保证形式，</w:t>
      </w:r>
      <w:r>
        <w:rPr>
          <w:rFonts w:ascii="仿宋" w:eastAsia="仿宋" w:hAnsi="仿宋" w:hint="eastAsia"/>
          <w:kern w:val="2"/>
          <w:sz w:val="32"/>
          <w:szCs w:val="32"/>
        </w:rPr>
        <w:t>不得拒绝符合免缴条件的投标人以投标保证金承诺函作为投标担保。免予缴纳投标保证金的企业，中标后有无正当理由不与招标人订立合同，在签订合同时向招标人提出附加条件，或者不按照招标文件要求提交履约保证金等情况的，应当按照招投标有关法律法规，取消其中标资格，对招标人的损失承担赔偿责任，由招投标监管部门进行处理并纳入不良信用记录。</w:t>
      </w:r>
    </w:p>
    <w:p w:rsidR="005632C0" w:rsidRDefault="005632C0" w:rsidP="000B4516">
      <w:pPr>
        <w:spacing w:line="600" w:lineRule="exact"/>
        <w:ind w:firstLineChars="200" w:firstLine="31680"/>
        <w:rPr>
          <w:rFonts w:ascii="黑体" w:eastAsia="黑体" w:hAnsi="仿宋" w:cs="仿宋_GB2312"/>
          <w:sz w:val="32"/>
          <w:szCs w:val="32"/>
        </w:rPr>
      </w:pPr>
      <w:r>
        <w:rPr>
          <w:rFonts w:ascii="黑体" w:eastAsia="黑体" w:hAnsi="仿宋" w:cs="仿宋_GB2312" w:hint="eastAsia"/>
          <w:sz w:val="32"/>
          <w:szCs w:val="32"/>
        </w:rPr>
        <w:t>五、优化评标方式</w:t>
      </w:r>
    </w:p>
    <w:p w:rsidR="005632C0" w:rsidRDefault="005632C0" w:rsidP="003F7518">
      <w:pPr>
        <w:spacing w:line="600" w:lineRule="exact"/>
        <w:ind w:firstLine="669"/>
        <w:rPr>
          <w:rFonts w:ascii="仿宋" w:eastAsia="仿宋" w:hAnsi="仿宋"/>
          <w:sz w:val="32"/>
          <w:szCs w:val="32"/>
        </w:rPr>
      </w:pPr>
      <w:r>
        <w:rPr>
          <w:rFonts w:ascii="楷体_GB2312" w:eastAsia="楷体_GB2312" w:hAnsi="仿宋" w:hint="eastAsia"/>
          <w:b/>
          <w:sz w:val="32"/>
          <w:szCs w:val="32"/>
        </w:rPr>
        <w:t>（七）推行远程异地评标常态化。</w:t>
      </w:r>
      <w:r>
        <w:rPr>
          <w:rFonts w:ascii="仿宋" w:eastAsia="仿宋" w:hAnsi="仿宋" w:hint="eastAsia"/>
          <w:sz w:val="32"/>
          <w:szCs w:val="32"/>
        </w:rPr>
        <w:t>远程异地评标是指采用交易平台运行服务机构远程异地评标综合调度系统和电子交易系统，在河南省和外省综合评标专家库</w:t>
      </w:r>
      <w:r>
        <w:rPr>
          <w:rFonts w:ascii="仿宋" w:eastAsia="仿宋" w:hAnsi="仿宋"/>
          <w:sz w:val="32"/>
          <w:szCs w:val="32"/>
        </w:rPr>
        <w:t>(</w:t>
      </w:r>
      <w:r>
        <w:rPr>
          <w:rFonts w:ascii="仿宋" w:eastAsia="仿宋" w:hAnsi="仿宋" w:hint="eastAsia"/>
          <w:sz w:val="32"/>
          <w:szCs w:val="32"/>
        </w:rPr>
        <w:t>或政府采购库</w:t>
      </w:r>
      <w:r>
        <w:rPr>
          <w:rFonts w:ascii="仿宋" w:eastAsia="仿宋" w:hAnsi="仿宋"/>
          <w:sz w:val="32"/>
          <w:szCs w:val="32"/>
        </w:rPr>
        <w:t>)</w:t>
      </w:r>
      <w:r>
        <w:rPr>
          <w:rFonts w:ascii="仿宋" w:eastAsia="仿宋" w:hAnsi="仿宋" w:hint="eastAsia"/>
          <w:sz w:val="32"/>
          <w:szCs w:val="32"/>
        </w:rPr>
        <w:t>抽取终端抽取信阳市专家和异地专家，通过远程调度、专家身份认证、视频语音实时交互和在线监管等，依托“互联网</w:t>
      </w:r>
      <w:r>
        <w:rPr>
          <w:rFonts w:ascii="仿宋" w:eastAsia="仿宋" w:hAnsi="仿宋"/>
          <w:sz w:val="32"/>
          <w:szCs w:val="32"/>
        </w:rPr>
        <w:t>+</w:t>
      </w:r>
      <w:r>
        <w:rPr>
          <w:rFonts w:ascii="仿宋" w:eastAsia="仿宋" w:hAnsi="仿宋" w:hint="eastAsia"/>
          <w:sz w:val="32"/>
          <w:szCs w:val="32"/>
        </w:rPr>
        <w:t>”等信息化技术完成的电子评标活动。远程异地评标项目应按照公共资源交易受理程序，办理场地预约手续。远程异地评标场地分主场和副场，其中受理项目进场的交易平台运行服务机构为主场，主场以外的其他交易平台运行服务机构为副场，副场数量一般不超过两个。</w:t>
      </w:r>
      <w:r>
        <w:rPr>
          <w:rFonts w:ascii="仿宋" w:eastAsia="仿宋" w:hAnsi="仿宋" w:cs="仿宋" w:hint="eastAsia"/>
          <w:spacing w:val="6"/>
          <w:sz w:val="32"/>
          <w:szCs w:val="32"/>
        </w:rPr>
        <w:t>各级水行政主管部门应积极推行符合条件的项目实行远程异地评标，</w:t>
      </w:r>
      <w:r>
        <w:rPr>
          <w:rFonts w:ascii="仿宋" w:eastAsia="仿宋" w:hAnsi="仿宋" w:cs="仿宋" w:hint="eastAsia"/>
          <w:spacing w:val="5"/>
          <w:sz w:val="31"/>
          <w:szCs w:val="31"/>
        </w:rPr>
        <w:t>促进公平公正，</w:t>
      </w:r>
      <w:r>
        <w:rPr>
          <w:rFonts w:ascii="仿宋" w:eastAsia="仿宋" w:hAnsi="仿宋" w:cs="仿宋" w:hint="eastAsia"/>
          <w:spacing w:val="6"/>
          <w:sz w:val="32"/>
          <w:szCs w:val="32"/>
        </w:rPr>
        <w:t>按照“谁主管、谁监管”的原</w:t>
      </w:r>
      <w:r>
        <w:rPr>
          <w:rFonts w:ascii="仿宋" w:eastAsia="仿宋" w:hAnsi="仿宋" w:cs="仿宋" w:hint="eastAsia"/>
          <w:spacing w:val="-10"/>
          <w:sz w:val="32"/>
          <w:szCs w:val="32"/>
        </w:rPr>
        <w:t>则</w:t>
      </w:r>
      <w:r>
        <w:rPr>
          <w:rFonts w:ascii="仿宋" w:eastAsia="仿宋" w:hAnsi="仿宋" w:cs="仿宋" w:hint="eastAsia"/>
          <w:spacing w:val="-5"/>
          <w:sz w:val="32"/>
          <w:szCs w:val="32"/>
        </w:rPr>
        <w:t>，做好远程异地评标项目组织实施的监督检查工作，并依法</w:t>
      </w:r>
      <w:r>
        <w:rPr>
          <w:rFonts w:ascii="仿宋" w:eastAsia="仿宋" w:hAnsi="仿宋" w:cs="仿宋" w:hint="eastAsia"/>
          <w:spacing w:val="-4"/>
          <w:sz w:val="32"/>
          <w:szCs w:val="32"/>
        </w:rPr>
        <w:t>依规处理投诉、查处违法违规行为</w:t>
      </w:r>
      <w:r>
        <w:rPr>
          <w:rFonts w:ascii="仿宋" w:eastAsia="仿宋" w:hAnsi="仿宋" w:cs="仿宋" w:hint="eastAsia"/>
          <w:spacing w:val="-1"/>
          <w:sz w:val="32"/>
          <w:szCs w:val="32"/>
        </w:rPr>
        <w:t>。</w:t>
      </w:r>
    </w:p>
    <w:p w:rsidR="005632C0" w:rsidRDefault="005632C0" w:rsidP="000B4516">
      <w:pPr>
        <w:spacing w:line="600" w:lineRule="exact"/>
        <w:ind w:leftChars="-5" w:left="31680" w:firstLineChars="200" w:firstLine="31680"/>
        <w:rPr>
          <w:rFonts w:ascii="楷体_GB2312" w:eastAsia="楷体_GB2312" w:hAnsi="仿宋" w:cs="仿宋_GB2312"/>
          <w:b/>
          <w:sz w:val="32"/>
          <w:szCs w:val="32"/>
        </w:rPr>
      </w:pPr>
      <w:r>
        <w:rPr>
          <w:rFonts w:ascii="黑体" w:eastAsia="黑体" w:hAnsi="仿宋" w:cs="仿宋_GB2312" w:hint="eastAsia"/>
          <w:sz w:val="32"/>
          <w:szCs w:val="32"/>
        </w:rPr>
        <w:t>六、进一步落实监督管理职责</w:t>
      </w:r>
    </w:p>
    <w:p w:rsidR="005632C0" w:rsidRDefault="005632C0" w:rsidP="000B4516">
      <w:pPr>
        <w:spacing w:line="600" w:lineRule="exact"/>
        <w:ind w:leftChars="-5" w:left="31680" w:firstLineChars="200" w:firstLine="31680"/>
        <w:rPr>
          <w:rFonts w:eastAsia="仿宋"/>
        </w:rPr>
      </w:pPr>
      <w:r>
        <w:rPr>
          <w:rFonts w:ascii="楷体_GB2312" w:eastAsia="楷体_GB2312" w:hAnsi="仿宋" w:cs="仿宋_GB2312" w:hint="eastAsia"/>
          <w:b/>
          <w:sz w:val="32"/>
          <w:szCs w:val="32"/>
        </w:rPr>
        <w:t>（八）健全监管机制。</w:t>
      </w:r>
      <w:r>
        <w:rPr>
          <w:rFonts w:ascii="仿宋" w:eastAsia="仿宋" w:hAnsi="仿宋" w:hint="eastAsia"/>
          <w:sz w:val="32"/>
          <w:szCs w:val="32"/>
        </w:rPr>
        <w:t>各级水行政主管部门要畅通投诉渠道，依法处理招标投标违法行为投诉，投诉处理结果反馈当事人的同时按规定向社会公开，接受社会监督；合理利用信访举报及时发现违法问题线索，鼓励建立内部举报人制度。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部门协同监管和信息共享机制，监管执法过程中涉及其他部门职责的，及时移交有关部门处理或联合处理，提高执法水平和效率。加强对工作人员的监督约束，严禁以规范和监管之名行违规审批、插手干预、地方保护、行业垄断之实。</w:t>
      </w:r>
    </w:p>
    <w:p w:rsidR="005632C0" w:rsidRDefault="005632C0" w:rsidP="000B4516">
      <w:pPr>
        <w:spacing w:line="600" w:lineRule="exact"/>
        <w:ind w:leftChars="-5" w:left="31680" w:firstLineChars="200" w:firstLine="31680"/>
        <w:rPr>
          <w:rFonts w:ascii="仿宋" w:eastAsia="仿宋" w:hAnsi="仿宋"/>
          <w:sz w:val="32"/>
          <w:szCs w:val="32"/>
        </w:rPr>
      </w:pPr>
      <w:r>
        <w:rPr>
          <w:rFonts w:ascii="楷体_GB2312" w:eastAsia="楷体_GB2312" w:hAnsi="仿宋" w:cs="仿宋_GB2312" w:hint="eastAsia"/>
          <w:b/>
          <w:sz w:val="32"/>
          <w:szCs w:val="32"/>
        </w:rPr>
        <w:t>（九）加大监管力度。</w:t>
      </w:r>
      <w:r>
        <w:rPr>
          <w:rFonts w:ascii="仿宋" w:eastAsia="仿宋" w:hAnsi="仿宋" w:hint="eastAsia"/>
          <w:sz w:val="32"/>
          <w:szCs w:val="32"/>
        </w:rPr>
        <w:t>各级水行政主管部门要强化政治站位，认真履职尽责，进一步深化“放管服”改革，切实将监管重心从事前审批核准向事中事后全程监管转移。全面推行“双随机一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围标串标等违法犯罪行为的打击力度。加强与纪检监察机关、审计机关协作配合，按照规定做好招标投标领域违规违纪违法问题线索移交，对收到的问题线索认真核查处理。</w:t>
      </w:r>
    </w:p>
    <w:p w:rsidR="005632C0" w:rsidRDefault="005632C0" w:rsidP="000B4516">
      <w:pPr>
        <w:pStyle w:val="NormalWeb"/>
        <w:widowControl/>
        <w:spacing w:beforeAutospacing="0" w:afterAutospacing="0" w:line="600" w:lineRule="exact"/>
        <w:ind w:firstLineChars="200" w:firstLine="31680"/>
        <w:jc w:val="both"/>
        <w:rPr>
          <w:rFonts w:ascii="仿宋" w:eastAsia="仿宋" w:hAnsi="仿宋" w:cs="仿宋_GB2312"/>
          <w:sz w:val="32"/>
          <w:szCs w:val="32"/>
        </w:rPr>
      </w:pPr>
      <w:r>
        <w:rPr>
          <w:rFonts w:ascii="楷体_GB2312" w:eastAsia="楷体_GB2312" w:hAnsi="仿宋" w:hint="eastAsia"/>
          <w:b/>
          <w:kern w:val="2"/>
          <w:sz w:val="32"/>
          <w:szCs w:val="32"/>
        </w:rPr>
        <w:t>（十）健全信用体系。</w:t>
      </w:r>
      <w:r>
        <w:rPr>
          <w:rFonts w:ascii="仿宋" w:eastAsia="仿宋" w:hAnsi="仿宋" w:cs="仿宋_GB2312" w:hint="eastAsia"/>
          <w:sz w:val="32"/>
          <w:szCs w:val="32"/>
        </w:rPr>
        <w:t>加快推进招标投标领域信用体系建设，构建以信用为基础、衔接标前标中标后各环节的新型监管机制。严格执行具有一定社会影响的行政处罚决定依法公开的规定，并及时推送至水利市场监管平台、公共资源交易平台和全国信用信息共享平台，同步通过“信用中国”网站依法公示。坚持行政监督、社会监督和行业自律相结合，贯彻落实《</w:t>
      </w:r>
      <w:r>
        <w:rPr>
          <w:rFonts w:ascii="仿宋" w:eastAsia="仿宋" w:hAnsi="仿宋" w:cs="仿宋_GB2312" w:hint="eastAsia"/>
          <w:kern w:val="2"/>
          <w:sz w:val="32"/>
          <w:szCs w:val="32"/>
        </w:rPr>
        <w:t>河南省水利建设市场主体信用信息应用管理办法</w:t>
      </w:r>
      <w:r>
        <w:rPr>
          <w:rFonts w:ascii="仿宋" w:eastAsia="仿宋" w:hAnsi="仿宋" w:cs="仿宋_GB2312" w:hint="eastAsia"/>
          <w:sz w:val="32"/>
          <w:szCs w:val="32"/>
        </w:rPr>
        <w:t>》，推动信用信息在招标投标活动中的合理规范应用。对违法失信主体依法依规实施失信惩戒，情节严重的依法实施市场禁入措施。</w:t>
      </w:r>
    </w:p>
    <w:p w:rsidR="005632C0" w:rsidRDefault="005632C0" w:rsidP="00AE4CE1">
      <w:pPr>
        <w:pStyle w:val="BodyText"/>
        <w:spacing w:line="600" w:lineRule="exact"/>
        <w:rPr>
          <w:rFonts w:ascii="仿宋" w:eastAsia="仿宋" w:hAnsi="仿宋" w:cs="仿宋_GB2312"/>
          <w:sz w:val="32"/>
          <w:szCs w:val="32"/>
        </w:rPr>
      </w:pPr>
    </w:p>
    <w:p w:rsidR="005632C0" w:rsidRDefault="005632C0" w:rsidP="00AE4CE1">
      <w:pPr>
        <w:spacing w:line="600" w:lineRule="exact"/>
        <w:rPr>
          <w:rFonts w:ascii="仿宋" w:eastAsia="仿宋" w:hAnsi="仿宋" w:cs="仿宋_GB2312"/>
          <w:sz w:val="32"/>
          <w:szCs w:val="32"/>
        </w:rPr>
      </w:pPr>
    </w:p>
    <w:p w:rsidR="005632C0" w:rsidRDefault="005632C0" w:rsidP="00AE4CE1">
      <w:pPr>
        <w:spacing w:line="600" w:lineRule="exact"/>
        <w:rPr>
          <w:rFonts w:ascii="仿宋" w:eastAsia="仿宋" w:hAnsi="仿宋" w:cs="仿宋_GB2312"/>
          <w:sz w:val="32"/>
          <w:szCs w:val="32"/>
        </w:rPr>
      </w:pPr>
    </w:p>
    <w:p w:rsidR="005632C0" w:rsidRDefault="005632C0" w:rsidP="00AE4CE1">
      <w:pPr>
        <w:pStyle w:val="Heading1"/>
        <w:keepNext w:val="0"/>
        <w:keepLines w:val="0"/>
        <w:spacing w:before="0" w:after="0" w:line="600" w:lineRule="exact"/>
      </w:pPr>
    </w:p>
    <w:p w:rsidR="005632C0" w:rsidRDefault="005632C0" w:rsidP="00976C2A">
      <w:pPr>
        <w:pStyle w:val="Heading1"/>
        <w:keepNext w:val="0"/>
        <w:keepLines w:val="0"/>
        <w:spacing w:before="0" w:after="0" w:line="600" w:lineRule="exact"/>
      </w:pPr>
    </w:p>
    <w:sectPr w:rsidR="005632C0" w:rsidSect="00951C32">
      <w:footerReference w:type="even" r:id="rId6"/>
      <w:footerReference w:type="default" r:id="rId7"/>
      <w:pgSz w:w="11906" w:h="16838"/>
      <w:pgMar w:top="1701" w:right="1701" w:bottom="1701" w:left="1701" w:header="851" w:footer="113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2C0" w:rsidRDefault="005632C0" w:rsidP="00951C32">
      <w:r>
        <w:separator/>
      </w:r>
    </w:p>
  </w:endnote>
  <w:endnote w:type="continuationSeparator" w:id="0">
    <w:p w:rsidR="005632C0" w:rsidRDefault="005632C0" w:rsidP="00951C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C0" w:rsidRDefault="005632C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632C0" w:rsidRDefault="005632C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C0" w:rsidRDefault="005632C0">
    <w:pPr>
      <w:pStyle w:val="Footer"/>
      <w:framePr w:wrap="around" w:vAnchor="text" w:hAnchor="margin" w:xAlign="outside"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w:t>
    </w:r>
  </w:p>
  <w:p w:rsidR="005632C0" w:rsidRDefault="005632C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2C0" w:rsidRDefault="005632C0" w:rsidP="00951C32">
      <w:r>
        <w:separator/>
      </w:r>
    </w:p>
  </w:footnote>
  <w:footnote w:type="continuationSeparator" w:id="0">
    <w:p w:rsidR="005632C0" w:rsidRDefault="005632C0" w:rsidP="00951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gyY2Y5Y2UxZjkwY2NiYzg1MTM4ZmQzOTFhYWJhY2IifQ=="/>
  </w:docVars>
  <w:rsids>
    <w:rsidRoot w:val="22A64CF0"/>
    <w:rsid w:val="000538EB"/>
    <w:rsid w:val="00055014"/>
    <w:rsid w:val="000B4516"/>
    <w:rsid w:val="0013768B"/>
    <w:rsid w:val="0019452C"/>
    <w:rsid w:val="0024799E"/>
    <w:rsid w:val="00303F2A"/>
    <w:rsid w:val="0036632E"/>
    <w:rsid w:val="003749EA"/>
    <w:rsid w:val="00375F62"/>
    <w:rsid w:val="00386476"/>
    <w:rsid w:val="003F7518"/>
    <w:rsid w:val="00417DA5"/>
    <w:rsid w:val="00454A3D"/>
    <w:rsid w:val="00462C87"/>
    <w:rsid w:val="00493EAA"/>
    <w:rsid w:val="0050150D"/>
    <w:rsid w:val="005632C0"/>
    <w:rsid w:val="005B3DA1"/>
    <w:rsid w:val="005B5DC3"/>
    <w:rsid w:val="005E1FF5"/>
    <w:rsid w:val="005F3178"/>
    <w:rsid w:val="005F34B4"/>
    <w:rsid w:val="00614DDC"/>
    <w:rsid w:val="006B75EB"/>
    <w:rsid w:val="006C4984"/>
    <w:rsid w:val="0071222C"/>
    <w:rsid w:val="0072686D"/>
    <w:rsid w:val="00730D7A"/>
    <w:rsid w:val="00766DA0"/>
    <w:rsid w:val="00833239"/>
    <w:rsid w:val="008E1900"/>
    <w:rsid w:val="008F08CF"/>
    <w:rsid w:val="009071BA"/>
    <w:rsid w:val="009330FC"/>
    <w:rsid w:val="00951C32"/>
    <w:rsid w:val="00961861"/>
    <w:rsid w:val="00966FFA"/>
    <w:rsid w:val="00976C2A"/>
    <w:rsid w:val="00976D8F"/>
    <w:rsid w:val="00A35F5A"/>
    <w:rsid w:val="00A37660"/>
    <w:rsid w:val="00A85CF5"/>
    <w:rsid w:val="00AD7B59"/>
    <w:rsid w:val="00AE4CE1"/>
    <w:rsid w:val="00AF0172"/>
    <w:rsid w:val="00B24CAF"/>
    <w:rsid w:val="00B264CD"/>
    <w:rsid w:val="00B423CC"/>
    <w:rsid w:val="00B8403A"/>
    <w:rsid w:val="00BC6EF0"/>
    <w:rsid w:val="00C0562C"/>
    <w:rsid w:val="00C24D02"/>
    <w:rsid w:val="00C530D9"/>
    <w:rsid w:val="00C81B44"/>
    <w:rsid w:val="00CC3698"/>
    <w:rsid w:val="00CD6500"/>
    <w:rsid w:val="00D03FE1"/>
    <w:rsid w:val="00D45671"/>
    <w:rsid w:val="00D958A0"/>
    <w:rsid w:val="00DE16EF"/>
    <w:rsid w:val="00DF6BE6"/>
    <w:rsid w:val="00E016A4"/>
    <w:rsid w:val="00E0298E"/>
    <w:rsid w:val="00E71E85"/>
    <w:rsid w:val="00E86A22"/>
    <w:rsid w:val="00EC5119"/>
    <w:rsid w:val="00ED7769"/>
    <w:rsid w:val="00F300E8"/>
    <w:rsid w:val="00F31F76"/>
    <w:rsid w:val="00FA0CE2"/>
    <w:rsid w:val="00FF3954"/>
    <w:rsid w:val="01D134FA"/>
    <w:rsid w:val="021C29C7"/>
    <w:rsid w:val="031E2788"/>
    <w:rsid w:val="045B70AB"/>
    <w:rsid w:val="04A732F2"/>
    <w:rsid w:val="04C578E8"/>
    <w:rsid w:val="066A7A79"/>
    <w:rsid w:val="0AB85257"/>
    <w:rsid w:val="0B460AB5"/>
    <w:rsid w:val="0DA43871"/>
    <w:rsid w:val="142D2812"/>
    <w:rsid w:val="144933C4"/>
    <w:rsid w:val="1C0D678F"/>
    <w:rsid w:val="1DF41563"/>
    <w:rsid w:val="1FDE2C12"/>
    <w:rsid w:val="22A64CF0"/>
    <w:rsid w:val="263E265D"/>
    <w:rsid w:val="28CF060D"/>
    <w:rsid w:val="2B471FB3"/>
    <w:rsid w:val="2C506C46"/>
    <w:rsid w:val="317C36B3"/>
    <w:rsid w:val="33BE302F"/>
    <w:rsid w:val="352E1AEE"/>
    <w:rsid w:val="35942299"/>
    <w:rsid w:val="36637EBD"/>
    <w:rsid w:val="37B564F7"/>
    <w:rsid w:val="3B867DC2"/>
    <w:rsid w:val="3E1026D9"/>
    <w:rsid w:val="3E1D4DF6"/>
    <w:rsid w:val="450B3BFA"/>
    <w:rsid w:val="48FA1FBB"/>
    <w:rsid w:val="4F3A75B6"/>
    <w:rsid w:val="4F710AFD"/>
    <w:rsid w:val="4FDF015D"/>
    <w:rsid w:val="509E5922"/>
    <w:rsid w:val="556829A3"/>
    <w:rsid w:val="55E4027B"/>
    <w:rsid w:val="5FD33860"/>
    <w:rsid w:val="5FD833DB"/>
    <w:rsid w:val="61E810F3"/>
    <w:rsid w:val="627B3D15"/>
    <w:rsid w:val="62D257E1"/>
    <w:rsid w:val="63F83144"/>
    <w:rsid w:val="66DE0D17"/>
    <w:rsid w:val="69A55B1C"/>
    <w:rsid w:val="6D495BAD"/>
    <w:rsid w:val="74DC4AE7"/>
    <w:rsid w:val="7AE71AF0"/>
    <w:rsid w:val="7D494C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951C32"/>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951C32"/>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C32"/>
    <w:rPr>
      <w:rFonts w:ascii="Times New Roman" w:hAnsi="Times New Roman" w:cs="Times New Roman"/>
      <w:b/>
      <w:bCs/>
      <w:kern w:val="44"/>
      <w:sz w:val="44"/>
      <w:szCs w:val="44"/>
    </w:rPr>
  </w:style>
  <w:style w:type="paragraph" w:styleId="Footer">
    <w:name w:val="footer"/>
    <w:basedOn w:val="Normal"/>
    <w:link w:val="FooterChar"/>
    <w:uiPriority w:val="99"/>
    <w:rsid w:val="00951C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51C32"/>
    <w:rPr>
      <w:rFonts w:ascii="Times New Roman" w:hAnsi="Times New Roman" w:cs="Times New Roman"/>
      <w:sz w:val="18"/>
      <w:szCs w:val="18"/>
    </w:rPr>
  </w:style>
  <w:style w:type="paragraph" w:styleId="Header">
    <w:name w:val="header"/>
    <w:basedOn w:val="Normal"/>
    <w:link w:val="HeaderChar"/>
    <w:uiPriority w:val="99"/>
    <w:rsid w:val="00951C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51C32"/>
    <w:rPr>
      <w:rFonts w:ascii="Times New Roman" w:hAnsi="Times New Roman" w:cs="Times New Roman"/>
      <w:sz w:val="18"/>
      <w:szCs w:val="18"/>
    </w:rPr>
  </w:style>
  <w:style w:type="character" w:styleId="PageNumber">
    <w:name w:val="page number"/>
    <w:basedOn w:val="DefaultParagraphFont"/>
    <w:uiPriority w:val="99"/>
    <w:rsid w:val="00951C32"/>
    <w:rPr>
      <w:rFonts w:cs="Times New Roman"/>
    </w:rPr>
  </w:style>
  <w:style w:type="table" w:styleId="TableGrid">
    <w:name w:val="Table Grid"/>
    <w:basedOn w:val="TableNormal"/>
    <w:uiPriority w:val="99"/>
    <w:locked/>
    <w:rsid w:val="00BC6EF0"/>
    <w:pPr>
      <w:kinsoku w:val="0"/>
      <w:autoSpaceDE w:val="0"/>
      <w:autoSpaceDN w:val="0"/>
      <w:adjustRightInd w:val="0"/>
      <w:snapToGrid w:val="0"/>
      <w:textAlignment w:val="baseline"/>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9452C"/>
    <w:rPr>
      <w:rFonts w:cs="Times New Roman"/>
      <w:color w:val="0000FF"/>
      <w:u w:val="single"/>
    </w:rPr>
  </w:style>
  <w:style w:type="paragraph" w:styleId="BodyText">
    <w:name w:val="Body Text"/>
    <w:basedOn w:val="Normal"/>
    <w:next w:val="Normal"/>
    <w:link w:val="BodyTextChar"/>
    <w:uiPriority w:val="99"/>
    <w:rsid w:val="003F7518"/>
    <w:rPr>
      <w:rFonts w:ascii="Calibri" w:hAnsi="Calibri"/>
    </w:rPr>
  </w:style>
  <w:style w:type="character" w:customStyle="1" w:styleId="BodyTextChar">
    <w:name w:val="Body Text Char"/>
    <w:basedOn w:val="DefaultParagraphFont"/>
    <w:link w:val="BodyText"/>
    <w:uiPriority w:val="99"/>
    <w:semiHidden/>
    <w:locked/>
    <w:rsid w:val="003F7518"/>
    <w:rPr>
      <w:rFonts w:ascii="Calibri" w:eastAsia="宋体" w:hAnsi="Calibri" w:cs="Times New Roman"/>
      <w:kern w:val="2"/>
      <w:sz w:val="24"/>
      <w:szCs w:val="24"/>
      <w:lang w:val="en-US" w:eastAsia="zh-CN" w:bidi="ar-SA"/>
    </w:rPr>
  </w:style>
  <w:style w:type="paragraph" w:styleId="NormalWeb">
    <w:name w:val="Normal (Web)"/>
    <w:basedOn w:val="Normal"/>
    <w:uiPriority w:val="99"/>
    <w:rsid w:val="003F7518"/>
    <w:pPr>
      <w:spacing w:beforeAutospacing="1"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DE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452</Words>
  <Characters>2579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李书鹏</dc:creator>
  <cp:keywords/>
  <dc:description/>
  <cp:lastModifiedBy>微软用户</cp:lastModifiedBy>
  <cp:revision>19</cp:revision>
  <cp:lastPrinted>2022-09-02T08:26:00Z</cp:lastPrinted>
  <dcterms:created xsi:type="dcterms:W3CDTF">2022-07-26T02:30:00Z</dcterms:created>
  <dcterms:modified xsi:type="dcterms:W3CDTF">2022-09-02T09:00:00Z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22BC3D153E51446BB255890A22527E83</vt:lpwstr>
  </property>
</Properties>
</file>