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仿宋_GB2312" w:hAnsi="Times New Roman" w:eastAsia="仿宋_GB2312"/>
          <w:sz w:val="32"/>
          <w:szCs w:val="32"/>
        </w:rPr>
      </w:pPr>
      <w:r>
        <w:rPr>
          <w:rFonts w:hint="eastAsia" w:ascii="方正小标宋简体" w:hAnsi="Times New Roman" w:eastAsia="方正小标宋简体"/>
          <w:sz w:val="36"/>
          <w:szCs w:val="36"/>
        </w:rPr>
        <w:t>2022年信阳市</w:t>
      </w:r>
      <w:r>
        <w:rPr>
          <w:rFonts w:hint="eastAsia" w:ascii="方正小标宋简体" w:hAnsi="Times New Roman" w:eastAsia="方正小标宋简体"/>
          <w:sz w:val="36"/>
          <w:szCs w:val="36"/>
          <w:lang w:eastAsia="zh-CN"/>
        </w:rPr>
        <w:t>浉河管理处</w:t>
      </w:r>
      <w:r>
        <w:rPr>
          <w:rFonts w:hint="eastAsia" w:ascii="方正小标宋简体" w:hAnsi="Times New Roman" w:eastAsia="方正小标宋简体"/>
          <w:sz w:val="36"/>
          <w:szCs w:val="36"/>
        </w:rPr>
        <w:t>部门预算公开</w:t>
      </w:r>
    </w:p>
    <w:p>
      <w:pPr>
        <w:kinsoku w:val="0"/>
        <w:overflowPunct w:val="0"/>
        <w:adjustRightInd w:val="0"/>
        <w:snapToGrid w:val="0"/>
        <w:spacing w:line="360" w:lineRule="auto"/>
        <w:ind w:left="-142" w:right="51" w:firstLine="39" w:firstLineChars="7"/>
        <w:jc w:val="center"/>
        <w:rPr>
          <w:rFonts w:ascii="黑体" w:hAnsi="Times New Roman" w:eastAsia="黑体" w:cs="黑体"/>
          <w:sz w:val="56"/>
          <w:szCs w:val="56"/>
        </w:rPr>
      </w:pPr>
      <w:r>
        <w:rPr>
          <w:rFonts w:hint="eastAsia" w:ascii="黑体" w:hAnsi="Times New Roman" w:eastAsia="黑体" w:cs="黑体"/>
          <w:sz w:val="56"/>
          <w:szCs w:val="56"/>
        </w:rPr>
        <w:t>目</w:t>
      </w:r>
      <w:r>
        <w:rPr>
          <w:rFonts w:ascii="黑体" w:hAnsi="Times New Roman" w:eastAsia="黑体" w:cs="黑体"/>
          <w:spacing w:val="2"/>
          <w:sz w:val="56"/>
          <w:szCs w:val="56"/>
        </w:rPr>
        <w:t xml:space="preserve"> </w:t>
      </w:r>
      <w:r>
        <w:rPr>
          <w:rFonts w:hint="eastAsia" w:ascii="黑体" w:hAnsi="Times New Roman" w:eastAsia="黑体" w:cs="黑体"/>
          <w:sz w:val="56"/>
          <w:szCs w:val="56"/>
        </w:rPr>
        <w:t>录</w:t>
      </w:r>
    </w:p>
    <w:p>
      <w:pPr>
        <w:kinsoku w:val="0"/>
        <w:overflowPunct w:val="0"/>
        <w:adjustRightInd w:val="0"/>
        <w:snapToGrid w:val="0"/>
        <w:spacing w:line="360" w:lineRule="auto"/>
        <w:ind w:right="521" w:firstLine="643" w:firstLineChars="200"/>
        <w:rPr>
          <w:rFonts w:hint="eastAsia" w:ascii="黑体" w:hAnsi="黑体" w:eastAsia="黑体" w:cs="黑体"/>
          <w:b/>
          <w:bCs/>
          <w:sz w:val="32"/>
          <w:szCs w:val="32"/>
        </w:rPr>
      </w:pPr>
      <w:r>
        <w:rPr>
          <w:rFonts w:hint="eastAsia" w:ascii="黑体" w:hAnsi="黑体" w:eastAsia="黑体" w:cs="黑体"/>
          <w:b/>
          <w:bCs/>
          <w:sz w:val="32"/>
          <w:szCs w:val="32"/>
        </w:rPr>
        <w:t>第一部分</w:t>
      </w:r>
      <w:r>
        <w:rPr>
          <w:rFonts w:hint="eastAsia" w:ascii="黑体" w:hAnsi="黑体" w:eastAsia="黑体" w:cs="黑体"/>
          <w:b/>
          <w:sz w:val="32"/>
          <w:szCs w:val="32"/>
        </w:rPr>
        <w:t>：</w:t>
      </w:r>
      <w:bookmarkStart w:id="0" w:name="PO_dirDivName1"/>
      <w:r>
        <w:rPr>
          <w:rFonts w:hint="eastAsia" w:ascii="黑体" w:hAnsi="黑体" w:eastAsia="黑体" w:cs="黑体"/>
          <w:b/>
          <w:bCs/>
          <w:sz w:val="32"/>
          <w:szCs w:val="32"/>
        </w:rPr>
        <w:t>信阳市浉河管理处</w:t>
      </w:r>
      <w:r>
        <w:rPr>
          <w:rFonts w:hint="eastAsia" w:ascii="黑体" w:hAnsi="黑体" w:eastAsia="黑体" w:cs="黑体"/>
          <w:b/>
          <w:bCs/>
          <w:sz w:val="11"/>
          <w:szCs w:val="11"/>
        </w:rPr>
        <w:t xml:space="preserve"> </w:t>
      </w:r>
      <w:bookmarkEnd w:id="0"/>
      <w:r>
        <w:rPr>
          <w:rFonts w:hint="eastAsia" w:ascii="黑体" w:hAnsi="黑体" w:eastAsia="黑体" w:cs="黑体"/>
          <w:b/>
          <w:bCs/>
          <w:sz w:val="32"/>
          <w:szCs w:val="32"/>
        </w:rPr>
        <w:t>概况</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一、主要职责</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二、内设机构设置情况</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三、预算单位构成情况</w:t>
      </w:r>
    </w:p>
    <w:p>
      <w:pPr>
        <w:kinsoku w:val="0"/>
        <w:overflowPunct w:val="0"/>
        <w:adjustRightInd w:val="0"/>
        <w:snapToGrid w:val="0"/>
        <w:spacing w:line="360" w:lineRule="auto"/>
        <w:ind w:right="521" w:firstLine="643" w:firstLineChars="200"/>
        <w:rPr>
          <w:rFonts w:hint="eastAsia" w:ascii="黑体" w:hAnsi="黑体" w:eastAsia="黑体" w:cs="黑体"/>
          <w:b/>
          <w:bCs/>
          <w:sz w:val="32"/>
          <w:szCs w:val="32"/>
        </w:rPr>
      </w:pPr>
      <w:r>
        <w:rPr>
          <w:rFonts w:hint="eastAsia" w:ascii="黑体" w:hAnsi="黑体" w:eastAsia="黑体" w:cs="黑体"/>
          <w:b/>
          <w:bCs/>
          <w:sz w:val="32"/>
          <w:szCs w:val="32"/>
        </w:rPr>
        <w:t>第二部分</w:t>
      </w:r>
      <w:r>
        <w:rPr>
          <w:rFonts w:hint="eastAsia" w:ascii="黑体" w:hAnsi="黑体" w:eastAsia="黑体" w:cs="黑体"/>
          <w:b/>
          <w:sz w:val="32"/>
          <w:szCs w:val="32"/>
        </w:rPr>
        <w:t>：</w:t>
      </w:r>
      <w:bookmarkStart w:id="1" w:name="PO_dirDivName2"/>
      <w:r>
        <w:rPr>
          <w:rFonts w:hint="eastAsia" w:ascii="黑体" w:hAnsi="黑体" w:eastAsia="黑体" w:cs="黑体"/>
          <w:b/>
          <w:bCs/>
          <w:sz w:val="32"/>
          <w:szCs w:val="32"/>
        </w:rPr>
        <w:t>信阳市浉河管理处</w:t>
      </w:r>
      <w:r>
        <w:rPr>
          <w:rFonts w:hint="eastAsia" w:ascii="黑体" w:hAnsi="黑体" w:eastAsia="黑体" w:cs="黑体"/>
          <w:b/>
          <w:bCs/>
          <w:sz w:val="11"/>
          <w:szCs w:val="11"/>
        </w:rPr>
        <w:t xml:space="preserve"> </w:t>
      </w:r>
      <w:bookmarkEnd w:id="1"/>
      <w:r>
        <w:rPr>
          <w:rFonts w:hint="eastAsia" w:ascii="黑体" w:hAnsi="黑体" w:eastAsia="黑体" w:cs="黑体"/>
          <w:b/>
          <w:bCs/>
          <w:sz w:val="32"/>
          <w:szCs w:val="32"/>
        </w:rPr>
        <w:t>202</w:t>
      </w:r>
      <w:r>
        <w:rPr>
          <w:rFonts w:hint="eastAsia" w:ascii="黑体" w:hAnsi="黑体" w:eastAsia="黑体" w:cs="黑体"/>
          <w:b/>
          <w:bCs/>
          <w:sz w:val="32"/>
          <w:szCs w:val="32"/>
          <w:lang w:val="en-US" w:eastAsia="zh-CN"/>
        </w:rPr>
        <w:t>2</w:t>
      </w:r>
      <w:r>
        <w:rPr>
          <w:rFonts w:hint="eastAsia" w:ascii="黑体" w:hAnsi="黑体" w:eastAsia="黑体" w:cs="黑体"/>
          <w:b/>
          <w:bCs/>
          <w:sz w:val="32"/>
          <w:szCs w:val="32"/>
        </w:rPr>
        <w:t>年度部门预算情况说明</w:t>
      </w:r>
    </w:p>
    <w:p>
      <w:pPr>
        <w:kinsoku w:val="0"/>
        <w:overflowPunct w:val="0"/>
        <w:adjustRightInd w:val="0"/>
        <w:snapToGrid w:val="0"/>
        <w:spacing w:line="360" w:lineRule="auto"/>
        <w:ind w:right="521" w:firstLine="643" w:firstLineChars="200"/>
        <w:rPr>
          <w:rFonts w:hint="eastAsia" w:ascii="黑体" w:hAnsi="黑体" w:eastAsia="黑体" w:cs="黑体"/>
          <w:b/>
          <w:bCs/>
          <w:sz w:val="32"/>
          <w:szCs w:val="32"/>
        </w:rPr>
      </w:pPr>
      <w:r>
        <w:rPr>
          <w:rFonts w:hint="eastAsia" w:ascii="黑体" w:hAnsi="黑体" w:eastAsia="黑体" w:cs="黑体"/>
          <w:b/>
          <w:bCs/>
          <w:sz w:val="32"/>
          <w:szCs w:val="32"/>
        </w:rPr>
        <w:t>第三部分</w:t>
      </w:r>
      <w:r>
        <w:rPr>
          <w:rFonts w:hint="eastAsia" w:ascii="黑体" w:hAnsi="黑体" w:eastAsia="黑体" w:cs="黑体"/>
          <w:b/>
          <w:sz w:val="32"/>
          <w:szCs w:val="32"/>
        </w:rPr>
        <w:t>：</w:t>
      </w:r>
      <w:r>
        <w:rPr>
          <w:rFonts w:hint="eastAsia" w:ascii="黑体" w:hAnsi="黑体" w:eastAsia="黑体" w:cs="黑体"/>
          <w:b/>
          <w:bCs/>
          <w:sz w:val="32"/>
          <w:szCs w:val="32"/>
        </w:rPr>
        <w:t>名词解释</w:t>
      </w:r>
    </w:p>
    <w:p>
      <w:pPr>
        <w:kinsoku w:val="0"/>
        <w:overflowPunct w:val="0"/>
        <w:adjustRightInd w:val="0"/>
        <w:snapToGrid w:val="0"/>
        <w:spacing w:line="360" w:lineRule="auto"/>
        <w:ind w:firstLine="640" w:firstLineChars="200"/>
        <w:rPr>
          <w:rFonts w:ascii="黑体" w:hAnsi="Times New Roman" w:eastAsia="黑体" w:cs="黑体"/>
          <w:sz w:val="32"/>
          <w:szCs w:val="32"/>
        </w:rPr>
      </w:pPr>
      <w:r>
        <w:rPr>
          <w:rFonts w:hint="eastAsia" w:ascii="黑体" w:hAnsi="Times New Roman" w:eastAsia="黑体" w:cs="黑体"/>
          <w:sz w:val="32"/>
          <w:szCs w:val="32"/>
        </w:rPr>
        <w:t>附件：</w:t>
      </w:r>
      <w:bookmarkStart w:id="2" w:name="PO_dirDivName3"/>
      <w:r>
        <w:rPr>
          <w:rFonts w:hint="eastAsia" w:ascii="黑体" w:hAnsi="黑体" w:eastAsia="黑体" w:cs="黑体"/>
          <w:b/>
          <w:sz w:val="32"/>
          <w:szCs w:val="32"/>
        </w:rPr>
        <w:t>信阳市浉河管理处</w:t>
      </w:r>
      <w:r>
        <w:rPr>
          <w:rFonts w:hint="eastAsia" w:ascii="黑体" w:hAnsi="黑体" w:eastAsia="黑体" w:cs="黑体"/>
          <w:b/>
          <w:sz w:val="11"/>
          <w:szCs w:val="11"/>
        </w:rPr>
        <w:t xml:space="preserve"> </w:t>
      </w:r>
      <w:bookmarkEnd w:id="2"/>
      <w:r>
        <w:rPr>
          <w:rFonts w:hint="eastAsia" w:ascii="黑体" w:hAnsi="Times New Roman" w:eastAsia="黑体" w:cs="黑体"/>
          <w:sz w:val="32"/>
          <w:szCs w:val="32"/>
        </w:rPr>
        <w:t>2022年度部门预算表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一、部门收支总体情况表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二、部门收入总体情况表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三、部门支出总体情况表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四、财政拨款收支总体情况表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五、一般公共预算支出情况表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六、一般公共预算基本支出情况表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七、一般公共预算“三公”经费支出情况表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八、政府性基金预算支出情况表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九、项目支出表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十、部门（单位）整体绩效目标表</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十一、部门预算项目绩效目标表</w:t>
      </w:r>
    </w:p>
    <w:p>
      <w:pPr>
        <w:adjustRightInd w:val="0"/>
        <w:snapToGrid w:val="0"/>
        <w:spacing w:line="360" w:lineRule="auto"/>
        <w:rPr>
          <w:rFonts w:hint="eastAsia" w:ascii="黑体" w:hAnsi="黑体" w:eastAsia="黑体"/>
          <w:sz w:val="32"/>
          <w:szCs w:val="32"/>
        </w:rPr>
      </w:pPr>
    </w:p>
    <w:p>
      <w:pPr>
        <w:adjustRightInd w:val="0"/>
        <w:snapToGrid w:val="0"/>
        <w:spacing w:line="360" w:lineRule="auto"/>
        <w:jc w:val="center"/>
        <w:rPr>
          <w:rFonts w:ascii="黑体" w:hAnsi="黑体" w:eastAsia="黑体"/>
          <w:sz w:val="32"/>
          <w:szCs w:val="32"/>
        </w:rPr>
      </w:pPr>
      <w:r>
        <w:rPr>
          <w:rFonts w:hint="eastAsia" w:ascii="黑体" w:hAnsi="黑体" w:eastAsia="黑体"/>
          <w:sz w:val="32"/>
          <w:szCs w:val="32"/>
        </w:rPr>
        <w:t>第一部分</w:t>
      </w:r>
    </w:p>
    <w:p>
      <w:pPr>
        <w:adjustRightInd w:val="0"/>
        <w:snapToGrid w:val="0"/>
        <w:spacing w:line="360" w:lineRule="auto"/>
        <w:jc w:val="center"/>
        <w:rPr>
          <w:rFonts w:ascii="黑体" w:hAnsi="黑体" w:eastAsia="黑体"/>
          <w:sz w:val="32"/>
          <w:szCs w:val="32"/>
        </w:rPr>
      </w:pPr>
      <w:r>
        <w:rPr>
          <w:rFonts w:hint="eastAsia" w:ascii="黑体" w:hAnsi="黑体" w:eastAsia="黑体"/>
          <w:sz w:val="32"/>
          <w:szCs w:val="32"/>
          <w:lang w:eastAsia="zh-CN"/>
        </w:rPr>
        <w:t>信阳市浉河管理处</w:t>
      </w:r>
      <w:r>
        <w:rPr>
          <w:rFonts w:hint="eastAsia" w:ascii="黑体" w:hAnsi="黑体" w:eastAsia="黑体"/>
          <w:sz w:val="32"/>
          <w:szCs w:val="32"/>
        </w:rPr>
        <w:t>概况</w:t>
      </w:r>
    </w:p>
    <w:p>
      <w:pPr>
        <w:kinsoku w:val="0"/>
        <w:overflowPunct w:val="0"/>
        <w:adjustRightInd w:val="0"/>
        <w:snapToGrid w:val="0"/>
        <w:spacing w:line="360" w:lineRule="auto"/>
        <w:ind w:right="51" w:firstLine="643" w:firstLineChars="200"/>
        <w:jc w:val="left"/>
        <w:rPr>
          <w:rFonts w:hint="eastAsia" w:ascii="仿宋_GB2312" w:hAnsi="仿宋_GB2312" w:eastAsia="仿宋_GB2312" w:cs="仿宋_GB2312"/>
          <w:b/>
          <w:bCs/>
          <w:color w:val="000000"/>
          <w:sz w:val="32"/>
          <w:szCs w:val="32"/>
        </w:rPr>
      </w:pPr>
    </w:p>
    <w:p>
      <w:pPr>
        <w:keepNext w:val="0"/>
        <w:keepLines w:val="0"/>
        <w:pageBreakBefore w:val="0"/>
        <w:widowControl w:val="0"/>
        <w:kinsoku w:val="0"/>
        <w:wordWrap/>
        <w:overflowPunct w:val="0"/>
        <w:topLinePunct w:val="0"/>
        <w:autoSpaceDE/>
        <w:autoSpaceDN/>
        <w:bidi w:val="0"/>
        <w:adjustRightInd w:val="0"/>
        <w:snapToGrid w:val="0"/>
        <w:spacing w:line="360" w:lineRule="auto"/>
        <w:ind w:right="51" w:firstLine="643" w:firstLineChars="200"/>
        <w:jc w:val="left"/>
        <w:textAlignment w:val="auto"/>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color w:val="000000"/>
          <w:sz w:val="32"/>
          <w:szCs w:val="32"/>
          <w:lang w:eastAsia="zh-CN"/>
        </w:rPr>
        <w:t>一、主要职责</w:t>
      </w:r>
    </w:p>
    <w:p>
      <w:pPr>
        <w:keepNext w:val="0"/>
        <w:keepLines w:val="0"/>
        <w:pageBreakBefore w:val="0"/>
        <w:widowControl w:val="0"/>
        <w:wordWrap/>
        <w:topLinePunct w:val="0"/>
        <w:autoSpaceDE/>
        <w:autoSpaceDN/>
        <w:bidi w:val="0"/>
        <w:spacing w:line="360" w:lineRule="auto"/>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信阳市浉河管理处主要职责是承担浉河河道，堤防工程管理与1#、2#橡胶坝的运行管理维护工作，保障堤防工程安全运行、橡胶坝功能正常和河道防洪安全；承担规划控制范围内浉河两岸的环境综合整治与部分绿化带管护；浉河水面保洁工作；负责浉河河道水政执法管理以及浉河综合治理的规划编报与建设组织实施工作等</w:t>
      </w:r>
      <w:r>
        <w:rPr>
          <w:rFonts w:hint="eastAsia" w:ascii="仿宋_GB2312" w:hAnsi="仿宋_GB2312" w:eastAsia="仿宋_GB2312" w:cs="仿宋_GB2312"/>
          <w:color w:val="000000"/>
          <w:sz w:val="32"/>
          <w:szCs w:val="32"/>
          <w:lang w:eastAsia="zh-CN"/>
        </w:rPr>
        <w:t>。</w:t>
      </w:r>
    </w:p>
    <w:p>
      <w:pPr>
        <w:keepNext w:val="0"/>
        <w:keepLines w:val="0"/>
        <w:pageBreakBefore w:val="0"/>
        <w:widowControl w:val="0"/>
        <w:wordWrap/>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b/>
          <w:bCs/>
          <w:color w:val="000000"/>
          <w:sz w:val="32"/>
          <w:szCs w:val="32"/>
        </w:rPr>
        <w:t>二、内设机构设置情况</w:t>
      </w:r>
    </w:p>
    <w:p>
      <w:pPr>
        <w:keepNext w:val="0"/>
        <w:keepLines w:val="0"/>
        <w:pageBreakBefore w:val="0"/>
        <w:widowControl w:val="0"/>
        <w:wordWrap/>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信阳市浉河管理处系副处级全供事业单位，为水利局下属二级机构。内设办公室、财务科、工程技术科、浉河水政执法大队、综合管理站、橡胶坝管理站。   </w:t>
      </w:r>
    </w:p>
    <w:p>
      <w:pPr>
        <w:keepNext w:val="0"/>
        <w:keepLines w:val="0"/>
        <w:pageBreakBefore w:val="0"/>
        <w:widowControl w:val="0"/>
        <w:kinsoku w:val="0"/>
        <w:wordWrap/>
        <w:overflowPunct w:val="0"/>
        <w:topLinePunct w:val="0"/>
        <w:autoSpaceDE/>
        <w:autoSpaceDN/>
        <w:bidi w:val="0"/>
        <w:adjustRightInd w:val="0"/>
        <w:snapToGrid w:val="0"/>
        <w:spacing w:line="360" w:lineRule="auto"/>
        <w:ind w:right="51" w:firstLine="643" w:firstLineChars="200"/>
        <w:jc w:val="left"/>
        <w:textAlignment w:val="auto"/>
        <w:rPr>
          <w:rFonts w:hint="eastAsia" w:ascii="黑体" w:hAnsi="黑体" w:eastAsia="黑体" w:cs="黑体"/>
          <w:sz w:val="32"/>
          <w:szCs w:val="32"/>
        </w:rPr>
      </w:pPr>
      <w:r>
        <w:rPr>
          <w:rFonts w:hint="eastAsia" w:ascii="仿宋_GB2312" w:hAnsi="仿宋_GB2312" w:eastAsia="仿宋_GB2312" w:cs="仿宋_GB2312"/>
          <w:b/>
          <w:bCs/>
          <w:color w:val="000000"/>
          <w:sz w:val="32"/>
          <w:szCs w:val="32"/>
        </w:rPr>
        <w:t>三、预算单位构成</w:t>
      </w:r>
      <w:r>
        <w:rPr>
          <w:rFonts w:hint="eastAsia" w:ascii="黑体" w:hAnsi="黑体" w:eastAsia="黑体" w:cs="黑体"/>
          <w:sz w:val="32"/>
          <w:szCs w:val="32"/>
        </w:rPr>
        <w:t>情况</w:t>
      </w:r>
    </w:p>
    <w:p>
      <w:pPr>
        <w:keepNext w:val="0"/>
        <w:keepLines w:val="0"/>
        <w:pageBreakBefore w:val="0"/>
        <w:widowControl w:val="0"/>
        <w:wordWrap/>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信阳市浉河管理处</w:t>
      </w:r>
      <w:r>
        <w:rPr>
          <w:rFonts w:hint="eastAsia" w:ascii="仿宋_GB2312" w:hAnsi="黑体" w:eastAsia="仿宋_GB2312" w:cs="Courier New"/>
          <w:kern w:val="0"/>
          <w:sz w:val="32"/>
          <w:szCs w:val="32"/>
        </w:rPr>
        <w:t>没有所属</w:t>
      </w:r>
      <w:r>
        <w:rPr>
          <w:rFonts w:hint="eastAsia" w:ascii="仿宋_GB2312" w:hAnsi="黑体" w:eastAsia="仿宋_GB2312" w:cs="Courier New"/>
          <w:kern w:val="0"/>
          <w:sz w:val="32"/>
          <w:szCs w:val="32"/>
          <w:lang w:eastAsia="zh-CN"/>
        </w:rPr>
        <w:t>二级</w:t>
      </w:r>
      <w:r>
        <w:rPr>
          <w:rFonts w:hint="eastAsia" w:ascii="仿宋_GB2312" w:hAnsi="黑体" w:eastAsia="仿宋_GB2312" w:cs="Courier New"/>
          <w:kern w:val="0"/>
          <w:sz w:val="32"/>
          <w:szCs w:val="32"/>
        </w:rPr>
        <w:t>单位，公开的就是本级预算</w:t>
      </w:r>
      <w:r>
        <w:rPr>
          <w:rFonts w:hint="eastAsia" w:ascii="仿宋_GB2312" w:hAnsi="仿宋_GB2312" w:eastAsia="仿宋_GB2312" w:cs="仿宋_GB2312"/>
          <w:color w:val="000000"/>
          <w:sz w:val="32"/>
          <w:szCs w:val="32"/>
          <w:lang w:eastAsia="zh-CN"/>
        </w:rPr>
        <w:t>。</w:t>
      </w:r>
    </w:p>
    <w:p>
      <w:pPr>
        <w:keepNext w:val="0"/>
        <w:keepLines w:val="0"/>
        <w:pageBreakBefore w:val="0"/>
        <w:widowControl w:val="0"/>
        <w:wordWrap/>
        <w:topLinePunct w:val="0"/>
        <w:autoSpaceDE/>
        <w:autoSpaceDN/>
        <w:bidi w:val="0"/>
        <w:adjustRightInd w:val="0"/>
        <w:snapToGrid w:val="0"/>
        <w:spacing w:line="360" w:lineRule="auto"/>
        <w:textAlignment w:val="auto"/>
        <w:rPr>
          <w:rFonts w:hint="eastAsia" w:ascii="仿宋_GB2312" w:hAnsi="仿宋_GB2312" w:eastAsia="仿宋_GB2312" w:cs="仿宋_GB2312"/>
          <w:color w:val="000000"/>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adjustRightInd w:val="0"/>
        <w:snapToGrid w:val="0"/>
        <w:spacing w:line="360" w:lineRule="auto"/>
        <w:jc w:val="center"/>
        <w:rPr>
          <w:rFonts w:ascii="黑体" w:hAnsi="Times New Roman" w:eastAsia="黑体" w:cs="黑体"/>
          <w:spacing w:val="-38"/>
          <w:sz w:val="32"/>
          <w:szCs w:val="32"/>
        </w:rPr>
      </w:pPr>
      <w:r>
        <w:rPr>
          <w:rFonts w:hint="eastAsia" w:ascii="黑体" w:hAnsi="Times New Roman" w:eastAsia="黑体" w:cs="黑体"/>
          <w:sz w:val="32"/>
          <w:szCs w:val="32"/>
        </w:rPr>
        <w:t>第二部分</w:t>
      </w:r>
    </w:p>
    <w:p>
      <w:pPr>
        <w:adjustRightInd w:val="0"/>
        <w:snapToGrid w:val="0"/>
        <w:spacing w:line="360" w:lineRule="auto"/>
        <w:jc w:val="center"/>
        <w:rPr>
          <w:rFonts w:ascii="黑体" w:hAnsi="黑体" w:eastAsia="黑体"/>
          <w:sz w:val="32"/>
          <w:szCs w:val="32"/>
        </w:rPr>
      </w:pPr>
      <w:r>
        <w:rPr>
          <w:rFonts w:hint="eastAsia" w:ascii="黑体" w:hAnsi="黑体" w:eastAsia="黑体"/>
          <w:sz w:val="32"/>
          <w:szCs w:val="32"/>
          <w:lang w:eastAsia="zh-CN"/>
        </w:rPr>
        <w:t>信阳市浉河管理处</w:t>
      </w:r>
      <w:r>
        <w:rPr>
          <w:rFonts w:ascii="黑体" w:hAnsi="Times New Roman" w:eastAsia="黑体" w:cs="黑体"/>
          <w:sz w:val="32"/>
          <w:szCs w:val="32"/>
        </w:rPr>
        <w:t>2022</w:t>
      </w:r>
      <w:r>
        <w:rPr>
          <w:rFonts w:hint="eastAsia" w:ascii="黑体" w:hAnsi="Times New Roman" w:eastAsia="黑体" w:cs="黑体"/>
          <w:sz w:val="32"/>
          <w:szCs w:val="32"/>
        </w:rPr>
        <w:t>年度部门预算情况说明</w:t>
      </w:r>
    </w:p>
    <w:p>
      <w:pPr>
        <w:adjustRightInd w:val="0"/>
        <w:snapToGrid w:val="0"/>
        <w:spacing w:line="360" w:lineRule="auto"/>
        <w:ind w:firstLine="640" w:firstLineChars="200"/>
        <w:rPr>
          <w:rFonts w:ascii="黑体" w:hAnsi="黑体" w:eastAsia="黑体"/>
          <w:sz w:val="32"/>
          <w:szCs w:val="32"/>
        </w:rPr>
      </w:pPr>
    </w:p>
    <w:p>
      <w:pPr>
        <w:adjustRightInd w:val="0"/>
        <w:snapToGrid w:val="0"/>
        <w:spacing w:line="360" w:lineRule="auto"/>
        <w:ind w:firstLine="640" w:firstLineChars="200"/>
        <w:rPr>
          <w:rFonts w:ascii="黑体" w:hAnsi="黑体" w:eastAsia="黑体"/>
          <w:sz w:val="32"/>
          <w:szCs w:val="32"/>
        </w:rPr>
      </w:pPr>
      <w:r>
        <w:rPr>
          <w:rFonts w:hint="eastAsia" w:ascii="黑体" w:hAnsi="黑体" w:eastAsia="黑体"/>
          <w:sz w:val="32"/>
          <w:szCs w:val="32"/>
        </w:rPr>
        <w:t>一、收入支出预算总体情况说明</w:t>
      </w:r>
    </w:p>
    <w:p>
      <w:pPr>
        <w:adjustRightInd w:val="0"/>
        <w:snapToGrid w:val="0"/>
        <w:spacing w:line="360" w:lineRule="auto"/>
        <w:ind w:firstLine="640" w:firstLineChars="200"/>
        <w:rPr>
          <w:rFonts w:ascii="仿宋_GB2312" w:hAnsi="宋体" w:eastAsia="仿宋_GB2312" w:cs="Courier New"/>
          <w:sz w:val="32"/>
          <w:szCs w:val="32"/>
          <w:highlight w:val="none"/>
        </w:rPr>
      </w:pPr>
      <w:r>
        <w:rPr>
          <w:rFonts w:hint="eastAsia" w:ascii="仿宋_GB2312" w:hAnsi="宋体" w:eastAsia="仿宋_GB2312" w:cs="Courier New"/>
          <w:sz w:val="32"/>
          <w:szCs w:val="32"/>
          <w:lang w:eastAsia="zh-CN"/>
        </w:rPr>
        <w:t>信阳市浉河管理处</w:t>
      </w:r>
      <w:r>
        <w:rPr>
          <w:rFonts w:hint="eastAsia" w:ascii="仿宋_GB2312" w:hAnsi="宋体" w:eastAsia="仿宋_GB2312" w:cs="Courier New"/>
          <w:sz w:val="32"/>
          <w:szCs w:val="32"/>
        </w:rPr>
        <w:t>2022年收入总计</w:t>
      </w:r>
      <w:r>
        <w:rPr>
          <w:rFonts w:hint="eastAsia" w:ascii="仿宋_GB2312" w:eastAsia="仿宋_GB2312"/>
          <w:sz w:val="32"/>
          <w:szCs w:val="32"/>
          <w:lang w:val="en-US" w:eastAsia="zh-CN"/>
        </w:rPr>
        <w:t>1045.42</w:t>
      </w:r>
      <w:r>
        <w:rPr>
          <w:rFonts w:hint="eastAsia" w:ascii="仿宋_GB2312" w:hAnsi="宋体" w:eastAsia="仿宋_GB2312" w:cs="Courier New"/>
          <w:sz w:val="32"/>
          <w:szCs w:val="32"/>
        </w:rPr>
        <w:t>万元，支出总计</w:t>
      </w:r>
      <w:r>
        <w:rPr>
          <w:rFonts w:hint="eastAsia" w:ascii="仿宋_GB2312" w:eastAsia="仿宋_GB2312"/>
          <w:sz w:val="32"/>
          <w:szCs w:val="32"/>
          <w:lang w:val="en-US" w:eastAsia="zh-CN"/>
        </w:rPr>
        <w:t>1045.42</w:t>
      </w:r>
      <w:r>
        <w:rPr>
          <w:rFonts w:hint="eastAsia" w:ascii="仿宋_GB2312" w:hAnsi="宋体" w:eastAsia="仿宋_GB2312" w:cs="Courier New"/>
          <w:sz w:val="32"/>
          <w:szCs w:val="32"/>
        </w:rPr>
        <w:t>万元，与2021年预算相比，</w:t>
      </w:r>
      <w:r>
        <w:rPr>
          <w:rFonts w:hint="eastAsia" w:ascii="仿宋_GB2312" w:hAnsi="宋体" w:eastAsia="仿宋_GB2312" w:cs="Courier New"/>
          <w:sz w:val="32"/>
          <w:szCs w:val="32"/>
          <w:highlight w:val="none"/>
        </w:rPr>
        <w:t>收入增加</w:t>
      </w:r>
      <w:r>
        <w:rPr>
          <w:rFonts w:hint="eastAsia" w:ascii="仿宋_GB2312" w:hAnsi="宋体" w:eastAsia="仿宋_GB2312" w:cs="Courier New"/>
          <w:sz w:val="32"/>
          <w:szCs w:val="32"/>
          <w:highlight w:val="none"/>
          <w:lang w:val="en-US" w:eastAsia="zh-CN"/>
        </w:rPr>
        <w:t>22.74</w:t>
      </w:r>
      <w:r>
        <w:rPr>
          <w:rFonts w:hint="eastAsia" w:ascii="仿宋_GB2312" w:hAnsi="宋体" w:eastAsia="仿宋_GB2312" w:cs="Courier New"/>
          <w:sz w:val="32"/>
          <w:szCs w:val="32"/>
          <w:highlight w:val="none"/>
        </w:rPr>
        <w:t>万元，增长</w:t>
      </w:r>
      <w:r>
        <w:rPr>
          <w:rFonts w:hint="eastAsia" w:ascii="仿宋_GB2312" w:eastAsia="仿宋_GB2312"/>
          <w:sz w:val="32"/>
          <w:szCs w:val="32"/>
          <w:highlight w:val="none"/>
          <w:lang w:val="en-US" w:eastAsia="zh-CN"/>
        </w:rPr>
        <w:t>2.22</w:t>
      </w:r>
      <w:r>
        <w:rPr>
          <w:rFonts w:hint="eastAsia" w:ascii="仿宋_GB2312" w:hAnsi="宋体" w:eastAsia="仿宋_GB2312" w:cs="Courier New"/>
          <w:sz w:val="32"/>
          <w:szCs w:val="32"/>
          <w:highlight w:val="none"/>
        </w:rPr>
        <w:t>%。主要原因：</w:t>
      </w:r>
      <w:r>
        <w:rPr>
          <w:rFonts w:hint="eastAsia" w:ascii="仿宋_GB2312" w:hAnsi="宋体" w:eastAsia="仿宋_GB2312" w:cs="Courier New"/>
          <w:sz w:val="32"/>
          <w:szCs w:val="32"/>
          <w:highlight w:val="none"/>
          <w:lang w:eastAsia="zh-CN"/>
        </w:rPr>
        <w:t>单位职工工资和社保等有所增长。</w:t>
      </w:r>
      <w:r>
        <w:rPr>
          <w:rFonts w:hint="eastAsia" w:ascii="仿宋_GB2312" w:hAnsi="宋体" w:eastAsia="仿宋_GB2312" w:cs="Courier New"/>
          <w:sz w:val="32"/>
          <w:szCs w:val="32"/>
          <w:highlight w:val="none"/>
        </w:rPr>
        <w:t>支出增加</w:t>
      </w:r>
      <w:r>
        <w:rPr>
          <w:rFonts w:hint="eastAsia" w:ascii="仿宋_GB2312" w:hAnsi="宋体" w:eastAsia="仿宋_GB2312" w:cs="Courier New"/>
          <w:sz w:val="32"/>
          <w:szCs w:val="32"/>
          <w:highlight w:val="none"/>
          <w:lang w:val="en-US" w:eastAsia="zh-CN"/>
        </w:rPr>
        <w:t>22.74</w:t>
      </w:r>
      <w:r>
        <w:rPr>
          <w:rFonts w:hint="eastAsia" w:ascii="仿宋_GB2312" w:hAnsi="宋体" w:eastAsia="仿宋_GB2312" w:cs="Courier New"/>
          <w:sz w:val="32"/>
          <w:szCs w:val="32"/>
          <w:highlight w:val="none"/>
        </w:rPr>
        <w:t>万元，增长</w:t>
      </w:r>
      <w:r>
        <w:rPr>
          <w:rFonts w:hint="eastAsia" w:ascii="仿宋_GB2312" w:hAnsi="宋体" w:eastAsia="仿宋_GB2312" w:cs="Courier New"/>
          <w:sz w:val="32"/>
          <w:szCs w:val="32"/>
          <w:highlight w:val="none"/>
          <w:lang w:val="en-US" w:eastAsia="zh-CN"/>
        </w:rPr>
        <w:t>2.22</w:t>
      </w:r>
      <w:r>
        <w:rPr>
          <w:rFonts w:hint="eastAsia" w:ascii="仿宋_GB2312" w:hAnsi="宋体" w:eastAsia="仿宋_GB2312" w:cs="Courier New"/>
          <w:sz w:val="32"/>
          <w:szCs w:val="32"/>
          <w:highlight w:val="none"/>
        </w:rPr>
        <w:t>%。主要原因：</w:t>
      </w:r>
      <w:r>
        <w:rPr>
          <w:rFonts w:hint="eastAsia" w:ascii="仿宋_GB2312" w:hAnsi="宋体" w:eastAsia="仿宋_GB2312" w:cs="Courier New"/>
          <w:sz w:val="32"/>
          <w:szCs w:val="32"/>
          <w:highlight w:val="none"/>
          <w:lang w:eastAsia="zh-CN"/>
        </w:rPr>
        <w:t>单位职工工资和社保等增长。</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二、收入预算总体情况说明</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宋体" w:eastAsia="仿宋_GB2312" w:cs="Courier New"/>
          <w:sz w:val="32"/>
          <w:szCs w:val="32"/>
          <w:lang w:eastAsia="zh-CN"/>
        </w:rPr>
        <w:t>信阳市浉河管理处</w:t>
      </w:r>
      <w:r>
        <w:rPr>
          <w:rFonts w:hint="eastAsia" w:ascii="仿宋_GB2312" w:hAnsi="Times New Roman" w:eastAsia="仿宋_GB2312"/>
          <w:sz w:val="32"/>
          <w:szCs w:val="32"/>
        </w:rPr>
        <w:t>2022年收入合计</w:t>
      </w:r>
      <w:r>
        <w:rPr>
          <w:rFonts w:hint="eastAsia" w:ascii="仿宋_GB2312" w:eastAsia="仿宋_GB2312"/>
          <w:sz w:val="32"/>
          <w:szCs w:val="32"/>
          <w:lang w:val="en-US" w:eastAsia="zh-CN"/>
        </w:rPr>
        <w:t>1045.42</w:t>
      </w:r>
      <w:r>
        <w:rPr>
          <w:rFonts w:hint="eastAsia" w:ascii="仿宋_GB2312" w:hAnsi="Times New Roman" w:eastAsia="仿宋_GB2312"/>
          <w:sz w:val="32"/>
          <w:szCs w:val="32"/>
        </w:rPr>
        <w:t>万元，</w:t>
      </w:r>
      <w:r>
        <w:rPr>
          <w:rFonts w:hint="eastAsia" w:ascii="仿宋_GB2312" w:eastAsia="仿宋_GB2312"/>
          <w:sz w:val="32"/>
          <w:szCs w:val="32"/>
        </w:rPr>
        <w:t>其中：一般公共预算</w:t>
      </w:r>
      <w:r>
        <w:rPr>
          <w:rFonts w:hint="eastAsia" w:ascii="仿宋_GB2312" w:eastAsia="仿宋_GB2312"/>
          <w:sz w:val="32"/>
          <w:szCs w:val="32"/>
          <w:lang w:val="en-US" w:eastAsia="zh-CN"/>
        </w:rPr>
        <w:t>1045.42</w:t>
      </w:r>
      <w:r>
        <w:rPr>
          <w:rFonts w:hint="eastAsia" w:ascii="仿宋_GB2312" w:eastAsia="仿宋_GB2312"/>
          <w:sz w:val="32"/>
          <w:szCs w:val="32"/>
        </w:rPr>
        <w:t>万元;</w:t>
      </w:r>
      <w:r>
        <w:rPr>
          <w:rFonts w:ascii="仿宋_GB2312" w:hAnsi="Times New Roman" w:eastAsia="仿宋_GB2312"/>
          <w:sz w:val="32"/>
          <w:szCs w:val="32"/>
        </w:rPr>
        <w:t xml:space="preserve"> 政府性基金收入</w:t>
      </w:r>
      <w:r>
        <w:rPr>
          <w:rFonts w:hint="eastAsia" w:ascii="仿宋_GB2312" w:eastAsia="仿宋_GB2312"/>
          <w:sz w:val="32"/>
          <w:szCs w:val="32"/>
          <w:lang w:val="en-US" w:eastAsia="zh-CN"/>
        </w:rPr>
        <w:t>0</w:t>
      </w:r>
      <w:r>
        <w:rPr>
          <w:rFonts w:ascii="仿宋_GB2312" w:hAnsi="Times New Roman" w:eastAsia="仿宋_GB2312"/>
          <w:sz w:val="32"/>
          <w:szCs w:val="32"/>
        </w:rPr>
        <w:t>万元；</w:t>
      </w:r>
      <w:r>
        <w:rPr>
          <w:rFonts w:hint="eastAsia" w:ascii="仿宋_GB2312" w:hAnsi="仿宋_GB2312" w:eastAsia="仿宋_GB2312" w:cs="仿宋_GB2312"/>
          <w:color w:val="000000"/>
          <w:sz w:val="32"/>
          <w:szCs w:val="32"/>
        </w:rPr>
        <w:t>国有资本经营预算拨款收入</w:t>
      </w:r>
      <w:r>
        <w:rPr>
          <w:rFonts w:ascii="仿宋_GB2312" w:hAnsi="仿宋_GB2312" w:eastAsia="仿宋_GB2312" w:cs="仿宋_GB2312"/>
          <w:color w:val="000000"/>
          <w:sz w:val="32"/>
          <w:szCs w:val="32"/>
        </w:rPr>
        <w:t>0.00</w:t>
      </w:r>
      <w:r>
        <w:rPr>
          <w:rFonts w:hint="eastAsia" w:ascii="仿宋_GB2312" w:hAnsi="仿宋_GB2312" w:eastAsia="仿宋_GB2312" w:cs="仿宋_GB2312"/>
          <w:color w:val="000000"/>
          <w:sz w:val="11"/>
          <w:szCs w:val="11"/>
        </w:rPr>
        <w:t xml:space="preserve"> </w:t>
      </w:r>
      <w:r>
        <w:rPr>
          <w:rFonts w:hint="eastAsia" w:ascii="仿宋_GB2312" w:hAnsi="仿宋_GB2312" w:eastAsia="仿宋_GB2312" w:cs="仿宋_GB2312"/>
          <w:color w:val="000000"/>
          <w:sz w:val="32"/>
          <w:szCs w:val="32"/>
        </w:rPr>
        <w:t>万元；财政专户管理资金收入</w:t>
      </w:r>
      <w:r>
        <w:rPr>
          <w:rFonts w:ascii="仿宋_GB2312" w:hAnsi="仿宋_GB2312" w:eastAsia="仿宋_GB2312" w:cs="仿宋_GB2312"/>
          <w:color w:val="000000"/>
          <w:sz w:val="32"/>
          <w:szCs w:val="32"/>
        </w:rPr>
        <w:t>0.00</w:t>
      </w:r>
      <w:r>
        <w:rPr>
          <w:rFonts w:hint="eastAsia" w:ascii="仿宋_GB2312" w:hAnsi="仿宋_GB2312" w:eastAsia="仿宋_GB2312" w:cs="仿宋_GB2312"/>
          <w:color w:val="000000"/>
          <w:sz w:val="11"/>
          <w:szCs w:val="11"/>
        </w:rPr>
        <w:t xml:space="preserve"> </w:t>
      </w:r>
      <w:r>
        <w:rPr>
          <w:rFonts w:hint="eastAsia" w:ascii="仿宋_GB2312" w:hAnsi="仿宋_GB2312" w:eastAsia="仿宋_GB2312" w:cs="仿宋_GB2312"/>
          <w:color w:val="000000"/>
          <w:sz w:val="32"/>
          <w:szCs w:val="32"/>
        </w:rPr>
        <w:t>万元；事业收入</w:t>
      </w:r>
      <w:r>
        <w:rPr>
          <w:rFonts w:ascii="仿宋_GB2312" w:hAnsi="仿宋_GB2312" w:eastAsia="仿宋_GB2312" w:cs="仿宋_GB2312"/>
          <w:color w:val="000000"/>
          <w:sz w:val="32"/>
          <w:szCs w:val="32"/>
        </w:rPr>
        <w:t>0.00</w:t>
      </w:r>
      <w:r>
        <w:rPr>
          <w:rFonts w:hint="eastAsia" w:ascii="仿宋_GB2312" w:hAnsi="仿宋_GB2312" w:eastAsia="仿宋_GB2312" w:cs="仿宋_GB2312"/>
          <w:color w:val="000000"/>
          <w:sz w:val="11"/>
          <w:szCs w:val="11"/>
        </w:rPr>
        <w:t xml:space="preserve"> </w:t>
      </w:r>
      <w:r>
        <w:rPr>
          <w:rFonts w:hint="eastAsia" w:ascii="仿宋_GB2312" w:hAnsi="仿宋_GB2312" w:eastAsia="仿宋_GB2312" w:cs="仿宋_GB2312"/>
          <w:color w:val="000000"/>
          <w:sz w:val="32"/>
          <w:szCs w:val="32"/>
        </w:rPr>
        <w:t>万元；事业单位经营收入</w:t>
      </w:r>
      <w:r>
        <w:rPr>
          <w:rFonts w:ascii="仿宋_GB2312" w:hAnsi="仿宋_GB2312" w:eastAsia="仿宋_GB2312" w:cs="仿宋_GB2312"/>
          <w:color w:val="000000"/>
          <w:sz w:val="32"/>
          <w:szCs w:val="32"/>
        </w:rPr>
        <w:t>0.00</w:t>
      </w:r>
      <w:r>
        <w:rPr>
          <w:rFonts w:hint="eastAsia" w:ascii="仿宋_GB2312" w:hAnsi="仿宋_GB2312" w:eastAsia="仿宋_GB2312" w:cs="仿宋_GB2312"/>
          <w:color w:val="000000"/>
          <w:sz w:val="10"/>
          <w:szCs w:val="10"/>
        </w:rPr>
        <w:t xml:space="preserve"> </w:t>
      </w:r>
      <w:r>
        <w:rPr>
          <w:rFonts w:hint="eastAsia" w:ascii="仿宋_GB2312" w:hAnsi="仿宋_GB2312" w:eastAsia="仿宋_GB2312" w:cs="仿宋_GB2312"/>
          <w:color w:val="000000"/>
          <w:sz w:val="32"/>
          <w:szCs w:val="32"/>
        </w:rPr>
        <w:t>万元；上级补助收入</w:t>
      </w:r>
      <w:r>
        <w:rPr>
          <w:rFonts w:ascii="仿宋_GB2312" w:hAnsi="仿宋_GB2312" w:eastAsia="仿宋_GB2312" w:cs="仿宋_GB2312"/>
          <w:color w:val="000000"/>
          <w:sz w:val="32"/>
          <w:szCs w:val="32"/>
        </w:rPr>
        <w:t>0.00</w:t>
      </w:r>
      <w:r>
        <w:rPr>
          <w:rFonts w:hint="eastAsia" w:ascii="仿宋_GB2312" w:hAnsi="仿宋_GB2312" w:eastAsia="仿宋_GB2312" w:cs="仿宋_GB2312"/>
          <w:color w:val="000000"/>
          <w:sz w:val="11"/>
          <w:szCs w:val="11"/>
        </w:rPr>
        <w:t xml:space="preserve"> </w:t>
      </w:r>
      <w:r>
        <w:rPr>
          <w:rFonts w:hint="eastAsia" w:ascii="仿宋_GB2312" w:hAnsi="仿宋_GB2312" w:eastAsia="仿宋_GB2312" w:cs="仿宋_GB2312"/>
          <w:color w:val="000000"/>
          <w:sz w:val="32"/>
          <w:szCs w:val="32"/>
        </w:rPr>
        <w:t>万元；附属单位上缴收入</w:t>
      </w:r>
      <w:r>
        <w:rPr>
          <w:rFonts w:ascii="仿宋_GB2312" w:hAnsi="仿宋_GB2312" w:eastAsia="仿宋_GB2312" w:cs="仿宋_GB2312"/>
          <w:color w:val="000000"/>
          <w:sz w:val="32"/>
          <w:szCs w:val="32"/>
        </w:rPr>
        <w:t>0.00</w:t>
      </w:r>
      <w:r>
        <w:rPr>
          <w:rFonts w:hint="eastAsia" w:ascii="仿宋_GB2312" w:hAnsi="仿宋_GB2312" w:eastAsia="仿宋_GB2312" w:cs="仿宋_GB2312"/>
          <w:color w:val="000000"/>
          <w:sz w:val="11"/>
          <w:szCs w:val="11"/>
        </w:rPr>
        <w:t xml:space="preserve"> </w:t>
      </w:r>
      <w:r>
        <w:rPr>
          <w:rFonts w:hint="eastAsia" w:ascii="仿宋_GB2312" w:hAnsi="仿宋_GB2312" w:eastAsia="仿宋_GB2312" w:cs="仿宋_GB2312"/>
          <w:color w:val="000000"/>
          <w:sz w:val="32"/>
          <w:szCs w:val="32"/>
        </w:rPr>
        <w:t>万元；其他收入</w:t>
      </w:r>
      <w:r>
        <w:rPr>
          <w:rFonts w:ascii="仿宋_GB2312" w:hAnsi="仿宋_GB2312" w:eastAsia="仿宋_GB2312" w:cs="仿宋_GB2312"/>
          <w:color w:val="000000"/>
          <w:sz w:val="32"/>
          <w:szCs w:val="32"/>
        </w:rPr>
        <w:t>0.00</w:t>
      </w:r>
      <w:r>
        <w:rPr>
          <w:rFonts w:hint="eastAsia" w:ascii="仿宋_GB2312" w:hAnsi="仿宋_GB2312" w:eastAsia="仿宋_GB2312" w:cs="仿宋_GB2312"/>
          <w:color w:val="000000"/>
          <w:sz w:val="11"/>
          <w:szCs w:val="11"/>
        </w:rPr>
        <w:t xml:space="preserve"> </w:t>
      </w:r>
      <w:r>
        <w:rPr>
          <w:rFonts w:hint="eastAsia" w:ascii="仿宋_GB2312" w:hAnsi="仿宋_GB2312" w:eastAsia="仿宋_GB2312" w:cs="仿宋_GB2312"/>
          <w:color w:val="000000"/>
          <w:sz w:val="32"/>
          <w:szCs w:val="32"/>
        </w:rPr>
        <w:t>万元；上年结转结余</w:t>
      </w:r>
      <w:r>
        <w:rPr>
          <w:rFonts w:ascii="仿宋_GB2312" w:hAnsi="仿宋_GB2312" w:eastAsia="仿宋_GB2312" w:cs="仿宋_GB2312"/>
          <w:color w:val="000000"/>
          <w:sz w:val="32"/>
          <w:szCs w:val="32"/>
        </w:rPr>
        <w:t>0.00</w:t>
      </w:r>
      <w:r>
        <w:rPr>
          <w:rFonts w:hint="eastAsia" w:ascii="仿宋_GB2312" w:hAnsi="仿宋_GB2312" w:eastAsia="仿宋_GB2312" w:cs="仿宋_GB2312"/>
          <w:color w:val="000000"/>
          <w:sz w:val="11"/>
          <w:szCs w:val="11"/>
        </w:rPr>
        <w:t xml:space="preserve"> </w:t>
      </w:r>
      <w:r>
        <w:rPr>
          <w:rFonts w:hint="eastAsia" w:ascii="仿宋_GB2312" w:hAnsi="仿宋_GB2312" w:eastAsia="仿宋_GB2312" w:cs="仿宋_GB2312"/>
          <w:color w:val="000000"/>
          <w:sz w:val="32"/>
          <w:szCs w:val="32"/>
        </w:rPr>
        <w:t>万元。</w:t>
      </w:r>
    </w:p>
    <w:p>
      <w:pPr>
        <w:spacing w:line="560" w:lineRule="exact"/>
        <w:ind w:firstLine="640" w:firstLineChars="200"/>
        <w:rPr>
          <w:rFonts w:hint="eastAsia" w:ascii="仿宋_GB2312" w:eastAsia="仿宋_GB2312"/>
          <w:sz w:val="32"/>
          <w:szCs w:val="32"/>
        </w:rPr>
      </w:pPr>
      <w:r>
        <w:rPr>
          <w:rFonts w:hint="eastAsia" w:ascii="黑体" w:hAnsi="黑体" w:eastAsia="黑体"/>
          <w:sz w:val="32"/>
          <w:szCs w:val="32"/>
        </w:rPr>
        <w:t>三、支出预算总体情况说明</w:t>
      </w:r>
    </w:p>
    <w:p>
      <w:pPr>
        <w:spacing w:line="560" w:lineRule="exact"/>
        <w:ind w:firstLine="640" w:firstLineChars="200"/>
        <w:rPr>
          <w:rFonts w:hint="eastAsia" w:ascii="仿宋_GB2312" w:eastAsia="仿宋_GB2312"/>
          <w:sz w:val="32"/>
          <w:szCs w:val="32"/>
        </w:rPr>
      </w:pPr>
      <w:r>
        <w:rPr>
          <w:rFonts w:hint="eastAsia" w:ascii="仿宋_GB2312" w:hAnsi="宋体" w:eastAsia="仿宋_GB2312" w:cs="Courier New"/>
          <w:sz w:val="32"/>
          <w:szCs w:val="32"/>
          <w:lang w:eastAsia="zh-CN"/>
        </w:rPr>
        <w:t>信阳市浉河管理处</w:t>
      </w:r>
      <w:r>
        <w:rPr>
          <w:rFonts w:hint="eastAsia" w:ascii="仿宋_GB2312" w:hAnsi="宋体" w:eastAsia="仿宋_GB2312" w:cs="Courier New"/>
          <w:sz w:val="32"/>
          <w:szCs w:val="32"/>
        </w:rPr>
        <w:t>2022年支出合计</w:t>
      </w:r>
      <w:r>
        <w:rPr>
          <w:rFonts w:hint="eastAsia" w:ascii="仿宋_GB2312" w:eastAsia="仿宋_GB2312"/>
          <w:sz w:val="32"/>
          <w:szCs w:val="32"/>
          <w:lang w:val="en-US" w:eastAsia="zh-CN"/>
        </w:rPr>
        <w:t>1045.42</w:t>
      </w:r>
      <w:r>
        <w:rPr>
          <w:rFonts w:hint="eastAsia" w:ascii="仿宋_GB2312" w:hAnsi="宋体" w:eastAsia="仿宋_GB2312" w:cs="Courier New"/>
          <w:sz w:val="32"/>
          <w:szCs w:val="32"/>
        </w:rPr>
        <w:t>万元，其中：基本支出</w:t>
      </w:r>
      <w:r>
        <w:rPr>
          <w:rFonts w:hint="eastAsia" w:ascii="仿宋_GB2312" w:eastAsia="仿宋_GB2312"/>
          <w:sz w:val="32"/>
          <w:szCs w:val="32"/>
          <w:lang w:val="en-US" w:eastAsia="zh-CN"/>
        </w:rPr>
        <w:t>445.42</w:t>
      </w:r>
      <w:r>
        <w:rPr>
          <w:rFonts w:hint="eastAsia" w:ascii="仿宋_GB2312" w:hAnsi="宋体" w:eastAsia="仿宋_GB2312" w:cs="Courier New"/>
          <w:sz w:val="32"/>
          <w:szCs w:val="32"/>
        </w:rPr>
        <w:t>万元，占</w:t>
      </w:r>
      <w:r>
        <w:rPr>
          <w:rFonts w:hint="eastAsia" w:ascii="仿宋_GB2312" w:eastAsia="仿宋_GB2312"/>
          <w:sz w:val="32"/>
          <w:szCs w:val="32"/>
          <w:lang w:val="en-US" w:eastAsia="zh-CN"/>
        </w:rPr>
        <w:t>42.61</w:t>
      </w:r>
      <w:r>
        <w:rPr>
          <w:rFonts w:ascii="仿宋_GB2312" w:hAnsi="宋体" w:eastAsia="仿宋_GB2312" w:cs="Courier New"/>
          <w:sz w:val="32"/>
          <w:szCs w:val="32"/>
        </w:rPr>
        <w:t>%</w:t>
      </w:r>
      <w:r>
        <w:rPr>
          <w:rFonts w:hint="eastAsia" w:ascii="仿宋_GB2312" w:hAnsi="宋体" w:eastAsia="仿宋_GB2312" w:cs="Courier New"/>
          <w:sz w:val="32"/>
          <w:szCs w:val="32"/>
        </w:rPr>
        <w:t>；项目支出</w:t>
      </w:r>
      <w:r>
        <w:rPr>
          <w:rFonts w:hint="eastAsia" w:ascii="仿宋_GB2312" w:eastAsia="仿宋_GB2312"/>
          <w:sz w:val="32"/>
          <w:szCs w:val="32"/>
          <w:lang w:val="en-US" w:eastAsia="zh-CN"/>
        </w:rPr>
        <w:t>600.00</w:t>
      </w:r>
      <w:r>
        <w:rPr>
          <w:rFonts w:hint="eastAsia" w:ascii="仿宋_GB2312" w:hAnsi="宋体" w:eastAsia="仿宋_GB2312" w:cs="Courier New"/>
          <w:sz w:val="32"/>
          <w:szCs w:val="32"/>
        </w:rPr>
        <w:t>万元，占</w:t>
      </w:r>
      <w:r>
        <w:rPr>
          <w:rFonts w:hint="eastAsia" w:ascii="仿宋_GB2312" w:eastAsia="仿宋_GB2312"/>
          <w:sz w:val="32"/>
          <w:szCs w:val="32"/>
          <w:lang w:val="en-US" w:eastAsia="zh-CN"/>
        </w:rPr>
        <w:t>57.39</w:t>
      </w:r>
      <w:r>
        <w:rPr>
          <w:rFonts w:ascii="仿宋_GB2312" w:hAnsi="宋体" w:eastAsia="仿宋_GB2312" w:cs="Courier New"/>
          <w:sz w:val="32"/>
          <w:szCs w:val="32"/>
        </w:rPr>
        <w:t>%</w:t>
      </w:r>
      <w:r>
        <w:rPr>
          <w:rFonts w:hint="eastAsia" w:ascii="仿宋_GB2312" w:hAnsi="宋体" w:eastAsia="仿宋_GB2312" w:cs="Courier New"/>
          <w:sz w:val="32"/>
          <w:szCs w:val="32"/>
        </w:rPr>
        <w:t>。</w:t>
      </w:r>
    </w:p>
    <w:p>
      <w:pPr>
        <w:spacing w:line="560" w:lineRule="exact"/>
        <w:ind w:firstLine="640" w:firstLineChars="200"/>
        <w:rPr>
          <w:rFonts w:hint="eastAsia" w:ascii="仿宋_GB2312" w:eastAsia="仿宋_GB2312"/>
          <w:sz w:val="32"/>
          <w:szCs w:val="32"/>
        </w:rPr>
      </w:pPr>
      <w:r>
        <w:rPr>
          <w:rFonts w:hint="eastAsia" w:ascii="黑体" w:hAnsi="黑体" w:eastAsia="黑体"/>
          <w:sz w:val="32"/>
          <w:szCs w:val="32"/>
        </w:rPr>
        <w:t>四、财政拨款收入支出预算总体情况说明</w:t>
      </w:r>
    </w:p>
    <w:p>
      <w:pPr>
        <w:spacing w:line="560" w:lineRule="exact"/>
        <w:ind w:firstLine="640" w:firstLineChars="200"/>
        <w:rPr>
          <w:rFonts w:hint="eastAsia" w:ascii="仿宋_GB2312" w:hAnsi="宋体" w:eastAsia="仿宋_GB2312" w:cs="Courier New"/>
          <w:sz w:val="32"/>
          <w:szCs w:val="32"/>
          <w:highlight w:val="green"/>
        </w:rPr>
      </w:pPr>
      <w:r>
        <w:rPr>
          <w:rFonts w:hint="eastAsia" w:ascii="仿宋_GB2312" w:hAnsi="宋体" w:eastAsia="仿宋_GB2312" w:cs="Courier New"/>
          <w:sz w:val="32"/>
          <w:szCs w:val="32"/>
          <w:lang w:eastAsia="zh-CN"/>
        </w:rPr>
        <w:t>信阳市浉河管理处</w:t>
      </w:r>
      <w:r>
        <w:rPr>
          <w:rFonts w:ascii="仿宋_GB2312" w:hAnsi="宋体" w:eastAsia="仿宋_GB2312" w:cs="Courier New"/>
          <w:sz w:val="32"/>
          <w:szCs w:val="32"/>
        </w:rPr>
        <w:t>2022年</w:t>
      </w:r>
      <w:r>
        <w:rPr>
          <w:rFonts w:hint="eastAsia" w:ascii="仿宋_GB2312" w:hAnsi="宋体" w:eastAsia="仿宋_GB2312" w:cs="Courier New"/>
          <w:sz w:val="32"/>
          <w:szCs w:val="32"/>
        </w:rPr>
        <w:t>财政拨款收支预算</w:t>
      </w:r>
      <w:r>
        <w:rPr>
          <w:rFonts w:hint="eastAsia" w:ascii="仿宋_GB2312" w:eastAsia="仿宋_GB2312"/>
          <w:sz w:val="32"/>
          <w:szCs w:val="32"/>
          <w:lang w:val="en-US" w:eastAsia="zh-CN"/>
        </w:rPr>
        <w:t>1045.42</w:t>
      </w:r>
      <w:r>
        <w:rPr>
          <w:rFonts w:hint="eastAsia" w:ascii="仿宋_GB2312" w:hAnsi="宋体" w:eastAsia="仿宋_GB2312" w:cs="Courier New"/>
          <w:sz w:val="32"/>
          <w:szCs w:val="32"/>
        </w:rPr>
        <w:t>万元，与</w:t>
      </w:r>
      <w:r>
        <w:rPr>
          <w:rFonts w:ascii="仿宋_GB2312" w:hAnsi="宋体" w:eastAsia="仿宋_GB2312" w:cs="Courier New"/>
          <w:sz w:val="32"/>
          <w:szCs w:val="32"/>
        </w:rPr>
        <w:t xml:space="preserve"> 2021</w:t>
      </w:r>
      <w:r>
        <w:rPr>
          <w:rFonts w:hint="eastAsia" w:ascii="仿宋_GB2312" w:hAnsi="宋体" w:eastAsia="仿宋_GB2312" w:cs="Courier New"/>
          <w:sz w:val="32"/>
          <w:szCs w:val="32"/>
        </w:rPr>
        <w:t>年相比，</w:t>
      </w:r>
      <w:r>
        <w:rPr>
          <w:rFonts w:hint="eastAsia" w:ascii="仿宋_GB2312" w:hAnsi="宋体" w:eastAsia="仿宋_GB2312" w:cs="Courier New"/>
          <w:color w:val="auto"/>
          <w:sz w:val="32"/>
          <w:szCs w:val="32"/>
          <w:highlight w:val="none"/>
        </w:rPr>
        <w:t>财政拨款收支预算增加</w:t>
      </w:r>
      <w:r>
        <w:rPr>
          <w:rFonts w:hint="eastAsia" w:ascii="仿宋_GB2312" w:hAnsi="宋体" w:eastAsia="仿宋_GB2312" w:cs="Courier New"/>
          <w:color w:val="auto"/>
          <w:sz w:val="32"/>
          <w:szCs w:val="32"/>
          <w:highlight w:val="none"/>
          <w:lang w:val="en-US" w:eastAsia="zh-CN"/>
        </w:rPr>
        <w:t>22.74</w:t>
      </w:r>
      <w:r>
        <w:rPr>
          <w:rFonts w:hint="eastAsia" w:ascii="仿宋_GB2312" w:hAnsi="宋体" w:eastAsia="仿宋_GB2312" w:cs="Courier New"/>
          <w:sz w:val="32"/>
          <w:szCs w:val="32"/>
          <w:highlight w:val="none"/>
        </w:rPr>
        <w:t>万元，增长</w:t>
      </w:r>
      <w:r>
        <w:rPr>
          <w:rFonts w:hint="eastAsia" w:ascii="仿宋_GB2312" w:hAnsi="宋体" w:eastAsia="仿宋_GB2312" w:cs="Courier New"/>
          <w:sz w:val="32"/>
          <w:szCs w:val="32"/>
          <w:highlight w:val="none"/>
          <w:lang w:val="en-US" w:eastAsia="zh-CN"/>
        </w:rPr>
        <w:t>2.22</w:t>
      </w:r>
      <w:r>
        <w:rPr>
          <w:rFonts w:ascii="仿宋_GB2312" w:hAnsi="宋体" w:eastAsia="仿宋_GB2312" w:cs="Courier New"/>
          <w:sz w:val="32"/>
          <w:szCs w:val="32"/>
          <w:highlight w:val="none"/>
        </w:rPr>
        <w:t>%</w:t>
      </w:r>
      <w:r>
        <w:rPr>
          <w:rFonts w:hint="eastAsia" w:ascii="仿宋_GB2312" w:hAnsi="宋体" w:eastAsia="仿宋_GB2312" w:cs="Courier New"/>
          <w:sz w:val="32"/>
          <w:szCs w:val="32"/>
          <w:highlight w:val="none"/>
        </w:rPr>
        <w:t>，主要原因：</w:t>
      </w:r>
      <w:r>
        <w:rPr>
          <w:rFonts w:hint="eastAsia" w:ascii="仿宋_GB2312" w:hAnsi="宋体" w:eastAsia="仿宋_GB2312" w:cs="Courier New"/>
          <w:sz w:val="32"/>
          <w:szCs w:val="32"/>
          <w:highlight w:val="none"/>
          <w:lang w:eastAsia="zh-CN"/>
        </w:rPr>
        <w:t>单位职工工资和社保等有所增长。</w:t>
      </w:r>
    </w:p>
    <w:p>
      <w:pPr>
        <w:spacing w:line="560" w:lineRule="exact"/>
        <w:ind w:firstLine="640" w:firstLineChars="200"/>
        <w:rPr>
          <w:rFonts w:hint="eastAsia" w:ascii="仿宋_GB2312" w:eastAsia="仿宋_GB2312"/>
          <w:color w:val="FF0000"/>
          <w:sz w:val="32"/>
          <w:szCs w:val="32"/>
        </w:rPr>
      </w:pPr>
      <w:r>
        <w:rPr>
          <w:rFonts w:hint="eastAsia" w:ascii="黑体" w:hAnsi="黑体" w:eastAsia="黑体"/>
          <w:color w:val="auto"/>
          <w:sz w:val="32"/>
          <w:szCs w:val="32"/>
        </w:rPr>
        <w:t>五、一般公共预算支出预算情况说明</w:t>
      </w:r>
    </w:p>
    <w:p>
      <w:pPr>
        <w:widowControl/>
        <w:spacing w:line="600" w:lineRule="exact"/>
        <w:ind w:firstLine="640" w:firstLineChars="200"/>
        <w:rPr>
          <w:rFonts w:eastAsia="仿宋_GB2312"/>
          <w:color w:val="000000"/>
          <w:kern w:val="0"/>
          <w:sz w:val="32"/>
          <w:szCs w:val="32"/>
        </w:rPr>
      </w:pPr>
      <w:r>
        <w:rPr>
          <w:rFonts w:hint="eastAsia" w:ascii="仿宋_GB2312" w:hAnsi="宋体" w:eastAsia="仿宋_GB2312" w:cs="Courier New"/>
          <w:sz w:val="32"/>
          <w:szCs w:val="32"/>
          <w:lang w:eastAsia="zh-CN"/>
        </w:rPr>
        <w:t>信阳市浉河管理处</w:t>
      </w:r>
      <w:r>
        <w:rPr>
          <w:rFonts w:ascii="仿宋_GB2312" w:hAnsi="宋体" w:eastAsia="仿宋_GB2312" w:cs="Courier New"/>
          <w:sz w:val="32"/>
          <w:szCs w:val="32"/>
        </w:rPr>
        <w:t>2022</w:t>
      </w:r>
      <w:r>
        <w:rPr>
          <w:rFonts w:hint="eastAsia" w:ascii="仿宋_GB2312" w:hAnsi="宋体" w:eastAsia="仿宋_GB2312" w:cs="Courier New"/>
          <w:sz w:val="32"/>
          <w:szCs w:val="32"/>
        </w:rPr>
        <w:t>年一般公共预算支出年初预算为</w:t>
      </w:r>
      <w:r>
        <w:rPr>
          <w:rFonts w:hint="eastAsia" w:ascii="仿宋_GB2312" w:eastAsia="仿宋_GB2312"/>
          <w:sz w:val="32"/>
          <w:szCs w:val="32"/>
          <w:lang w:val="en-US" w:eastAsia="zh-CN"/>
        </w:rPr>
        <w:t>1045.42</w:t>
      </w:r>
      <w:r>
        <w:rPr>
          <w:rFonts w:hint="eastAsia" w:ascii="仿宋_GB2312" w:hAnsi="宋体" w:eastAsia="仿宋_GB2312" w:cs="Courier New"/>
          <w:sz w:val="32"/>
          <w:szCs w:val="32"/>
        </w:rPr>
        <w:t>万元。</w:t>
      </w:r>
      <w:r>
        <w:rPr>
          <w:rFonts w:eastAsia="仿宋_GB2312"/>
          <w:color w:val="000000"/>
          <w:kern w:val="0"/>
          <w:sz w:val="32"/>
          <w:szCs w:val="32"/>
        </w:rPr>
        <w:t>主要用于以下方面：人员工资及商品服务支出</w:t>
      </w:r>
      <w:r>
        <w:rPr>
          <w:rFonts w:hint="eastAsia" w:ascii="仿宋_GB2312" w:hAnsi="宋体" w:eastAsia="仿宋_GB2312" w:cs="Courier New"/>
          <w:sz w:val="32"/>
          <w:szCs w:val="32"/>
          <w:lang w:val="en-US" w:eastAsia="zh-CN"/>
        </w:rPr>
        <w:t>415.34</w:t>
      </w:r>
      <w:r>
        <w:rPr>
          <w:rFonts w:ascii="仿宋_GB2312" w:hAnsi="宋体" w:eastAsia="仿宋_GB2312" w:cs="Courier New"/>
          <w:sz w:val="32"/>
          <w:szCs w:val="32"/>
        </w:rPr>
        <w:t>万元，占年初预算</w:t>
      </w:r>
      <w:r>
        <w:rPr>
          <w:rFonts w:hint="eastAsia" w:ascii="仿宋_GB2312" w:hAnsi="宋体" w:eastAsia="仿宋_GB2312" w:cs="Courier New"/>
          <w:sz w:val="32"/>
          <w:szCs w:val="32"/>
          <w:lang w:val="en-US" w:eastAsia="zh-CN"/>
        </w:rPr>
        <w:t>39.73</w:t>
      </w:r>
      <w:r>
        <w:rPr>
          <w:rFonts w:ascii="仿宋_GB2312" w:hAnsi="宋体" w:eastAsia="仿宋_GB2312" w:cs="Courier New"/>
          <w:sz w:val="32"/>
          <w:szCs w:val="32"/>
        </w:rPr>
        <w:t>%；</w:t>
      </w:r>
      <w:r>
        <w:rPr>
          <w:rFonts w:eastAsia="仿宋_GB2312"/>
          <w:color w:val="000000"/>
          <w:kern w:val="0"/>
          <w:sz w:val="32"/>
          <w:szCs w:val="32"/>
        </w:rPr>
        <w:t>教育</w:t>
      </w:r>
      <w:r>
        <w:rPr>
          <w:rFonts w:hint="eastAsia" w:eastAsia="仿宋_GB2312"/>
          <w:color w:val="000000"/>
          <w:kern w:val="0"/>
          <w:sz w:val="32"/>
          <w:szCs w:val="32"/>
        </w:rPr>
        <w:t>及培训</w:t>
      </w:r>
      <w:r>
        <w:rPr>
          <w:rFonts w:eastAsia="仿宋_GB2312"/>
          <w:color w:val="000000"/>
          <w:kern w:val="0"/>
          <w:sz w:val="32"/>
          <w:szCs w:val="32"/>
        </w:rPr>
        <w:t>支出</w:t>
      </w:r>
      <w:r>
        <w:rPr>
          <w:rFonts w:hint="eastAsia" w:eastAsia="仿宋_GB2312"/>
          <w:color w:val="000000"/>
          <w:kern w:val="0"/>
          <w:sz w:val="32"/>
          <w:szCs w:val="32"/>
        </w:rPr>
        <w:t>0.00</w:t>
      </w:r>
      <w:r>
        <w:rPr>
          <w:rFonts w:eastAsia="仿宋_GB2312"/>
          <w:color w:val="000000"/>
          <w:kern w:val="0"/>
          <w:sz w:val="32"/>
          <w:szCs w:val="32"/>
        </w:rPr>
        <w:t>万元，占年初预算</w:t>
      </w:r>
      <w:r>
        <w:rPr>
          <w:rFonts w:hint="eastAsia" w:eastAsia="仿宋_GB2312"/>
          <w:color w:val="000000"/>
          <w:kern w:val="0"/>
          <w:sz w:val="32"/>
          <w:szCs w:val="32"/>
        </w:rPr>
        <w:t>0.00</w:t>
      </w:r>
      <w:r>
        <w:rPr>
          <w:rFonts w:eastAsia="仿宋_GB2312"/>
          <w:color w:val="000000"/>
          <w:kern w:val="0"/>
          <w:sz w:val="32"/>
          <w:szCs w:val="32"/>
        </w:rPr>
        <w:t>%；</w:t>
      </w:r>
      <w:r>
        <w:rPr>
          <w:rFonts w:hint="eastAsia" w:ascii="仿宋_GB2312" w:hAnsi="宋体" w:eastAsia="仿宋_GB2312" w:cs="Courier New"/>
          <w:sz w:val="32"/>
          <w:szCs w:val="32"/>
          <w:lang w:eastAsia="zh-CN"/>
        </w:rPr>
        <w:t>其他运转</w:t>
      </w:r>
      <w:r>
        <w:rPr>
          <w:rFonts w:hint="eastAsia" w:ascii="仿宋_GB2312" w:hAnsi="宋体" w:eastAsia="仿宋_GB2312" w:cs="Courier New"/>
          <w:sz w:val="32"/>
          <w:szCs w:val="32"/>
        </w:rPr>
        <w:t>类项目</w:t>
      </w:r>
      <w:r>
        <w:rPr>
          <w:rFonts w:ascii="仿宋_GB2312" w:hAnsi="宋体" w:eastAsia="仿宋_GB2312" w:cs="Courier New"/>
          <w:sz w:val="32"/>
          <w:szCs w:val="32"/>
        </w:rPr>
        <w:t>支出</w:t>
      </w:r>
      <w:r>
        <w:rPr>
          <w:rFonts w:hint="eastAsia" w:ascii="仿宋_GB2312" w:hAnsi="宋体" w:eastAsia="仿宋_GB2312" w:cs="Courier New"/>
          <w:sz w:val="32"/>
          <w:szCs w:val="32"/>
          <w:lang w:val="en-US" w:eastAsia="zh-CN"/>
        </w:rPr>
        <w:t>600.00</w:t>
      </w:r>
      <w:r>
        <w:rPr>
          <w:rFonts w:ascii="仿宋_GB2312" w:hAnsi="宋体" w:eastAsia="仿宋_GB2312" w:cs="Courier New"/>
          <w:sz w:val="32"/>
          <w:szCs w:val="32"/>
        </w:rPr>
        <w:t>万元，占年初预算</w:t>
      </w:r>
      <w:r>
        <w:rPr>
          <w:rFonts w:hint="eastAsia" w:ascii="仿宋_GB2312" w:hAnsi="宋体" w:eastAsia="仿宋_GB2312" w:cs="Courier New"/>
          <w:sz w:val="32"/>
          <w:szCs w:val="32"/>
          <w:lang w:val="en-US" w:eastAsia="zh-CN"/>
        </w:rPr>
        <w:t>57.39</w:t>
      </w:r>
      <w:r>
        <w:rPr>
          <w:rFonts w:ascii="仿宋_GB2312" w:hAnsi="宋体" w:eastAsia="仿宋_GB2312" w:cs="Courier New"/>
          <w:sz w:val="32"/>
          <w:szCs w:val="32"/>
        </w:rPr>
        <w:t>%</w:t>
      </w:r>
      <w:r>
        <w:rPr>
          <w:rFonts w:hint="eastAsia" w:ascii="仿宋_GB2312" w:hAnsi="宋体" w:eastAsia="仿宋_GB2312" w:cs="Courier New"/>
          <w:sz w:val="32"/>
          <w:szCs w:val="32"/>
          <w:lang w:eastAsia="zh-CN"/>
        </w:rPr>
        <w:t>。</w:t>
      </w:r>
      <w:r>
        <w:rPr>
          <w:rFonts w:eastAsia="仿宋_GB2312"/>
          <w:color w:val="000000"/>
          <w:kern w:val="0"/>
          <w:sz w:val="32"/>
          <w:szCs w:val="32"/>
        </w:rPr>
        <w:t>住房保障类支出</w:t>
      </w:r>
      <w:r>
        <w:rPr>
          <w:rFonts w:hint="eastAsia" w:eastAsia="仿宋_GB2312"/>
          <w:color w:val="000000"/>
          <w:kern w:val="0"/>
          <w:sz w:val="32"/>
          <w:szCs w:val="32"/>
          <w:lang w:val="en-US" w:eastAsia="zh-CN"/>
        </w:rPr>
        <w:t>30.08</w:t>
      </w:r>
      <w:r>
        <w:rPr>
          <w:rFonts w:eastAsia="仿宋_GB2312"/>
          <w:color w:val="000000"/>
          <w:kern w:val="0"/>
          <w:sz w:val="32"/>
          <w:szCs w:val="32"/>
        </w:rPr>
        <w:t>万元，占年初预算</w:t>
      </w:r>
      <w:r>
        <w:rPr>
          <w:rFonts w:hint="eastAsia" w:eastAsia="仿宋_GB2312"/>
          <w:color w:val="000000"/>
          <w:kern w:val="0"/>
          <w:sz w:val="32"/>
          <w:szCs w:val="32"/>
          <w:lang w:val="en-US" w:eastAsia="zh-CN"/>
        </w:rPr>
        <w:t>2.88</w:t>
      </w:r>
      <w:r>
        <w:rPr>
          <w:rFonts w:eastAsia="仿宋_GB2312"/>
          <w:color w:val="000000"/>
          <w:kern w:val="0"/>
          <w:sz w:val="32"/>
          <w:szCs w:val="32"/>
        </w:rPr>
        <w:t>%。</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六、一般公共预算基本支出预算情况说明</w:t>
      </w:r>
    </w:p>
    <w:p>
      <w:pPr>
        <w:spacing w:line="600" w:lineRule="exact"/>
        <w:ind w:firstLine="645"/>
        <w:rPr>
          <w:rFonts w:eastAsia="仿宋_GB2312"/>
          <w:color w:val="000000"/>
          <w:sz w:val="32"/>
          <w:szCs w:val="32"/>
        </w:rPr>
      </w:pPr>
      <w:r>
        <w:rPr>
          <w:rFonts w:hint="eastAsia" w:ascii="仿宋_GB2312" w:eastAsia="仿宋_GB2312"/>
          <w:sz w:val="32"/>
          <w:szCs w:val="32"/>
          <w:lang w:val="en-US" w:eastAsia="zh-CN"/>
        </w:rPr>
        <w:t>信阳市浉河管理处2022年一般公共预算基本支出445.42万元，其中：人员经费385.14万元，主要包括：基本工资、津贴补贴、奖金、社会保障缴费、绩效工资、离休费、退休费、遗属补助、住房公积金等；公用经费60.28万</w:t>
      </w:r>
      <w:r>
        <w:rPr>
          <w:rFonts w:eastAsia="仿宋_GB2312"/>
          <w:color w:val="000000"/>
          <w:sz w:val="32"/>
          <w:szCs w:val="32"/>
        </w:rPr>
        <w:t>元，主要包括：办公费、印刷费、咨询费、手续费、水费、电费、邮电费、取暖费、物业管理费、差旅费、因公出国（境）费、维修（护）费、租赁费、会议费、培训费、公务接待费、专用材料费、劳务费、工会经费、福利费、公务用车运行维护费、其他交通费用等。</w:t>
      </w:r>
    </w:p>
    <w:p>
      <w:pPr>
        <w:spacing w:line="560" w:lineRule="exact"/>
        <w:ind w:firstLine="640" w:firstLineChars="200"/>
        <w:rPr>
          <w:rFonts w:hint="eastAsia" w:ascii="仿宋_GB2312" w:eastAsia="仿宋_GB2312"/>
          <w:sz w:val="32"/>
          <w:szCs w:val="32"/>
        </w:rPr>
      </w:pPr>
      <w:r>
        <w:rPr>
          <w:rFonts w:hint="eastAsia" w:ascii="黑体" w:hAnsi="Times New Roman" w:eastAsia="黑体" w:cs="黑体"/>
          <w:kern w:val="0"/>
          <w:sz w:val="32"/>
          <w:szCs w:val="32"/>
        </w:rPr>
        <w:t>七、政府性基金预算支出预算情况说明</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信阳市浉河管理处 202</w:t>
      </w:r>
      <w:r>
        <w:rPr>
          <w:rFonts w:hint="eastAsia" w:ascii="仿宋_GB2312" w:eastAsia="仿宋_GB2312"/>
          <w:sz w:val="32"/>
          <w:szCs w:val="32"/>
          <w:lang w:val="en-US" w:eastAsia="zh-CN"/>
        </w:rPr>
        <w:t>2</w:t>
      </w:r>
      <w:r>
        <w:rPr>
          <w:rFonts w:hint="eastAsia" w:ascii="仿宋_GB2312" w:eastAsia="仿宋_GB2312"/>
          <w:sz w:val="32"/>
          <w:szCs w:val="32"/>
        </w:rPr>
        <w:t xml:space="preserve">年本部门没有政府性基金预算拨款收入，也没有政府性基金预算安排的支出，故无数据情况说明。 </w:t>
      </w:r>
    </w:p>
    <w:p>
      <w:pPr>
        <w:spacing w:line="560" w:lineRule="exact"/>
        <w:ind w:firstLine="640" w:firstLineChars="200"/>
        <w:rPr>
          <w:rFonts w:hint="eastAsia" w:ascii="仿宋_GB2312" w:eastAsia="仿宋_GB2312"/>
          <w:sz w:val="32"/>
          <w:szCs w:val="32"/>
        </w:rPr>
      </w:pPr>
      <w:r>
        <w:rPr>
          <w:rFonts w:hint="eastAsia" w:ascii="黑体" w:hAnsi="Times New Roman" w:eastAsia="黑体" w:cs="黑体"/>
          <w:kern w:val="0"/>
          <w:sz w:val="32"/>
          <w:szCs w:val="32"/>
        </w:rPr>
        <w:t>八、 “三公”经费支出预算情况说明</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信阳市浉河管理处2022年“三公”经费预算为</w:t>
      </w:r>
      <w:r>
        <w:rPr>
          <w:rFonts w:hint="eastAsia" w:ascii="仿宋_GB2312" w:eastAsia="仿宋_GB2312"/>
          <w:sz w:val="32"/>
          <w:szCs w:val="32"/>
          <w:lang w:val="en-US" w:eastAsia="zh-CN"/>
        </w:rPr>
        <w:t>20.00</w:t>
      </w:r>
      <w:r>
        <w:rPr>
          <w:rFonts w:hint="eastAsia" w:ascii="仿宋_GB2312" w:eastAsia="仿宋_GB2312"/>
          <w:sz w:val="32"/>
          <w:szCs w:val="32"/>
        </w:rPr>
        <w:t>万元。2022年“三公”经费支出预算数比 2021年增加</w:t>
      </w:r>
      <w:r>
        <w:rPr>
          <w:rFonts w:hint="eastAsia" w:ascii="仿宋_GB2312" w:eastAsia="仿宋_GB2312"/>
          <w:sz w:val="32"/>
          <w:szCs w:val="32"/>
          <w:lang w:val="en-US" w:eastAsia="zh-CN"/>
        </w:rPr>
        <w:t>0.00</w:t>
      </w:r>
      <w:r>
        <w:rPr>
          <w:rFonts w:hint="eastAsia" w:ascii="仿宋_GB2312" w:eastAsia="仿宋_GB2312"/>
          <w:sz w:val="32"/>
          <w:szCs w:val="32"/>
        </w:rPr>
        <w:t>万元。</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具体支出情况如下：</w:t>
      </w:r>
    </w:p>
    <w:p>
      <w:pPr>
        <w:widowControl/>
        <w:spacing w:line="580" w:lineRule="exact"/>
        <w:ind w:firstLine="639" w:firstLineChars="200"/>
        <w:rPr>
          <w:rFonts w:hint="eastAsia" w:ascii="仿宋_GB2312" w:hAnsi="仿宋_GB2312" w:eastAsia="仿宋_GB2312" w:cs="仿宋_GB2312"/>
          <w:color w:val="000000"/>
          <w:sz w:val="32"/>
          <w:szCs w:val="32"/>
        </w:rPr>
      </w:pPr>
      <w:r>
        <w:rPr>
          <w:rFonts w:hint="eastAsia" w:ascii="仿宋_GB2312" w:hAnsi="Times New Roman" w:eastAsia="仿宋_GB2312" w:cs="仿宋_GB2312"/>
          <w:b/>
          <w:spacing w:val="-1"/>
          <w:kern w:val="0"/>
          <w:sz w:val="32"/>
          <w:szCs w:val="32"/>
        </w:rPr>
        <w:t>（一）因公出国（境）费</w:t>
      </w:r>
      <w:r>
        <w:rPr>
          <w:rFonts w:hint="eastAsia" w:ascii="仿宋_GB2312" w:eastAsia="仿宋_GB2312"/>
          <w:sz w:val="32"/>
          <w:szCs w:val="32"/>
          <w:lang w:val="en-US" w:eastAsia="zh-CN"/>
        </w:rPr>
        <w:t>0.00</w:t>
      </w:r>
      <w:r>
        <w:rPr>
          <w:rFonts w:hint="eastAsia" w:ascii="仿宋_GB2312" w:hAnsi="Times New Roman" w:eastAsia="仿宋_GB2312" w:cs="仿宋_GB2312"/>
          <w:spacing w:val="-1"/>
          <w:kern w:val="0"/>
          <w:sz w:val="32"/>
          <w:szCs w:val="32"/>
        </w:rPr>
        <w:t>万元，</w:t>
      </w:r>
      <w:bookmarkStart w:id="3" w:name="PO_part2A9IncReason2"/>
      <w:r>
        <w:rPr>
          <w:rFonts w:hint="eastAsia" w:eastAsia="仿宋_GB2312"/>
          <w:color w:val="000000"/>
          <w:sz w:val="32"/>
          <w:szCs w:val="32"/>
        </w:rPr>
        <w:t>主要用于单位工作人</w:t>
      </w:r>
      <w:r>
        <w:rPr>
          <w:rFonts w:hint="eastAsia" w:ascii="仿宋_GB2312" w:hAnsi="宋体" w:eastAsia="仿宋_GB2312" w:cs="Courier New"/>
          <w:sz w:val="32"/>
          <w:szCs w:val="32"/>
        </w:rPr>
        <w:t>员公务出国（境）的住宿费、旅费、伙食补助费、杂费、培训费等支出。</w:t>
      </w:r>
      <w:r>
        <w:rPr>
          <w:rFonts w:hint="eastAsia" w:ascii="仿宋_GB2312" w:hAnsi="宋体" w:eastAsia="仿宋_GB2312" w:cs="Courier New"/>
          <w:sz w:val="32"/>
          <w:szCs w:val="32"/>
          <w:lang w:eastAsia="zh-CN"/>
        </w:rPr>
        <w:t>与</w:t>
      </w:r>
      <w:r>
        <w:rPr>
          <w:rFonts w:hint="eastAsia" w:ascii="仿宋_GB2312" w:hAnsi="宋体" w:eastAsia="仿宋_GB2312" w:cs="Courier New"/>
          <w:sz w:val="32"/>
          <w:szCs w:val="32"/>
        </w:rPr>
        <w:t xml:space="preserve"> 20</w:t>
      </w:r>
      <w:r>
        <w:rPr>
          <w:rFonts w:ascii="仿宋_GB2312" w:hAnsi="宋体" w:eastAsia="仿宋_GB2312" w:cs="Courier New"/>
          <w:sz w:val="32"/>
          <w:szCs w:val="32"/>
        </w:rPr>
        <w:t>2</w:t>
      </w:r>
      <w:r>
        <w:rPr>
          <w:rFonts w:hint="eastAsia" w:ascii="仿宋_GB2312" w:hAnsi="宋体" w:eastAsia="仿宋_GB2312" w:cs="Courier New"/>
          <w:sz w:val="32"/>
          <w:szCs w:val="32"/>
        </w:rPr>
        <w:t>1年预算</w:t>
      </w:r>
      <w:r>
        <w:rPr>
          <w:rFonts w:hint="eastAsia" w:ascii="仿宋_GB2312" w:hAnsi="宋体" w:eastAsia="仿宋_GB2312" w:cs="Courier New"/>
          <w:sz w:val="32"/>
          <w:szCs w:val="32"/>
          <w:lang w:eastAsia="zh-CN"/>
        </w:rPr>
        <w:t>相比同为</w:t>
      </w:r>
      <w:r>
        <w:rPr>
          <w:rFonts w:hint="eastAsia" w:ascii="仿宋_GB2312" w:eastAsia="仿宋_GB2312"/>
          <w:sz w:val="32"/>
          <w:szCs w:val="32"/>
        </w:rPr>
        <w:t>0.00</w:t>
      </w:r>
      <w:r>
        <w:rPr>
          <w:rFonts w:hint="eastAsia" w:ascii="仿宋_GB2312" w:hAnsi="宋体" w:eastAsia="仿宋_GB2312" w:cs="Courier New"/>
          <w:sz w:val="32"/>
          <w:szCs w:val="32"/>
        </w:rPr>
        <w:t>万元</w:t>
      </w:r>
      <w:r>
        <w:rPr>
          <w:rFonts w:hint="eastAsia" w:ascii="仿宋_GB2312" w:hAnsi="宋体" w:eastAsia="仿宋_GB2312" w:cs="Courier New"/>
          <w:sz w:val="32"/>
          <w:szCs w:val="32"/>
          <w:lang w:eastAsia="zh-CN"/>
        </w:rPr>
        <w:t>，</w:t>
      </w:r>
      <w:r>
        <w:rPr>
          <w:rFonts w:ascii="仿宋_GB2312" w:hAnsi="宋体" w:eastAsia="仿宋_GB2312"/>
          <w:bCs/>
          <w:sz w:val="32"/>
          <w:szCs w:val="32"/>
        </w:rPr>
        <w:t>无增减变动</w:t>
      </w:r>
      <w:r>
        <w:rPr>
          <w:rFonts w:hint="eastAsia" w:ascii="仿宋_GB2312" w:hAnsi="宋体" w:eastAsia="仿宋_GB2312"/>
          <w:bCs/>
          <w:sz w:val="32"/>
          <w:szCs w:val="32"/>
          <w:lang w:eastAsia="zh-CN"/>
        </w:rPr>
        <w:t>。</w:t>
      </w:r>
      <w:r>
        <w:rPr>
          <w:rFonts w:hint="eastAsia" w:ascii="仿宋_GB2312" w:hAnsi="宋体" w:eastAsia="仿宋_GB2312" w:cs="Courier New"/>
          <w:sz w:val="32"/>
          <w:szCs w:val="32"/>
        </w:rPr>
        <w:t>主要原因：单位无此项预算</w:t>
      </w:r>
      <w:r>
        <w:rPr>
          <w:rFonts w:hint="eastAsia" w:ascii="仿宋_GB2312" w:hAnsi="宋体" w:eastAsia="仿宋_GB2312"/>
          <w:bCs/>
          <w:sz w:val="32"/>
          <w:szCs w:val="32"/>
        </w:rPr>
        <w:t xml:space="preserve">。 </w:t>
      </w:r>
      <w:bookmarkEnd w:id="3"/>
    </w:p>
    <w:p>
      <w:pPr>
        <w:kinsoku w:val="0"/>
        <w:overflowPunct w:val="0"/>
        <w:autoSpaceDE w:val="0"/>
        <w:autoSpaceDN w:val="0"/>
        <w:adjustRightInd w:val="0"/>
        <w:snapToGrid w:val="0"/>
        <w:spacing w:line="360" w:lineRule="auto"/>
        <w:ind w:firstLine="639" w:firstLineChars="200"/>
        <w:rPr>
          <w:rFonts w:hint="eastAsia" w:ascii="仿宋_GB2312" w:hAnsi="宋体" w:eastAsia="仿宋_GB2312" w:cs="Courier New"/>
          <w:sz w:val="32"/>
          <w:szCs w:val="32"/>
        </w:rPr>
      </w:pPr>
      <w:r>
        <w:rPr>
          <w:rFonts w:hint="eastAsia" w:ascii="仿宋_GB2312" w:hAnsi="Times New Roman" w:eastAsia="仿宋_GB2312" w:cs="仿宋_GB2312"/>
          <w:b/>
          <w:spacing w:val="-1"/>
          <w:kern w:val="0"/>
          <w:sz w:val="32"/>
          <w:szCs w:val="32"/>
        </w:rPr>
        <w:t>（二）公务用车购置及运行费</w:t>
      </w:r>
      <w:r>
        <w:rPr>
          <w:rFonts w:hint="eastAsia" w:ascii="仿宋_GB2312" w:eastAsia="仿宋_GB2312"/>
          <w:sz w:val="32"/>
          <w:szCs w:val="32"/>
          <w:lang w:val="en-US" w:eastAsia="zh-CN"/>
        </w:rPr>
        <w:t>16.00</w:t>
      </w:r>
      <w:r>
        <w:rPr>
          <w:rFonts w:hint="eastAsia" w:ascii="仿宋_GB2312" w:hAnsi="Times New Roman" w:eastAsia="仿宋_GB2312" w:cs="仿宋_GB2312"/>
          <w:kern w:val="0"/>
          <w:sz w:val="32"/>
          <w:szCs w:val="32"/>
        </w:rPr>
        <w:t>万</w:t>
      </w:r>
      <w:r>
        <w:rPr>
          <w:rFonts w:hint="eastAsia" w:ascii="仿宋_GB2312" w:hAnsi="宋体" w:eastAsia="仿宋_GB2312" w:cs="Courier New"/>
          <w:sz w:val="32"/>
          <w:szCs w:val="32"/>
        </w:rPr>
        <w:t>元，其中，公务用车购置费</w:t>
      </w:r>
      <w:r>
        <w:rPr>
          <w:rFonts w:hint="eastAsia" w:ascii="仿宋_GB2312" w:eastAsia="仿宋_GB2312"/>
          <w:sz w:val="32"/>
          <w:szCs w:val="32"/>
          <w:lang w:val="en-US" w:eastAsia="zh-CN"/>
        </w:rPr>
        <w:t>0.00</w:t>
      </w:r>
      <w:r>
        <w:rPr>
          <w:rFonts w:hint="eastAsia" w:ascii="仿宋_GB2312" w:hAnsi="宋体" w:eastAsia="仿宋_GB2312" w:cs="Courier New"/>
          <w:sz w:val="32"/>
          <w:szCs w:val="32"/>
        </w:rPr>
        <w:t>万元；公务用车运行维护费</w:t>
      </w:r>
      <w:r>
        <w:rPr>
          <w:rFonts w:hint="eastAsia" w:ascii="仿宋_GB2312" w:eastAsia="仿宋_GB2312"/>
          <w:sz w:val="32"/>
          <w:szCs w:val="32"/>
          <w:lang w:val="en-US" w:eastAsia="zh-CN"/>
        </w:rPr>
        <w:t>16.00</w:t>
      </w:r>
      <w:r>
        <w:rPr>
          <w:rFonts w:hint="eastAsia" w:ascii="仿宋_GB2312" w:hAnsi="宋体" w:eastAsia="仿宋_GB2312" w:cs="Courier New"/>
          <w:sz w:val="32"/>
          <w:szCs w:val="32"/>
        </w:rPr>
        <w:t>万元，主要用于开展工作所需公务用车的燃料费、维修费、过路过桥费、保险费、安全奖励费用等支出。公务用车购置费预算数比 2021年增加</w:t>
      </w:r>
      <w:r>
        <w:rPr>
          <w:rFonts w:hint="eastAsia" w:ascii="仿宋_GB2312" w:eastAsia="仿宋_GB2312"/>
          <w:sz w:val="32"/>
          <w:szCs w:val="32"/>
          <w:lang w:val="en-US" w:eastAsia="zh-CN"/>
        </w:rPr>
        <w:t>0.00</w:t>
      </w:r>
      <w:r>
        <w:rPr>
          <w:rFonts w:hint="eastAsia" w:ascii="仿宋_GB2312" w:hAnsi="宋体" w:eastAsia="仿宋_GB2312" w:cs="Courier New"/>
          <w:sz w:val="32"/>
          <w:szCs w:val="32"/>
        </w:rPr>
        <w:t>万元，主要原因：</w:t>
      </w:r>
      <w:r>
        <w:rPr>
          <w:rFonts w:hint="eastAsia" w:ascii="仿宋_GB2312" w:hAnsi="Times New Roman" w:eastAsia="仿宋_GB2312"/>
          <w:sz w:val="32"/>
          <w:szCs w:val="32"/>
          <w:lang w:eastAsia="zh-CN"/>
        </w:rPr>
        <w:t>本单位</w:t>
      </w:r>
      <w:r>
        <w:rPr>
          <w:rFonts w:hint="eastAsia" w:ascii="仿宋_GB2312" w:hAnsi="Times New Roman" w:eastAsia="仿宋_GB2312"/>
          <w:sz w:val="32"/>
          <w:szCs w:val="32"/>
          <w:lang w:val="en-US" w:eastAsia="zh-CN"/>
        </w:rPr>
        <w:t>现有车辆可以满足公务用车需求</w:t>
      </w:r>
      <w:r>
        <w:rPr>
          <w:rFonts w:hint="eastAsia" w:ascii="仿宋_GB2312" w:hAnsi="宋体" w:eastAsia="仿宋_GB2312" w:cs="Courier New"/>
          <w:sz w:val="32"/>
          <w:szCs w:val="32"/>
        </w:rPr>
        <w:t>。公务用车运行维护费预算数比 2021年增加</w:t>
      </w:r>
      <w:r>
        <w:rPr>
          <w:rFonts w:hint="eastAsia" w:ascii="仿宋_GB2312" w:hAnsi="宋体" w:eastAsia="仿宋_GB2312" w:cs="Courier New"/>
          <w:sz w:val="32"/>
          <w:szCs w:val="32"/>
          <w:lang w:val="en-US" w:eastAsia="zh-CN"/>
        </w:rPr>
        <w:t>0.00</w:t>
      </w:r>
      <w:r>
        <w:rPr>
          <w:rFonts w:hint="eastAsia" w:ascii="仿宋_GB2312" w:hAnsi="宋体" w:eastAsia="仿宋_GB2312" w:cs="Courier New"/>
          <w:sz w:val="32"/>
          <w:szCs w:val="32"/>
        </w:rPr>
        <w:t>万元，主要原因：</w:t>
      </w:r>
      <w:r>
        <w:rPr>
          <w:rFonts w:hint="eastAsia" w:ascii="仿宋_GB2312" w:hAnsi="宋体" w:eastAsia="仿宋_GB2312" w:cs="Courier New"/>
          <w:sz w:val="32"/>
          <w:szCs w:val="32"/>
          <w:lang w:eastAsia="zh-CN"/>
        </w:rPr>
        <w:t>本单位加强现有公务用车使用管理，降低车辆运行及维修成本等。</w:t>
      </w:r>
    </w:p>
    <w:p>
      <w:pPr>
        <w:adjustRightInd w:val="0"/>
        <w:snapToGrid w:val="0"/>
        <w:spacing w:line="560" w:lineRule="exact"/>
        <w:ind w:firstLine="639" w:firstLineChars="200"/>
        <w:rPr>
          <w:rFonts w:hint="eastAsia" w:ascii="仿宋_GB2312" w:eastAsia="仿宋_GB2312"/>
          <w:sz w:val="32"/>
          <w:szCs w:val="32"/>
        </w:rPr>
      </w:pPr>
      <w:r>
        <w:rPr>
          <w:rFonts w:hint="eastAsia" w:ascii="仿宋_GB2312" w:hAnsi="Times New Roman" w:eastAsia="仿宋_GB2312" w:cs="仿宋_GB2312"/>
          <w:b/>
          <w:spacing w:val="-1"/>
          <w:kern w:val="0"/>
          <w:sz w:val="32"/>
          <w:szCs w:val="32"/>
        </w:rPr>
        <w:t>（三）公务接待费</w:t>
      </w:r>
      <w:r>
        <w:rPr>
          <w:rFonts w:hint="eastAsia" w:ascii="仿宋_GB2312" w:eastAsia="仿宋_GB2312"/>
          <w:sz w:val="32"/>
          <w:szCs w:val="32"/>
          <w:lang w:val="en-US" w:eastAsia="zh-CN"/>
        </w:rPr>
        <w:t>4.00</w:t>
      </w:r>
      <w:r>
        <w:rPr>
          <w:rFonts w:hint="eastAsia" w:ascii="仿宋_GB2312" w:hAnsi="宋体" w:eastAsia="仿宋_GB2312" w:cs="Courier New"/>
          <w:sz w:val="32"/>
          <w:szCs w:val="32"/>
        </w:rPr>
        <w:t>万元，主要用于按规定开支的各类公务接待（含外宾接待）支出。预算数比 2021年增加</w:t>
      </w:r>
      <w:r>
        <w:rPr>
          <w:rFonts w:hint="eastAsia" w:ascii="仿宋_GB2312" w:hAnsi="宋体" w:eastAsia="仿宋_GB2312" w:cs="Courier New"/>
          <w:sz w:val="32"/>
          <w:szCs w:val="32"/>
          <w:lang w:val="en-US" w:eastAsia="zh-CN"/>
        </w:rPr>
        <w:t>0.00</w:t>
      </w:r>
      <w:r>
        <w:rPr>
          <w:rFonts w:hint="eastAsia" w:ascii="仿宋_GB2312" w:hAnsi="宋体" w:eastAsia="仿宋_GB2312" w:cs="Courier New"/>
          <w:sz w:val="32"/>
          <w:szCs w:val="32"/>
        </w:rPr>
        <w:t>万元。主要原因：</w:t>
      </w:r>
      <w:bookmarkStart w:id="4" w:name="PO_part2A9IncReason10"/>
      <w:r>
        <w:rPr>
          <w:rFonts w:hint="eastAsia" w:ascii="仿宋_GB2312" w:hAnsi="宋体" w:eastAsia="仿宋_GB2312" w:cs="Courier New"/>
          <w:sz w:val="32"/>
          <w:szCs w:val="32"/>
          <w:lang w:eastAsia="zh-CN"/>
        </w:rPr>
        <w:t>本单位公务接待严格</w:t>
      </w:r>
      <w:r>
        <w:rPr>
          <w:rFonts w:hint="eastAsia" w:ascii="仿宋_GB2312" w:hAnsi="宋体" w:eastAsia="仿宋_GB2312" w:cs="Courier New"/>
          <w:sz w:val="32"/>
          <w:szCs w:val="32"/>
        </w:rPr>
        <w:t>按规定开支各类公务接待</w:t>
      </w:r>
      <w:r>
        <w:rPr>
          <w:rFonts w:hint="eastAsia" w:ascii="仿宋_GB2312" w:hAnsi="宋体" w:eastAsia="仿宋_GB2312" w:cs="Courier New"/>
          <w:sz w:val="32"/>
          <w:szCs w:val="32"/>
          <w:lang w:eastAsia="zh-CN"/>
        </w:rPr>
        <w:t>，提倡节俭反对浪费等。</w:t>
      </w:r>
      <w:r>
        <w:rPr>
          <w:rFonts w:hint="eastAsia" w:ascii="仿宋_GB2312" w:eastAsia="仿宋_GB2312"/>
          <w:sz w:val="32"/>
          <w:szCs w:val="32"/>
        </w:rPr>
        <w:t xml:space="preserve"> </w:t>
      </w:r>
      <w:bookmarkEnd w:id="4"/>
    </w:p>
    <w:p>
      <w:pPr>
        <w:kinsoku w:val="0"/>
        <w:overflowPunct w:val="0"/>
        <w:autoSpaceDE w:val="0"/>
        <w:autoSpaceDN w:val="0"/>
        <w:adjustRightInd w:val="0"/>
        <w:snapToGrid w:val="0"/>
        <w:spacing w:line="360" w:lineRule="auto"/>
        <w:ind w:firstLine="636" w:firstLineChars="200"/>
        <w:rPr>
          <w:rFonts w:hint="eastAsia" w:ascii="仿宋_GB2312" w:hAnsi="宋体" w:eastAsia="仿宋_GB2312" w:cs="Courier New"/>
          <w:sz w:val="32"/>
          <w:szCs w:val="32"/>
        </w:rPr>
      </w:pPr>
      <w:r>
        <w:rPr>
          <w:rFonts w:hint="eastAsia" w:ascii="黑体" w:hAnsi="Times New Roman" w:eastAsia="黑体" w:cs="黑体"/>
          <w:spacing w:val="-1"/>
          <w:kern w:val="0"/>
          <w:sz w:val="32"/>
          <w:szCs w:val="32"/>
        </w:rPr>
        <w:t>九、其他重要事项情况说明</w:t>
      </w:r>
    </w:p>
    <w:p>
      <w:pPr>
        <w:kinsoku w:val="0"/>
        <w:overflowPunct w:val="0"/>
        <w:autoSpaceDE w:val="0"/>
        <w:autoSpaceDN w:val="0"/>
        <w:adjustRightInd w:val="0"/>
        <w:snapToGrid w:val="0"/>
        <w:spacing w:line="360" w:lineRule="auto"/>
        <w:ind w:firstLine="643" w:firstLineChars="200"/>
        <w:rPr>
          <w:rFonts w:hint="eastAsia" w:ascii="仿宋_GB2312" w:hAnsi="宋体" w:eastAsia="仿宋_GB2312" w:cs="Courier New"/>
          <w:sz w:val="32"/>
          <w:szCs w:val="32"/>
        </w:rPr>
      </w:pPr>
      <w:r>
        <w:rPr>
          <w:rFonts w:hint="eastAsia" w:ascii="仿宋_GB2312" w:hAnsi="Times New Roman" w:eastAsia="仿宋_GB2312" w:cs="仿宋_GB2312"/>
          <w:b/>
          <w:kern w:val="0"/>
          <w:sz w:val="32"/>
          <w:szCs w:val="32"/>
        </w:rPr>
        <w:t>（一）机关运行经费支出情况</w:t>
      </w:r>
    </w:p>
    <w:p>
      <w:pPr>
        <w:kinsoku w:val="0"/>
        <w:overflowPunct w:val="0"/>
        <w:autoSpaceDE w:val="0"/>
        <w:autoSpaceDN w:val="0"/>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信阳市浉河管理处</w:t>
      </w:r>
      <w:r>
        <w:rPr>
          <w:rFonts w:ascii="仿宋_GB2312" w:hAnsi="宋体" w:eastAsia="仿宋_GB2312" w:cs="Courier New"/>
          <w:sz w:val="32"/>
          <w:szCs w:val="32"/>
        </w:rPr>
        <w:t>2022年</w:t>
      </w:r>
      <w:r>
        <w:rPr>
          <w:rFonts w:hint="eastAsia" w:ascii="仿宋_GB2312" w:hAnsi="宋体" w:eastAsia="仿宋_GB2312" w:cs="Courier New"/>
          <w:sz w:val="32"/>
          <w:szCs w:val="32"/>
        </w:rPr>
        <w:t>机关运行经费支出预算</w:t>
      </w:r>
      <w:r>
        <w:rPr>
          <w:rFonts w:hint="eastAsia" w:ascii="仿宋_GB2312" w:eastAsia="仿宋_GB2312"/>
          <w:sz w:val="32"/>
          <w:szCs w:val="32"/>
          <w:lang w:val="en-US" w:eastAsia="zh-CN"/>
        </w:rPr>
        <w:t>60.28</w:t>
      </w:r>
      <w:r>
        <w:rPr>
          <w:rFonts w:hint="eastAsia" w:ascii="仿宋_GB2312" w:hAnsi="宋体" w:eastAsia="仿宋_GB2312" w:cs="Courier New"/>
          <w:sz w:val="32"/>
          <w:szCs w:val="32"/>
        </w:rPr>
        <w:t>万元，</w:t>
      </w:r>
      <w:r>
        <w:rPr>
          <w:rFonts w:hint="eastAsia" w:ascii="仿宋_GB2312" w:eastAsia="仿宋_GB2312"/>
          <w:sz w:val="32"/>
          <w:szCs w:val="32"/>
        </w:rPr>
        <w:t>主要保障机构正常运转及正常履职需要</w:t>
      </w:r>
      <w:r>
        <w:rPr>
          <w:rFonts w:hint="eastAsia" w:ascii="仿宋_GB2312" w:hAnsi="仿宋_GB2312" w:eastAsia="仿宋_GB2312" w:cs="仿宋_GB2312"/>
          <w:color w:val="000000"/>
          <w:sz w:val="32"/>
          <w:szCs w:val="32"/>
        </w:rPr>
        <w:t>的办公费、水电费、物业费、维修费、差旅费等支出</w:t>
      </w:r>
      <w:r>
        <w:rPr>
          <w:rFonts w:hint="eastAsia" w:ascii="仿宋_GB2312" w:eastAsia="仿宋_GB2312"/>
          <w:sz w:val="32"/>
          <w:szCs w:val="32"/>
        </w:rPr>
        <w:t>。</w:t>
      </w:r>
    </w:p>
    <w:p>
      <w:pPr>
        <w:kinsoku w:val="0"/>
        <w:overflowPunct w:val="0"/>
        <w:autoSpaceDE w:val="0"/>
        <w:autoSpaceDN w:val="0"/>
        <w:adjustRightInd w:val="0"/>
        <w:snapToGrid w:val="0"/>
        <w:spacing w:line="360" w:lineRule="auto"/>
        <w:ind w:firstLine="643" w:firstLineChars="200"/>
        <w:rPr>
          <w:rFonts w:hint="eastAsia" w:ascii="仿宋_GB2312" w:hAnsi="Times New Roman" w:eastAsia="仿宋_GB2312" w:cs="仿宋_GB2312"/>
          <w:b/>
          <w:kern w:val="0"/>
          <w:sz w:val="32"/>
          <w:szCs w:val="32"/>
        </w:rPr>
      </w:pPr>
      <w:r>
        <w:rPr>
          <w:rFonts w:hint="eastAsia" w:ascii="仿宋_GB2312" w:hAnsi="Times New Roman" w:eastAsia="仿宋_GB2312" w:cs="仿宋_GB2312"/>
          <w:b/>
          <w:kern w:val="0"/>
          <w:sz w:val="32"/>
          <w:szCs w:val="32"/>
        </w:rPr>
        <w:t>（二）政府采购支出情况</w:t>
      </w:r>
    </w:p>
    <w:p>
      <w:pPr>
        <w:kinsoku w:val="0"/>
        <w:overflowPunct w:val="0"/>
        <w:autoSpaceDE w:val="0"/>
        <w:autoSpaceDN w:val="0"/>
        <w:adjustRightInd w:val="0"/>
        <w:snapToGrid w:val="0"/>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信阳市浉河管理处2022年</w:t>
      </w:r>
      <w:r>
        <w:rPr>
          <w:rFonts w:hint="eastAsia" w:ascii="仿宋_GB2312" w:eastAsia="仿宋_GB2312"/>
          <w:sz w:val="32"/>
          <w:szCs w:val="32"/>
          <w:lang w:eastAsia="zh-CN"/>
        </w:rPr>
        <w:t>没有</w:t>
      </w:r>
      <w:r>
        <w:rPr>
          <w:rFonts w:hint="eastAsia" w:ascii="仿宋_GB2312" w:eastAsia="仿宋_GB2312"/>
          <w:sz w:val="32"/>
          <w:szCs w:val="32"/>
        </w:rPr>
        <w:t>政府采购预算支出</w:t>
      </w:r>
      <w:r>
        <w:rPr>
          <w:rFonts w:hint="eastAsia" w:ascii="仿宋_GB2312" w:eastAsia="仿宋_GB2312"/>
          <w:sz w:val="32"/>
          <w:szCs w:val="32"/>
          <w:lang w:eastAsia="zh-CN"/>
        </w:rPr>
        <w:t>。</w:t>
      </w:r>
    </w:p>
    <w:p>
      <w:pPr>
        <w:kinsoku w:val="0"/>
        <w:overflowPunct w:val="0"/>
        <w:autoSpaceDE w:val="0"/>
        <w:autoSpaceDN w:val="0"/>
        <w:adjustRightInd w:val="0"/>
        <w:snapToGrid w:val="0"/>
        <w:spacing w:line="360" w:lineRule="auto"/>
        <w:ind w:firstLine="643" w:firstLineChars="200"/>
        <w:rPr>
          <w:rFonts w:hint="eastAsia" w:ascii="仿宋_GB2312" w:hAnsi="Times New Roman" w:eastAsia="仿宋_GB2312" w:cs="仿宋_GB2312"/>
          <w:b/>
          <w:kern w:val="0"/>
          <w:sz w:val="32"/>
          <w:szCs w:val="32"/>
        </w:rPr>
      </w:pPr>
      <w:r>
        <w:rPr>
          <w:rFonts w:hint="eastAsia" w:ascii="仿宋_GB2312" w:hAnsi="Times New Roman" w:eastAsia="仿宋_GB2312" w:cs="仿宋_GB2312"/>
          <w:b/>
          <w:kern w:val="0"/>
          <w:sz w:val="32"/>
          <w:szCs w:val="32"/>
        </w:rPr>
        <w:t>（三）绩效目标设置情况</w:t>
      </w:r>
    </w:p>
    <w:p>
      <w:pPr>
        <w:kinsoku w:val="0"/>
        <w:overflowPunct w:val="0"/>
        <w:autoSpaceDE w:val="0"/>
        <w:autoSpaceDN w:val="0"/>
        <w:adjustRightInd w:val="0"/>
        <w:snapToGrid w:val="0"/>
        <w:spacing w:line="360" w:lineRule="auto"/>
        <w:ind w:firstLine="640" w:firstLineChars="200"/>
        <w:rPr>
          <w:rFonts w:hint="eastAsia" w:eastAsia="仿宋_GB2312"/>
          <w:color w:val="000000"/>
          <w:kern w:val="0"/>
          <w:sz w:val="32"/>
          <w:szCs w:val="32"/>
        </w:rPr>
      </w:pPr>
      <w:r>
        <w:rPr>
          <w:rFonts w:hint="eastAsia" w:ascii="仿宋_GB2312" w:eastAsia="仿宋_GB2312"/>
          <w:sz w:val="32"/>
          <w:szCs w:val="32"/>
        </w:rPr>
        <w:t>信阳市浉河管理处2022年预算项目均按要</w:t>
      </w:r>
      <w:r>
        <w:rPr>
          <w:rFonts w:ascii="仿宋_GB2312" w:hAnsi="宋体" w:eastAsia="仿宋_GB2312" w:cs="Courier New"/>
          <w:sz w:val="32"/>
          <w:szCs w:val="32"/>
        </w:rPr>
        <w:t>求编制了</w:t>
      </w:r>
      <w:r>
        <w:rPr>
          <w:rFonts w:hint="eastAsia" w:ascii="仿宋_GB2312" w:hAnsi="宋体" w:eastAsia="仿宋_GB2312" w:cs="Courier New"/>
          <w:sz w:val="32"/>
          <w:szCs w:val="32"/>
        </w:rPr>
        <w:t>项目</w:t>
      </w:r>
      <w:r>
        <w:rPr>
          <w:rFonts w:ascii="仿宋_GB2312" w:hAnsi="宋体" w:eastAsia="仿宋_GB2312" w:cs="Courier New"/>
          <w:sz w:val="32"/>
          <w:szCs w:val="32"/>
        </w:rPr>
        <w:t>绩效目标，从项目产出、项目效益、满意度等方面设置了绩效指标，综合反映项目预期完成的数量、</w:t>
      </w:r>
      <w:r>
        <w:rPr>
          <w:rFonts w:hint="eastAsia" w:ascii="仿宋_GB2312" w:hAnsi="宋体" w:eastAsia="仿宋_GB2312" w:cs="Courier New"/>
          <w:sz w:val="32"/>
          <w:szCs w:val="32"/>
        </w:rPr>
        <w:t>实效</w:t>
      </w:r>
      <w:r>
        <w:rPr>
          <w:rFonts w:ascii="仿宋_GB2312" w:hAnsi="宋体" w:eastAsia="仿宋_GB2312" w:cs="Courier New"/>
          <w:sz w:val="32"/>
          <w:szCs w:val="32"/>
        </w:rPr>
        <w:t>、质量</w:t>
      </w:r>
      <w:r>
        <w:rPr>
          <w:rFonts w:hint="eastAsia" w:ascii="仿宋_GB2312" w:hAnsi="宋体" w:eastAsia="仿宋_GB2312" w:cs="Courier New"/>
          <w:sz w:val="32"/>
          <w:szCs w:val="32"/>
        </w:rPr>
        <w:t>，</w:t>
      </w:r>
      <w:r>
        <w:rPr>
          <w:rFonts w:ascii="仿宋_GB2312" w:hAnsi="宋体" w:eastAsia="仿宋_GB2312" w:cs="Courier New"/>
          <w:sz w:val="32"/>
          <w:szCs w:val="32"/>
        </w:rPr>
        <w:t>预期达到的社会经济效益、可持续影响以及</w:t>
      </w:r>
      <w:r>
        <w:rPr>
          <w:rFonts w:hint="eastAsia" w:ascii="仿宋_GB2312" w:hAnsi="宋体" w:eastAsia="仿宋_GB2312" w:cs="Courier New"/>
          <w:sz w:val="32"/>
          <w:szCs w:val="32"/>
        </w:rPr>
        <w:t>服务</w:t>
      </w:r>
      <w:r>
        <w:rPr>
          <w:rFonts w:ascii="仿宋_GB2312" w:hAnsi="宋体" w:eastAsia="仿宋_GB2312" w:cs="Courier New"/>
          <w:sz w:val="32"/>
          <w:szCs w:val="32"/>
        </w:rPr>
        <w:t>对象满意度等情况。</w:t>
      </w:r>
    </w:p>
    <w:p>
      <w:pPr>
        <w:kinsoku w:val="0"/>
        <w:overflowPunct w:val="0"/>
        <w:autoSpaceDE w:val="0"/>
        <w:autoSpaceDN w:val="0"/>
        <w:adjustRightInd w:val="0"/>
        <w:snapToGrid w:val="0"/>
        <w:spacing w:line="360" w:lineRule="auto"/>
        <w:ind w:firstLine="643" w:firstLineChars="200"/>
        <w:rPr>
          <w:rFonts w:ascii="仿宋_GB2312" w:hAnsi="Times New Roman" w:eastAsia="仿宋_GB2312" w:cs="仿宋_GB2312"/>
          <w:b/>
          <w:kern w:val="0"/>
          <w:sz w:val="32"/>
          <w:szCs w:val="32"/>
        </w:rPr>
      </w:pPr>
      <w:r>
        <w:rPr>
          <w:rFonts w:hint="eastAsia" w:ascii="仿宋_GB2312" w:hAnsi="Times New Roman" w:eastAsia="仿宋_GB2312" w:cs="仿宋_GB2312"/>
          <w:b/>
          <w:kern w:val="0"/>
          <w:sz w:val="32"/>
          <w:szCs w:val="32"/>
        </w:rPr>
        <w:t>（四）国有资产占用情况。</w:t>
      </w:r>
    </w:p>
    <w:p>
      <w:pPr>
        <w:kinsoku w:val="0"/>
        <w:overflowPunct w:val="0"/>
        <w:autoSpaceDE w:val="0"/>
        <w:autoSpaceDN w:val="0"/>
        <w:adjustRightInd w:val="0"/>
        <w:snapToGrid w:val="0"/>
        <w:spacing w:line="360" w:lineRule="auto"/>
        <w:ind w:firstLine="640" w:firstLineChars="200"/>
        <w:rPr>
          <w:rFonts w:hint="eastAsia" w:ascii="仿宋_GB2312" w:hAnsi="宋体" w:eastAsia="仿宋_GB2312" w:cs="Courier New"/>
          <w:sz w:val="32"/>
          <w:szCs w:val="32"/>
        </w:rPr>
      </w:pPr>
      <w:r>
        <w:rPr>
          <w:rFonts w:ascii="仿宋_GB2312" w:hAnsi="宋体" w:eastAsia="仿宋_GB2312" w:cs="Courier New"/>
          <w:sz w:val="32"/>
          <w:szCs w:val="32"/>
        </w:rPr>
        <w:t>202</w:t>
      </w:r>
      <w:r>
        <w:rPr>
          <w:rFonts w:hint="eastAsia" w:ascii="仿宋_GB2312" w:hAnsi="宋体" w:eastAsia="仿宋_GB2312" w:cs="Courier New"/>
          <w:sz w:val="32"/>
          <w:szCs w:val="32"/>
        </w:rPr>
        <w:t>1年期末，</w:t>
      </w:r>
      <w:r>
        <w:rPr>
          <w:rFonts w:hint="eastAsia" w:ascii="仿宋_GB2312" w:eastAsia="仿宋_GB2312"/>
          <w:sz w:val="32"/>
          <w:szCs w:val="32"/>
        </w:rPr>
        <w:t>信阳市浉河管理处</w:t>
      </w:r>
      <w:r>
        <w:rPr>
          <w:rFonts w:hint="eastAsia" w:ascii="仿宋_GB2312" w:hAnsi="宋体" w:eastAsia="仿宋_GB2312" w:cs="Courier New"/>
          <w:sz w:val="32"/>
          <w:szCs w:val="32"/>
        </w:rPr>
        <w:t>共有车辆</w:t>
      </w:r>
      <w:r>
        <w:rPr>
          <w:rFonts w:hint="eastAsia" w:ascii="仿宋_GB2312" w:eastAsia="仿宋_GB2312"/>
          <w:sz w:val="32"/>
          <w:szCs w:val="32"/>
          <w:lang w:val="en-US" w:eastAsia="zh-CN"/>
        </w:rPr>
        <w:t>4</w:t>
      </w:r>
      <w:r>
        <w:rPr>
          <w:rFonts w:hint="eastAsia" w:ascii="仿宋_GB2312" w:hAnsi="宋体" w:eastAsia="仿宋_GB2312" w:cs="Courier New"/>
          <w:sz w:val="32"/>
          <w:szCs w:val="32"/>
        </w:rPr>
        <w:t>辆，其中：一般公务用车</w:t>
      </w:r>
      <w:r>
        <w:rPr>
          <w:rFonts w:hint="eastAsia" w:ascii="仿宋_GB2312" w:eastAsia="仿宋_GB2312"/>
          <w:sz w:val="32"/>
          <w:szCs w:val="32"/>
          <w:lang w:val="en-US" w:eastAsia="zh-CN"/>
        </w:rPr>
        <w:t>1</w:t>
      </w:r>
      <w:r>
        <w:rPr>
          <w:rFonts w:hint="eastAsia" w:ascii="仿宋_GB2312" w:hAnsi="宋体" w:eastAsia="仿宋_GB2312" w:cs="Courier New"/>
          <w:sz w:val="32"/>
          <w:szCs w:val="32"/>
        </w:rPr>
        <w:t>辆、一般</w:t>
      </w:r>
      <w:r>
        <w:rPr>
          <w:rFonts w:hint="eastAsia" w:ascii="仿宋_GB2312" w:hAnsi="宋体" w:eastAsia="仿宋_GB2312" w:cs="Courier New"/>
          <w:sz w:val="32"/>
          <w:szCs w:val="32"/>
          <w:lang w:eastAsia="zh-CN"/>
        </w:rPr>
        <w:t>应急保障</w:t>
      </w:r>
      <w:r>
        <w:rPr>
          <w:rFonts w:hint="eastAsia" w:ascii="仿宋_GB2312" w:hAnsi="宋体" w:eastAsia="仿宋_GB2312" w:cs="Courier New"/>
          <w:sz w:val="32"/>
          <w:szCs w:val="32"/>
        </w:rPr>
        <w:t>用车</w:t>
      </w:r>
      <w:r>
        <w:rPr>
          <w:rFonts w:hint="eastAsia" w:ascii="仿宋_GB2312" w:eastAsia="仿宋_GB2312"/>
          <w:sz w:val="32"/>
          <w:szCs w:val="32"/>
          <w:lang w:val="en-US" w:eastAsia="zh-CN"/>
        </w:rPr>
        <w:t>1</w:t>
      </w:r>
      <w:r>
        <w:rPr>
          <w:rFonts w:hint="eastAsia" w:ascii="仿宋_GB2312" w:hAnsi="宋体" w:eastAsia="仿宋_GB2312" w:cs="Courier New"/>
          <w:sz w:val="32"/>
          <w:szCs w:val="32"/>
        </w:rPr>
        <w:t>辆、特种专业技术用车</w:t>
      </w:r>
      <w:r>
        <w:rPr>
          <w:rFonts w:hint="eastAsia" w:ascii="仿宋_GB2312" w:eastAsia="仿宋_GB2312"/>
          <w:sz w:val="32"/>
          <w:szCs w:val="32"/>
          <w:lang w:val="en-US" w:eastAsia="zh-CN"/>
        </w:rPr>
        <w:t>2</w:t>
      </w:r>
      <w:r>
        <w:rPr>
          <w:rFonts w:hint="eastAsia" w:ascii="仿宋_GB2312" w:hAnsi="宋体" w:eastAsia="仿宋_GB2312" w:cs="Courier New"/>
          <w:sz w:val="32"/>
          <w:szCs w:val="32"/>
        </w:rPr>
        <w:t>辆，其他用车</w:t>
      </w:r>
      <w:r>
        <w:rPr>
          <w:rFonts w:hint="eastAsia" w:ascii="仿宋_GB2312" w:eastAsia="仿宋_GB2312"/>
          <w:sz w:val="32"/>
          <w:szCs w:val="32"/>
          <w:lang w:val="en-US" w:eastAsia="zh-CN"/>
        </w:rPr>
        <w:t>0</w:t>
      </w:r>
      <w:r>
        <w:rPr>
          <w:rFonts w:hint="eastAsia" w:ascii="仿宋_GB2312" w:hAnsi="宋体" w:eastAsia="仿宋_GB2312" w:cs="Courier New"/>
          <w:sz w:val="32"/>
          <w:szCs w:val="32"/>
        </w:rPr>
        <w:t>辆；单价</w:t>
      </w:r>
      <w:r>
        <w:rPr>
          <w:rFonts w:ascii="仿宋_GB2312" w:hAnsi="宋体" w:eastAsia="仿宋_GB2312" w:cs="Courier New"/>
          <w:sz w:val="32"/>
          <w:szCs w:val="32"/>
        </w:rPr>
        <w:t>50</w:t>
      </w:r>
      <w:r>
        <w:rPr>
          <w:rFonts w:hint="eastAsia" w:ascii="仿宋_GB2312" w:hAnsi="宋体" w:eastAsia="仿宋_GB2312" w:cs="Courier New"/>
          <w:sz w:val="32"/>
          <w:szCs w:val="32"/>
        </w:rPr>
        <w:t>万元以上通用设备</w:t>
      </w:r>
      <w:r>
        <w:rPr>
          <w:rFonts w:hint="eastAsia" w:ascii="仿宋_GB2312" w:eastAsia="仿宋_GB2312"/>
          <w:sz w:val="32"/>
          <w:szCs w:val="32"/>
          <w:lang w:val="en-US" w:eastAsia="zh-CN"/>
        </w:rPr>
        <w:t>0</w:t>
      </w:r>
      <w:r>
        <w:rPr>
          <w:rFonts w:hint="eastAsia" w:ascii="仿宋_GB2312" w:hAnsi="宋体" w:eastAsia="仿宋_GB2312" w:cs="Courier New"/>
          <w:sz w:val="32"/>
          <w:szCs w:val="32"/>
        </w:rPr>
        <w:t>台（套），单位价值</w:t>
      </w:r>
      <w:r>
        <w:rPr>
          <w:rFonts w:ascii="仿宋_GB2312" w:hAnsi="宋体" w:eastAsia="仿宋_GB2312" w:cs="Courier New"/>
          <w:sz w:val="32"/>
          <w:szCs w:val="32"/>
        </w:rPr>
        <w:t>100</w:t>
      </w:r>
      <w:r>
        <w:rPr>
          <w:rFonts w:hint="eastAsia" w:ascii="仿宋_GB2312" w:hAnsi="宋体" w:eastAsia="仿宋_GB2312" w:cs="Courier New"/>
          <w:sz w:val="32"/>
          <w:szCs w:val="32"/>
        </w:rPr>
        <w:t>万元以上专用设备</w:t>
      </w:r>
      <w:r>
        <w:rPr>
          <w:rFonts w:hint="eastAsia" w:ascii="仿宋_GB2312" w:eastAsia="仿宋_GB2312"/>
          <w:sz w:val="32"/>
          <w:szCs w:val="32"/>
          <w:lang w:val="en-US" w:eastAsia="zh-CN"/>
        </w:rPr>
        <w:t>0</w:t>
      </w:r>
      <w:r>
        <w:rPr>
          <w:rFonts w:hint="eastAsia" w:ascii="仿宋_GB2312" w:hAnsi="宋体" w:eastAsia="仿宋_GB2312" w:cs="Courier New"/>
          <w:sz w:val="32"/>
          <w:szCs w:val="32"/>
        </w:rPr>
        <w:t>台（套）。</w:t>
      </w: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bookmarkStart w:id="5" w:name="_GoBack"/>
      <w:bookmarkEnd w:id="5"/>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rPr>
          <w:rFonts w:hint="eastAsia" w:ascii="黑体" w:hAnsi="黑体" w:eastAsia="黑体"/>
          <w:sz w:val="32"/>
          <w:szCs w:val="32"/>
        </w:rPr>
      </w:pPr>
    </w:p>
    <w:p>
      <w:pPr>
        <w:adjustRightInd w:val="0"/>
        <w:snapToGrid w:val="0"/>
        <w:spacing w:line="360" w:lineRule="auto"/>
        <w:jc w:val="center"/>
        <w:rPr>
          <w:rFonts w:hint="eastAsia" w:ascii="黑体" w:hAnsi="黑体" w:eastAsia="黑体"/>
          <w:sz w:val="32"/>
          <w:szCs w:val="32"/>
        </w:rPr>
      </w:pPr>
      <w:r>
        <w:rPr>
          <w:rFonts w:hint="eastAsia" w:ascii="黑体" w:hAnsi="黑体" w:eastAsia="黑体"/>
          <w:sz w:val="32"/>
          <w:szCs w:val="32"/>
        </w:rPr>
        <w:t>第三部分</w:t>
      </w:r>
    </w:p>
    <w:p>
      <w:pPr>
        <w:adjustRightInd w:val="0"/>
        <w:snapToGrid w:val="0"/>
        <w:spacing w:line="360" w:lineRule="auto"/>
        <w:jc w:val="center"/>
        <w:rPr>
          <w:rFonts w:hint="eastAsia" w:ascii="黑体" w:hAnsi="黑体" w:eastAsia="黑体"/>
          <w:sz w:val="32"/>
          <w:szCs w:val="32"/>
        </w:rPr>
      </w:pPr>
      <w:r>
        <w:rPr>
          <w:rFonts w:hint="eastAsia" w:ascii="黑体" w:hAnsi="黑体" w:eastAsia="黑体"/>
          <w:sz w:val="32"/>
          <w:szCs w:val="32"/>
        </w:rPr>
        <w:t>名词解释</w:t>
      </w:r>
    </w:p>
    <w:p>
      <w:pPr>
        <w:kinsoku w:val="0"/>
        <w:overflowPunct w:val="0"/>
        <w:autoSpaceDE w:val="0"/>
        <w:autoSpaceDN w:val="0"/>
        <w:adjustRightInd w:val="0"/>
        <w:snapToGrid w:val="0"/>
        <w:spacing w:line="360" w:lineRule="auto"/>
        <w:ind w:firstLine="640" w:firstLineChars="200"/>
        <w:rPr>
          <w:rFonts w:ascii="仿宋_GB2312" w:hAnsi="宋体" w:eastAsia="仿宋_GB2312" w:cs="Courier New"/>
          <w:sz w:val="32"/>
          <w:szCs w:val="32"/>
        </w:rPr>
      </w:pPr>
      <w:r>
        <w:rPr>
          <w:rFonts w:hint="eastAsia" w:ascii="仿宋_GB2312" w:hAnsi="宋体" w:eastAsia="仿宋_GB2312" w:cs="Courier New"/>
          <w:sz w:val="32"/>
          <w:szCs w:val="32"/>
        </w:rPr>
        <w:t>一、财政拨款收入：是指省级财政当年拨付的资金。</w:t>
      </w:r>
    </w:p>
    <w:p>
      <w:pPr>
        <w:kinsoku w:val="0"/>
        <w:overflowPunct w:val="0"/>
        <w:autoSpaceDE w:val="0"/>
        <w:autoSpaceDN w:val="0"/>
        <w:adjustRightInd w:val="0"/>
        <w:snapToGrid w:val="0"/>
        <w:spacing w:line="360" w:lineRule="auto"/>
        <w:ind w:firstLine="640" w:firstLineChars="200"/>
        <w:rPr>
          <w:rFonts w:ascii="仿宋_GB2312" w:hAnsi="宋体" w:eastAsia="仿宋_GB2312" w:cs="Courier New"/>
          <w:sz w:val="32"/>
          <w:szCs w:val="32"/>
        </w:rPr>
      </w:pPr>
      <w:r>
        <w:rPr>
          <w:rFonts w:hint="eastAsia" w:ascii="仿宋_GB2312" w:hAnsi="宋体" w:eastAsia="仿宋_GB2312" w:cs="Courier New"/>
          <w:sz w:val="32"/>
          <w:szCs w:val="32"/>
        </w:rPr>
        <w:t>二、事业收入：是指事业单位开展专业活动及辅助活动所取 得的收入。</w:t>
      </w:r>
    </w:p>
    <w:p>
      <w:pPr>
        <w:kinsoku w:val="0"/>
        <w:overflowPunct w:val="0"/>
        <w:autoSpaceDE w:val="0"/>
        <w:autoSpaceDN w:val="0"/>
        <w:adjustRightInd w:val="0"/>
        <w:snapToGrid w:val="0"/>
        <w:spacing w:line="360" w:lineRule="auto"/>
        <w:ind w:firstLine="640" w:firstLineChars="200"/>
        <w:rPr>
          <w:rFonts w:ascii="仿宋_GB2312" w:hAnsi="宋体" w:eastAsia="仿宋_GB2312" w:cs="Courier New"/>
          <w:sz w:val="32"/>
          <w:szCs w:val="32"/>
        </w:rPr>
      </w:pPr>
      <w:r>
        <w:rPr>
          <w:rFonts w:hint="eastAsia" w:ascii="仿宋_GB2312" w:hAnsi="宋体" w:eastAsia="仿宋_GB2312" w:cs="Courier New"/>
          <w:sz w:val="32"/>
          <w:szCs w:val="32"/>
        </w:rPr>
        <w:t xml:space="preserve">三、其他收入：是指部门取得的除“财政拨款”、“事业收入”、“事业单位经营收入”等以外的收入。 </w:t>
      </w:r>
    </w:p>
    <w:p>
      <w:pPr>
        <w:kinsoku w:val="0"/>
        <w:overflowPunct w:val="0"/>
        <w:autoSpaceDE w:val="0"/>
        <w:autoSpaceDN w:val="0"/>
        <w:adjustRightInd w:val="0"/>
        <w:snapToGrid w:val="0"/>
        <w:spacing w:line="360" w:lineRule="auto"/>
        <w:ind w:firstLine="640" w:firstLineChars="200"/>
        <w:rPr>
          <w:rFonts w:ascii="仿宋_GB2312" w:hAnsi="宋体" w:eastAsia="仿宋_GB2312" w:cs="Courier New"/>
          <w:sz w:val="32"/>
          <w:szCs w:val="32"/>
        </w:rPr>
      </w:pPr>
      <w:r>
        <w:rPr>
          <w:rFonts w:hint="eastAsia" w:ascii="仿宋_GB2312" w:hAnsi="宋体" w:eastAsia="仿宋_GB2312" w:cs="Courier New"/>
          <w:sz w:val="32"/>
          <w:szCs w:val="32"/>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 支差额的基金）弥补当年收支缺口的资金。</w:t>
      </w:r>
    </w:p>
    <w:p>
      <w:pPr>
        <w:kinsoku w:val="0"/>
        <w:overflowPunct w:val="0"/>
        <w:autoSpaceDE w:val="0"/>
        <w:autoSpaceDN w:val="0"/>
        <w:adjustRightInd w:val="0"/>
        <w:snapToGrid w:val="0"/>
        <w:spacing w:line="360" w:lineRule="auto"/>
        <w:ind w:firstLine="640" w:firstLineChars="200"/>
        <w:rPr>
          <w:rFonts w:ascii="仿宋_GB2312" w:hAnsi="宋体" w:eastAsia="仿宋_GB2312" w:cs="Courier New"/>
          <w:sz w:val="32"/>
          <w:szCs w:val="32"/>
        </w:rPr>
      </w:pPr>
      <w:r>
        <w:rPr>
          <w:rFonts w:hint="eastAsia" w:ascii="仿宋_GB2312" w:hAnsi="宋体" w:eastAsia="仿宋_GB2312" w:cs="Courier New"/>
          <w:sz w:val="32"/>
          <w:szCs w:val="32"/>
        </w:rPr>
        <w:t>五、基本支出：是指为保障机构正常运转、完成日常工作任务所必需的开支，其内容包括人员经费和日常公用经费两部分。</w:t>
      </w:r>
    </w:p>
    <w:p>
      <w:pPr>
        <w:kinsoku w:val="0"/>
        <w:overflowPunct w:val="0"/>
        <w:autoSpaceDE w:val="0"/>
        <w:autoSpaceDN w:val="0"/>
        <w:adjustRightInd w:val="0"/>
        <w:snapToGrid w:val="0"/>
        <w:spacing w:line="360" w:lineRule="auto"/>
        <w:ind w:firstLine="640" w:firstLineChars="200"/>
        <w:rPr>
          <w:rFonts w:ascii="仿宋_GB2312" w:hAnsi="宋体" w:eastAsia="仿宋_GB2312" w:cs="Courier New"/>
          <w:sz w:val="32"/>
          <w:szCs w:val="32"/>
        </w:rPr>
      </w:pPr>
      <w:r>
        <w:rPr>
          <w:rFonts w:hint="eastAsia" w:ascii="仿宋_GB2312" w:hAnsi="宋体" w:eastAsia="仿宋_GB2312" w:cs="Courier New"/>
          <w:sz w:val="32"/>
          <w:szCs w:val="32"/>
        </w:rPr>
        <w:t>六、项目支出：是指在基本支出之外，为完成特定的行政工作任务或事业发展目标所发生的支出。</w:t>
      </w:r>
    </w:p>
    <w:p>
      <w:pPr>
        <w:kinsoku w:val="0"/>
        <w:overflowPunct w:val="0"/>
        <w:autoSpaceDE w:val="0"/>
        <w:autoSpaceDN w:val="0"/>
        <w:adjustRightInd w:val="0"/>
        <w:snapToGrid w:val="0"/>
        <w:spacing w:line="360" w:lineRule="auto"/>
        <w:ind w:firstLine="640" w:firstLineChars="200"/>
        <w:rPr>
          <w:rFonts w:hint="eastAsia" w:ascii="仿宋_GB2312" w:hAnsi="宋体" w:eastAsia="仿宋_GB2312" w:cs="Courier New"/>
          <w:sz w:val="32"/>
          <w:szCs w:val="32"/>
        </w:rPr>
      </w:pPr>
      <w:r>
        <w:rPr>
          <w:rFonts w:hint="eastAsia" w:ascii="仿宋_GB2312" w:hAnsi="宋体" w:eastAsia="仿宋_GB2312" w:cs="Courier New"/>
          <w:sz w:val="32"/>
          <w:szCs w:val="32"/>
        </w:rPr>
        <w:t>七、“三公”经费：是指纳入省级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insoku w:val="0"/>
        <w:overflowPunct w:val="0"/>
        <w:autoSpaceDE w:val="0"/>
        <w:autoSpaceDN w:val="0"/>
        <w:adjustRightInd w:val="0"/>
        <w:snapToGrid w:val="0"/>
        <w:spacing w:line="360" w:lineRule="auto"/>
        <w:ind w:firstLine="640" w:firstLineChars="200"/>
        <w:rPr>
          <w:rFonts w:hint="eastAsia" w:ascii="仿宋_GB2312" w:hAnsi="宋体" w:eastAsia="仿宋_GB2312" w:cs="Courier New"/>
          <w:sz w:val="32"/>
          <w:szCs w:val="32"/>
        </w:rPr>
      </w:pPr>
      <w:r>
        <w:rPr>
          <w:rFonts w:hint="eastAsia" w:ascii="仿宋_GB2312" w:hAnsi="宋体" w:eastAsia="仿宋_GB2312" w:cs="Courier New"/>
          <w:sz w:val="32"/>
          <w:szCs w:val="32"/>
        </w:rPr>
        <w:t>八、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tabs>
          <w:tab w:val="center" w:pos="6979"/>
        </w:tabs>
        <w:jc w:val="center"/>
        <w:rPr>
          <w:rFonts w:hint="eastAsia" w:ascii="黑体" w:hAnsi="黑体" w:eastAsia="黑体" w:cs="方正小标宋简体"/>
          <w:sz w:val="44"/>
          <w:szCs w:val="44"/>
        </w:rPr>
      </w:pPr>
      <w:r>
        <w:rPr>
          <w:rFonts w:hint="eastAsia" w:ascii="黑体" w:hAnsi="黑体" w:eastAsia="黑体" w:cs="Courier New"/>
          <w:kern w:val="0"/>
          <w:sz w:val="32"/>
          <w:szCs w:val="32"/>
        </w:rPr>
        <w:t>附件：信阳市浉河管理处 2022年度部门预算表（十一张表）</w:t>
      </w:r>
    </w:p>
    <w:p/>
    <w:sectPr>
      <w:pgSz w:w="11906" w:h="18142"/>
      <w:pgMar w:top="1440" w:right="1803" w:bottom="1440" w:left="1803"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lNThhNDAwZDNhOWRlZDljN2JmNzFiMDE3OGJlYzUifQ=="/>
  </w:docVars>
  <w:rsids>
    <w:rsidRoot w:val="00000000"/>
    <w:rsid w:val="02545262"/>
    <w:rsid w:val="039952C1"/>
    <w:rsid w:val="071D3A52"/>
    <w:rsid w:val="08337756"/>
    <w:rsid w:val="08430582"/>
    <w:rsid w:val="089B765B"/>
    <w:rsid w:val="08DD6A03"/>
    <w:rsid w:val="097E5C3B"/>
    <w:rsid w:val="09857BDC"/>
    <w:rsid w:val="09AF0A0B"/>
    <w:rsid w:val="0A577E37"/>
    <w:rsid w:val="0C000C64"/>
    <w:rsid w:val="0DB26CF1"/>
    <w:rsid w:val="10C347AE"/>
    <w:rsid w:val="112D098E"/>
    <w:rsid w:val="11E800CE"/>
    <w:rsid w:val="123F4AC3"/>
    <w:rsid w:val="14972381"/>
    <w:rsid w:val="16041350"/>
    <w:rsid w:val="187824D1"/>
    <w:rsid w:val="197762DD"/>
    <w:rsid w:val="1A3F504D"/>
    <w:rsid w:val="1AA816CE"/>
    <w:rsid w:val="1ACB4B33"/>
    <w:rsid w:val="1B632373"/>
    <w:rsid w:val="1B695F0F"/>
    <w:rsid w:val="1BF34DF7"/>
    <w:rsid w:val="1C08246D"/>
    <w:rsid w:val="1D8B742E"/>
    <w:rsid w:val="1E813E1B"/>
    <w:rsid w:val="1F071917"/>
    <w:rsid w:val="20D2605C"/>
    <w:rsid w:val="218F3D3D"/>
    <w:rsid w:val="219D1144"/>
    <w:rsid w:val="21C67E02"/>
    <w:rsid w:val="236D2C2B"/>
    <w:rsid w:val="256A7A45"/>
    <w:rsid w:val="277716AD"/>
    <w:rsid w:val="285A2A34"/>
    <w:rsid w:val="287D7D0C"/>
    <w:rsid w:val="2B0F45C8"/>
    <w:rsid w:val="2D477C2D"/>
    <w:rsid w:val="2F383091"/>
    <w:rsid w:val="2FAB3346"/>
    <w:rsid w:val="31342FDA"/>
    <w:rsid w:val="315947EF"/>
    <w:rsid w:val="3179279B"/>
    <w:rsid w:val="32643B5D"/>
    <w:rsid w:val="32BE51DE"/>
    <w:rsid w:val="33453F59"/>
    <w:rsid w:val="337B432E"/>
    <w:rsid w:val="34576C92"/>
    <w:rsid w:val="34797360"/>
    <w:rsid w:val="379824DC"/>
    <w:rsid w:val="39276F80"/>
    <w:rsid w:val="39A305F6"/>
    <w:rsid w:val="3D4805CB"/>
    <w:rsid w:val="3DCC7B8E"/>
    <w:rsid w:val="3DDC2A2F"/>
    <w:rsid w:val="3DDE1C46"/>
    <w:rsid w:val="40F20EC7"/>
    <w:rsid w:val="418A5308"/>
    <w:rsid w:val="429A30C1"/>
    <w:rsid w:val="460421F7"/>
    <w:rsid w:val="470E2A72"/>
    <w:rsid w:val="475A41D7"/>
    <w:rsid w:val="4A0D23DC"/>
    <w:rsid w:val="4A851D59"/>
    <w:rsid w:val="4AAF1765"/>
    <w:rsid w:val="4AC865B1"/>
    <w:rsid w:val="4D764DF5"/>
    <w:rsid w:val="4E7A4441"/>
    <w:rsid w:val="4ED3502A"/>
    <w:rsid w:val="507D706A"/>
    <w:rsid w:val="51654692"/>
    <w:rsid w:val="51E15477"/>
    <w:rsid w:val="52262073"/>
    <w:rsid w:val="56D906E3"/>
    <w:rsid w:val="588C69A8"/>
    <w:rsid w:val="58F44C79"/>
    <w:rsid w:val="5A7B1580"/>
    <w:rsid w:val="5E485828"/>
    <w:rsid w:val="5E8601B5"/>
    <w:rsid w:val="5F8157F9"/>
    <w:rsid w:val="60111E88"/>
    <w:rsid w:val="60D62EB6"/>
    <w:rsid w:val="62C93E89"/>
    <w:rsid w:val="62E525CB"/>
    <w:rsid w:val="63EC10F7"/>
    <w:rsid w:val="65E16585"/>
    <w:rsid w:val="69CE52E6"/>
    <w:rsid w:val="6A4021D8"/>
    <w:rsid w:val="6C757A27"/>
    <w:rsid w:val="6CFB7904"/>
    <w:rsid w:val="6D51537A"/>
    <w:rsid w:val="6E002155"/>
    <w:rsid w:val="6E407BC1"/>
    <w:rsid w:val="6F99226F"/>
    <w:rsid w:val="71205775"/>
    <w:rsid w:val="736C0ED5"/>
    <w:rsid w:val="73F779E3"/>
    <w:rsid w:val="7621652A"/>
    <w:rsid w:val="76B70917"/>
    <w:rsid w:val="77E516A9"/>
    <w:rsid w:val="79766EF8"/>
    <w:rsid w:val="79823784"/>
    <w:rsid w:val="79DA711C"/>
    <w:rsid w:val="7A7B26AD"/>
    <w:rsid w:val="7A9B68AB"/>
    <w:rsid w:val="7B4553F7"/>
    <w:rsid w:val="7B834B73"/>
    <w:rsid w:val="7BA619AB"/>
    <w:rsid w:val="7C4B2B7C"/>
    <w:rsid w:val="7D917C2D"/>
    <w:rsid w:val="7E776D11"/>
    <w:rsid w:val="7FCD3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2832</Words>
  <Characters>3111</Characters>
  <Lines>0</Lines>
  <Paragraphs>0</Paragraphs>
  <TotalTime>19</TotalTime>
  <ScaleCrop>false</ScaleCrop>
  <LinksUpToDate>false</LinksUpToDate>
  <CharactersWithSpaces>3143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2023-03-03T03:41:00Z</dcterms:created>
  <dc:creator>Administrator</dc:creator>
  <cp:lastModifiedBy>Administrator</cp:lastModifiedBy>
  <dcterms:modified xsi:type="dcterms:W3CDTF">2023-03-08T02:41:15Z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724BE594FA404FB5A49C60BAE8DC8D13</vt:lpwstr>
  </property>
</Properties>
</file>